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https://www.autoritedelaconcurrence.fr/fr/decision/relative-des-pratiques-mises-en-oeuvre-dans-le-secteur-de-la-distribution-de-commodites-0</w:t>
      </w:r>
    </w:p>
    <w:p>
      <w:r>
        <w:t>Pages translated : 68</w:t>
      </w:r>
    </w:p>
    <w:p/>
    <w:p>
      <w:r>
        <w:rPr>
          <w:b/>
        </w:rPr>
        <w:t>[Pages 1–3]</w:t>
      </w:r>
    </w:p>
    <w:p>
      <w:r>
        <w:t xml:space="preserve">FRENCH REPUBLIC  </w:t>
        <w:br/>
        <w:t xml:space="preserve">Decision n° 25-D-09 of December 4, 2025  </w:t>
        <w:br/>
        <w:t xml:space="preserve">regarding practices implemented in the sector of  </w:t>
        <w:br/>
        <w:t xml:space="preserve">the distribution of chemical commodities*  </w:t>
        <w:br/>
        <w:t xml:space="preserve">The Competition Authority (permanent commission),  </w:t>
        <w:br/>
        <w:t xml:space="preserve">Considering the letters registered on July 21, 2003, and November 22, 2006, respectively under numbers 03/0047 F and 06/0086 F, by which the company Gaches Chimie SA referred to the Competition Council practices implemented by the company Brenntag SA in the sector of the distribution of chemical commodities;  </w:t>
        <w:br/>
        <w:t xml:space="preserve">Considering the letter registered on October 31, 2007, under number 07/0076 F, by which the companies Solvadis France SARL and Solvadis GmbH referred to the Competition Council practices implemented by the companies Brenntag SA and Brenntag Germany Holding GmbH in the sector of the distribution of chemical commodities;  </w:t>
        <w:br/>
        <w:t xml:space="preserve">Considering the letter registered on July 20, 2007, under number 07/0058 F, by which the company Gaches Chimie SA referred to the Competition Council practices implemented by the company Brenntag SA in the sector of the distribution of chemical commodities;  </w:t>
        <w:br/>
        <w:t xml:space="preserve">Considering the letter registered on October 30, 2009, under number 09/0123 F, by which the company Chimiphar referred to the Competition Authority practices implemented by the company Brenntag in the sector of the distribution of chemical commodities;  </w:t>
        <w:br/>
        <w:t xml:space="preserve">Considering the supplementary referral and the partial withdrawal by the companies Solvadis France SARL and Solvadis GmbH, registered respectively on February 4, 2010, and May 12, 2014;  </w:t>
        <w:br/>
        <w:t xml:space="preserve">Considering the Treaty on the Functioning of the European Union, and in particular its Articles 101 and 102;  </w:t>
        <w:br/>
        <w:t xml:space="preserve">Considering Book IV of the Commercial Code, and in particular its Articles L. 420-1 and L. 420-2;  </w:t>
        <w:br/>
        <w:t xml:space="preserve">Considering the decision of the Competition Council n° 06-D-12 of June 6, 2006, regarding practices implemented in the sector of the distribution of chemical commodities;  </w:t>
        <w:br/>
        <w:t xml:space="preserve">Considering the decision of the Competition Authority n° 13-D-12 of May 28, 2013, regarding practices implemented in the sector of the marketing of chemical commodities;  </w:t>
        <w:br/>
        <w:t xml:space="preserve">Considering the decision of the Competition Authority n° 17-D-27 of December 21, 2017, regarding obstruction practices implemented by the company Brenntag;  </w:t>
        <w:br/>
        <w:t xml:space="preserve">Considering the decision of October 13, 2008, by which the general rapporteur joined the investigation of cases n° 06/0086 F, n° 07/0032 F, n° 07/0034 F, n° 07/0058 F, and n° 07/0076 F;  </w:t>
        <w:br/>
        <w:t>* public version</w:t>
      </w:r>
    </w:p>
    <w:p>
      <w:r>
        <w:t xml:space="preserve">Considering the decision of June 2, 2009, by which the deputy general rapporteur separated the investigation of case n° 07/0032 F from the other cases grouped under number 07/0076 F;  </w:t>
        <w:br/>
        <w:t xml:space="preserve">Considering the decision of September 22, 2010, by which the deputy general rapporteur joined the investigation of cases n° 07/0076 F and n° 09/0123 F;  </w:t>
        <w:br/>
        <w:t xml:space="preserve">Considering the decision of April 18, 2012, by which the deputy general rapporteur separated the investigation of referral n° 06/0086 F from the other cases registered under number 07/0076 F; separating the investigation of the part of referral n° 07/0034 F referred to in chapters X "The practices of Lambert-Rivière SAS regarding consignment and technical fees" and XI "The attitude of the professional organization" of the investigation report of June 9, 2004, of the BIE of Bordeaux, and under chapter C, point 1 "The practice consisting of attempts by the company BRENNTAG to instrumentalize the UFCC" of the statement of objections in case n° 03/0047 F, on the one hand, of the cases registered under number 07/0076 F, on the other hand; and joining the investigation of referral n° 06/0086 F, on the one hand, and the part of referral n° 07/0034 F referred to in chapters X "The practices of Lambert-Rivière SAS regarding consignment and technical fees" and XI "The attitude of the professional organization" of the investigation report of June 9, 2004, of the BIE of Bordeaux, and under chapter C, point 1 "The practice consisting of attempts by the company BRENNTAG to instrumentalize the UFCC" of the statement of objections in case 03/0047 F, on the other hand;  </w:t>
        <w:br/>
        <w:t xml:space="preserve">Considering the decision of March 27, 2025, by which the deputy general rapporteur joined the investigation of referrals n° 07/0076 F and n° 06/0086 F under the unique number 07/0076 F;  </w:t>
        <w:br/>
        <w:t xml:space="preserve">Considering the ruling of the Paris Court of Appeal of March 13, 2007 (n° RG 2006/08337);  </w:t>
        <w:br/>
        <w:t xml:space="preserve">Considering the ruling of the Court of Cassation of February 26, 2008 (n° of appeal Z 07-14.126);  </w:t>
        <w:br/>
        <w:t xml:space="preserve">Considering the observations presented by the companies Gaches Chimie, Sojitz Solvadis GmbH, Chimiphar (now Pharéos), and the Government Commissioner;  </w:t>
        <w:br/>
        <w:t xml:space="preserve">Considering the other documents in the file;  </w:t>
        <w:br/>
        <w:t xml:space="preserve">The representatives of the company Brenntag heard on the basis of the provisions of Article L. 463-7 paragraph 2 of the Commercial Code;  </w:t>
        <w:br/>
        <w:t xml:space="preserve">The rapporteur, the deputy general rapporteur, the representatives of the economic service, the representatives of the companies Gaches Chimie, Sojitz Solvadis GmbH, and Chimiphar (now Pharéos), and the Government Commissioner heard during the session of the Competition Authority on September 30, 2025;  </w:t>
        <w:br/>
        <w:t xml:space="preserve">Adopts the following decision:  </w:t>
        <w:br/>
        <w:t>2</w:t>
      </w:r>
    </w:p>
    <w:p>
      <w:r>
        <w:t xml:space="preserve">Summary1  </w:t>
        <w:br/>
        <w:t xml:space="preserve">The company Gaches Chimie reported in 2003 to the Competition Council (hereinafter, "the Council") the implementation by the company Brenntag SA (hereinafter, "Brenntag") of anti-competitive practices of abuse of dominant position (Articles L. 420-2, paragraph 1 of the Commercial Code and 102 of the Treaty on the Functioning of the European Union (hereinafter, "TFEU")) in the sector of the distribution of chemical commodities.  </w:t>
        <w:br/>
        <w:t xml:space="preserve">By decision n° 06-D-12 of June 6, 2006, the Council considered that the practices were not established, failing to demonstrate Brenntag's dominant position in the market for the distribution of chemical commodities. By a ruling of March 13, 2007, the Paris Court of Appeal2, confirmed by the Court of Cassation3, annulled this decision and ordered the referral of the case for further investigation.  </w:t>
        <w:br/>
        <w:t xml:space="preserve">Subsequently, other companies than Gaches Chimie (Solvadis France SARL and Solvadis GmbH and Chimiphar, now Pharéos) reported to the Competition Authority (hereinafter, "the Authority") the implementation by Brenntag of other practices of abuse of dominant position but also practices of horizontal agreements (Articles L. 420-1 of the Commercial Code and 101 of the TFEU).  </w:t>
        <w:br/>
        <w:t xml:space="preserve">Regarding, firstly, the alleged practices of abuse of dominant position, the Authority first considered that Brenntag held a dominant position in the national market for the distribution of chemical commodities. However, it found that the various alleged abuses were not established. Indeed:  </w:t>
        <w:br/>
        <w:t xml:space="preserve">− on the one hand, the various cost tests concerning Brenntag's transactions at its site in Saint-Sulpice-la-Pointe did not reveal the existence of abusive pricing practices that led to actual or potential exclusionary effects;  </w:t>
        <w:br/>
        <w:t xml:space="preserve">− on the other hand, regarding the exclusivity practices implemented by Brenntag with certain of its suppliers, while some of these exclusivities appear justified, the percentage of Brenntag's exclusive sales remained low compared to the total amount of sales made in the market for chemical commodities. Furthermore, given, in particular, the strong inter-brand competition and the weakness, or even absence, of brand effect in the market considered, no anti-competitive effect related to these practices could be demonstrated; and,  </w:t>
        <w:br/>
        <w:t xml:space="preserve">− finally, the elements collected during the investigation did not establish the implementation by Brenntag of abusive practices resulting, on the one hand, from acts of intimidation and, on the other hand, from acts of unfair competition to the detriment of one of its competitors.  </w:t>
        <w:br/>
        <w:t xml:space="preserve">Regarding, secondly, the denounced practices of horizontal agreements consisting of customer allocation, price coordination, and tied sales, the Authority considered that they had already been examined in its decision n° 13-D-12 of May 28, 2013, at the end of which it sanctioned Brenntag and several other companies and that there was no need, therefore, under the principle of non bis in idem, to rule again.  </w:t>
        <w:br/>
        <w:t xml:space="preserve">1 This summary is strictly informative. Only the reasons for the decision numbered below are authoritative.  </w:t>
        <w:br/>
        <w:t xml:space="preserve">2 Ruling of the Paris Court of Appeal, March 13, 2007, RG n° 2006/08337.  </w:t>
        <w:br/>
        <w:t xml:space="preserve">3 Ruling of the Court of Cassation of February 26, 2008, n° 07-14.126.  </w:t>
        <w:br/>
        <w:t>3</w:t>
      </w:r>
    </w:p>
    <w:p>
      <w:r>
        <w:rPr>
          <w:b/>
        </w:rPr>
        <w:t>[Pages 4–6]</w:t>
      </w:r>
    </w:p>
    <w:p>
      <w:r>
        <w:t xml:space="preserve">SUMMARY  </w:t>
        <w:br/>
        <w:t xml:space="preserve">I. FINDINGS ................................................................................ 7  </w:t>
        <w:br/>
        <w:t xml:space="preserve">A. THE PROCEDURE ...........................................................................................................7  </w:t>
        <w:br/>
        <w:t xml:space="preserve">B. THE SECTOR OF ACTIVITY .......................................................................................11  </w:t>
        <w:br/>
        <w:t xml:space="preserve">1. CHEMICAL PRODUCTS ......................................................................................11  </w:t>
        <w:br/>
        <w:t xml:space="preserve">2. MARKETING OF CHEMICAL COMMODITIES ....................................................12  </w:t>
        <w:br/>
        <w:t xml:space="preserve">a) Direct sales by producers ........................................................................... 12  </w:t>
        <w:br/>
        <w:t xml:space="preserve">b) Sales by a distributor .................................................................................. 12  </w:t>
        <w:br/>
        <w:t xml:space="preserve">c) Sales by a "trader" ....................................................................................... 12  </w:t>
        <w:br/>
        <w:t xml:space="preserve">3. CHARACTERISTICS OF THE SALE OF CHEMICAL COMMODITIES BY  </w:t>
        <w:br/>
        <w:t xml:space="preserve">DISTRIBUTORS ........................................................................................................13  </w:t>
        <w:br/>
        <w:t xml:space="preserve">a) Characteristics of demand ......................................................................... 13  </w:t>
        <w:br/>
        <w:t xml:space="preserve">b) Provision of specific services ..................................................................... 13  </w:t>
        <w:br/>
        <w:t xml:space="preserve">c) A binding regulatory context ...................................................................... 13  </w:t>
        <w:br/>
        <w:t xml:space="preserve">C. THE ENTITIES CONCERNED ..................................................................................14  </w:t>
        <w:br/>
        <w:t xml:space="preserve">1. THE COMPLAINANT COMPANIES .............................................................................14  </w:t>
        <w:br/>
        <w:t xml:space="preserve">a) Gaches companies ....................................................................................... 14  </w:t>
        <w:br/>
        <w:t xml:space="preserve">b) Solvadis companies .................................................................................... 15  </w:t>
        <w:br/>
        <w:t xml:space="preserve">Solvadis France ....................................................................................................15  </w:t>
        <w:br/>
        <w:t xml:space="preserve">Solvadis GmbH .....................................................................................................16  </w:t>
        <w:br/>
        <w:t xml:space="preserve">c) Chimiphar (Pharéos) .................................................................................. 16  </w:t>
        <w:br/>
        <w:t xml:space="preserve">2. THE COMPANY CHALLENGED BY THE COMPLAINANTS: BRENNTAG ...................16  </w:t>
        <w:br/>
        <w:t xml:space="preserve">3. OTHER COMPANIES ACTIVE IN THE CHEMICAL COMMODITIES DISTRIBUTION  </w:t>
        <w:br/>
        <w:t xml:space="preserve">SECTOR ..................................................................................................................17  </w:t>
        <w:br/>
        <w:t xml:space="preserve">a) Univar ........................................................................................................... 17  </w:t>
        <w:br/>
        <w:t xml:space="preserve">b) Other distributors ....................................................................................... 18  </w:t>
        <w:br/>
        <w:t xml:space="preserve">D. THE REFERRALS AND THE PRACTICES ALLEGED .............................................18  </w:t>
        <w:br/>
        <w:t xml:space="preserve">1. PRACTICES ALLEGED BY GACHES .......................................................................18  </w:t>
        <w:br/>
        <w:t xml:space="preserve">2. PRACTICES ALLEGED BY SOLVADIS ....................................................................19  </w:t>
        <w:br/>
        <w:t xml:space="preserve">3. PRACTICES ALLEGED BY CHIMIPHAR .................................................................19  </w:t>
        <w:br/>
        <w:t xml:space="preserve">II. DISCUSSION ........................................................................................ 20  </w:t>
        <w:br/>
        <w:t xml:space="preserve">A. ON THE PROCEDURE ..............................................................................................20  </w:t>
        <w:br/>
        <w:t xml:space="preserve">1. ON THE SCOPE OF THE REFERRAL TO INSTRUCTION ......................................20  </w:t>
        <w:br/>
        <w:t xml:space="preserve">2. ON THE POSSIBILITY OF PRONOUNCING A NON-SUIT UNDER ARTICLE L. 464-6  </w:t>
        <w:br/>
        <w:t xml:space="preserve">OF THE COMMERCIAL CODE ..................................................................................22  </w:t>
        <w:br/>
        <w:t xml:space="preserve">B. ON THE APPLICABILITY OF UNION LAW .........................................................22  </w:t>
        <w:br/>
        <w:t xml:space="preserve">1. APPLICABLE PRINCIPLES ....................................................................................22  </w:t>
        <w:br/>
        <w:t xml:space="preserve">2. APPLICATION TO THE CASE ................................................................................23  </w:t>
        <w:br/>
        <w:t xml:space="preserve">C. ON THE RELEVANT MARKETS AND THE POSITION OF OPERATORS ..........24  </w:t>
        <w:br/>
        <w:t xml:space="preserve">1. RELEVANT MARKETS ..........................................................................................24  </w:t>
        <w:br/>
        <w:t xml:space="preserve">a) Applicable principles ................................................................................ 24  </w:t>
        <w:br/>
        <w:t xml:space="preserve">b) Application to the case .............................................................................. 25  </w:t>
        <w:br/>
        <w:t xml:space="preserve">On product markets ............................................................................................25  </w:t>
        <w:br/>
        <w:t xml:space="preserve">On the geographical dimension of markets .......................................................28  </w:t>
        <w:br/>
        <w:t xml:space="preserve">Conclusion on relevant markets .......................................................................30  </w:t>
        <w:br/>
        <w:t xml:space="preserve">2. THE POSITION OF OPERATORS IN THE CHEMICAL PRODUCTS DISTRIBUTION  </w:t>
        <w:br/>
        <w:t xml:space="preserve">MARKETS ................................................................................................................30  </w:t>
        <w:br/>
        <w:t xml:space="preserve">a) Applicable principles ................................................................................ 30  </w:t>
        <w:br/>
        <w:t xml:space="preserve">b) Application to the case .............................................................................. 31  </w:t>
        <w:br/>
        <w:t xml:space="preserve">The distribution of chemical commodities ..........................................................31  </w:t>
        <w:br/>
        <w:t xml:space="preserve">The distribution of chemical specialties ..............................................................36  </w:t>
        <w:br/>
        <w:t xml:space="preserve">Conclusion ............................................................................................................37  </w:t>
        <w:br/>
        <w:t xml:space="preserve">D. ON THE QUALIFICATION OF PRACTICES .........................................................37  </w:t>
        <w:br/>
        <w:t xml:space="preserve">1. AS A PRELIMINARY, ON ABUSE OF DOMINANT POSITION PRACTICES ..........37  </w:t>
        <w:br/>
        <w:t xml:space="preserve">2. ON PRICING PRACTICES ......................................................................................39  </w:t>
        <w:br/>
        <w:t xml:space="preserve">a) Practices alleged by Gaches ...................................................................... 39  </w:t>
        <w:br/>
        <w:t xml:space="preserve">Practices alleged in Gaches' initial referral and examined in decision n° 06-D-12 ..................................................................................................................39  </w:t>
        <w:br/>
        <w:t xml:space="preserve">New elements brought by Gaches in its referral n° 07/0058 F ......................40  </w:t>
        <w:br/>
        <w:t xml:space="preserve">b) Reminder of applicable principles ............................................................... 41  </w:t>
        <w:br/>
        <w:t xml:space="preserve">c) Application to the case ............................................................................... 42  </w:t>
        <w:br/>
        <w:t xml:space="preserve">Data collected and corrections made .................................................................43  </w:t>
        <w:br/>
        <w:t xml:space="preserve">Performance of the Saint-Sulpice site ...............................................................44  </w:t>
        <w:br/>
        <w:t xml:space="preserve">Cost tests conducted based on "Transactions 2002-2008" ..............................44  </w:t>
        <w:br/>
        <w:t xml:space="preserve">Examination of a possible differentiation in Brenntag's commercial strategy  </w:t>
        <w:br/>
        <w:t xml:space="preserve">according to sites and clients .............................................................................45  </w:t>
        <w:br/>
        <w:t xml:space="preserve">Conclusion on pricing practices .......................................................................46  </w:t>
        <w:br/>
        <w:t xml:space="preserve">3. ON EXCLUSIVITY PRACTICES ..............................................................................48  </w:t>
        <w:br/>
        <w:t xml:space="preserve">a) Practices alleged by the complainants ...................................................... 48  </w:t>
        <w:br/>
        <w:t xml:space="preserve">b) Reminder of applicable principles ............................................................... 50  </w:t>
        <w:br/>
        <w:t xml:space="preserve">c) Application to the case ............................................................................... 52  </w:t>
        <w:br/>
        <w:t xml:space="preserve">Exclusivity agreements concluded by Brenntag with certain suppliers ..........52  </w:t>
        <w:br/>
        <w:t xml:space="preserve">Assessment of exclusivities ...............................................................................56  </w:t>
        <w:br/>
        <w:t xml:space="preserve">Conclusion on exclusivities ...............................................................................57  </w:t>
        <w:br/>
        <w:t xml:space="preserve">4. ON HORIZONTAL AGREEMENT PRACTICES .........................................................58  </w:t>
        <w:br/>
        <w:t xml:space="preserve">a) Reminder of applicable principles ............................................................... 58  </w:t>
        <w:br/>
        <w:t xml:space="preserve">b) Application to the case ............................................................................... 58  </w:t>
        <w:br/>
        <w:t xml:space="preserve">Customer allocation and pricing coordination practices ..................................58  </w:t>
        <w:br/>
        <w:t xml:space="preserve">Tied sales practices ............................................................................................60  </w:t>
        <w:br/>
        <w:t xml:space="preserve">5. ON INTIMIDATION PRACTICES .............................................................................60  </w:t>
        <w:br/>
        <w:t xml:space="preserve">a) Reminder of applicable principles ............................................................... 60  </w:t>
        <w:br/>
        <w:t xml:space="preserve">b) Application to the case ............................................................................... 61  </w:t>
        <w:br/>
        <w:t xml:space="preserve">6. ON UNFAIR COMPETITION PRACTICES .................................................................66  </w:t>
        <w:br/>
        <w:t>DECISION ..................................................................................................... 68</w:t>
      </w:r>
    </w:p>
    <w:p>
      <w:r>
        <w:rPr>
          <w:b/>
        </w:rPr>
        <w:t>[Pages 7–9]</w:t>
      </w:r>
    </w:p>
    <w:p>
      <w:r>
        <w:t xml:space="preserve">I. Findings  </w:t>
        <w:br/>
        <w:t xml:space="preserve">A. THE PROCEDURE  </w:t>
        <w:br/>
        <w:t xml:space="preserve">1. On April 3, 2002, the Directorate General for Competition, Consumer Affairs and Fraud Control (hereinafter, "DGCCRF") opened an investigation in the wholesale distribution sector of chemical products, after being seized in 2001 by the company Gaches Chimie (hereinafter, "Gaches"). Gaches reported abuses of a dominant position implemented by Brenntag SA (hereinafter, "Brenntag") consisting of (i) discriminatory, even predatory, pricing involving a differentiated application of technical fees and deposit fees in the South-West region (Occitanie, formerly Midi-Pyrénées) compared to other regions; as well as (ii) exclusive contracts entered into with major suppliers of chemical commodities from which Gaches sourced4.  </w:t>
        <w:br/>
        <w:t xml:space="preserve">2. On July 21, 2003, Gaches simultaneously referred the matter to the Competition Council (hereinafter, "the Council"), which has since become the Competition Authority (hereinafter, "the Authority"), regarding these same practices, with the case registered under number 03/0047 F5.  </w:t>
        <w:br/>
        <w:t xml:space="preserve">3. In an administrative investigation report6 (hereinafter, "RAE") dated June 9, 2024, sent to the Council on July 7, 2004, the DGCCRF identified several exclusionary practices implemented by Brenntag against Gaches, manifested by (i) predatory pricing applied to transactions made since Brenntag's filing from Saint-Sulpice-la-Pointe (81) (hereinafter, "Saint-Sulpice"); (ii) discriminatory pricing involving the differentiated application of deposit fees and technical fees in the South-West compared to other regions; and (iii) the conclusion of exclusive distribution contracts with a number of large producers of chemical commodities.  </w:t>
        <w:br/>
        <w:t xml:space="preserve">4. On February 14, 2005, a statement of objections7 was sent by the investigation services to Brenntag. This was followed by a report sent to the company on January 25, 2006.  </w:t>
        <w:br/>
        <w:t xml:space="preserve">5. By decision n° 06-D-12 of June 6, 2006, the Council found that the practices referred to in the statement of objections and the report were not established, on the grounds that Brenntag's dominant position in the market for the distribution of chemical commodities was not demonstrated, regardless of the dimension retained for the geographical market (regional or national).  </w:t>
        <w:br/>
        <w:t xml:space="preserve">6. This decision was annulled on March 13, 20078 by the Paris Court of Appeal, which, seized by Gaches, criticized the Council for having based its finding of the absence of Brenntag's dominant position on market share data that did not distinguish between the market for chemical commodities and that for specialties9. The Court of Appeal therefore referred the case back to the investigation, which was registered with the Council under number 07/0034 F. By a ruling of February 26, 200810, the Court of Cassation confirmed the ruling made by the Paris Court of Appeal and specified, on this occasion, that, contrary to what Brenntag argued, the Paris Court of Appeal, which does not have the investigative powers and means of the Council, does not have to rule on the facts and law regarding the notified grievances when it annuls a decision of non-suit for insufficient investigation.  </w:t>
        <w:br/>
        <w:t xml:space="preserve">7. On July 20, 2007, following the resumption of the investigation, Gaches filed a new referral, registered under number 07/0058 F11, updating its initial referral from 2003. In this, Gaches denounces the same practices of discriminatory pricing and exclusive contracts, extending the infringement period to 2007, and incorporates the practice of predatory pricing noted in the RAE.  </w:t>
        <w:br/>
        <w:t xml:space="preserve">8. Furthermore, new referrals concerning practices of collusion and/or abuse of dominant position in the same sector were recorded by the Council and then the Authority between 2006 and 2009:  </w:t>
        <w:br/>
        <w:t xml:space="preserve">− a referral on November 22, 2006, from Gaches regarding anti-competitive agreements for customer allocation and pricing practices implemented notably by Brenntag, registered under number 06/0086 F12;  </w:t>
        <w:br/>
        <w:t xml:space="preserve">− a referral initiated by the Council regarding practices implemented in the chemical products sector, by decision n° 07-SO-02 of April 5, 2007, registered under number 07/0032 F, following four leniency requests submitted by the companies Solvadis France SARL, Quaron SA, BC Partners and its subsidiaries, particularly Brenntag Holding GmbH and Brenntag SA, and Univar SAS, which led to leniency notices n° 07-A-01 of February 7, 2007, n° 07-A-02 of February 8, 2007, n° 07-A-04 of March 23, 2007, and n° 07-A-05 of May 7, 2007;  </w:t>
        <w:br/>
        <w:t xml:space="preserve">− a referral on October 31, 2007, registered under number 07/0076 F, from the companies Solvadis France SARL and Solvadis GmbH (hereinafter, "Solvadis"), regarding abuses of dominant position committed by Brenntag and Brenntag Germany Holding GmbH13. This referral was supplemented on February 4, 2010, by new elements sent by Solvadis to the Authority14. By a letter dated May 12, 2014, Solvadis partially withdrew its initial referral15;  </w:t>
        <w:br/>
        <w:t xml:space="preserve">− finally, a referral on October 30, 2009, registered under number 09/0123 F, from the company Chimiphar against Brenntag, regarding abuses of dominant position and collusion in the chemical products sector16.  </w:t>
        <w:br/>
        <w:t xml:space="preserve">9. Given the connection of the practices denounced in the referrals registered under numbers 06/0086 F, 07/0032 F, 07/0034 F, 07/0058 F, and 07/0076 F, all implemented in the same sector, the General Rapporteur of the Authority, pursuant to Article R. 463-3 of the Commercial Code, grouped them together by a decision of joinder dated October 13, 200817.  </w:t>
        <w:br/>
        <w:t xml:space="preserve">10. After eight months of joint investigation, the Deputy General Rapporteur decided, on June 2, 2009, to separate referral n° 07/0032 F from all other referrals, which were now grouped under the unique reference number 07/0076 F18.  </w:t>
        <w:br/>
        <w:t xml:space="preserve">11. Referral n° 07/0032 F led to decision n° 13-D-12 of May 28, 2013, by which the Authority sanctioned Brenntag and several other companies for collusion regarding customer allocation and pricing19. This decision led to several rulings from the Paris Court of Appeal and the Court of Cassation20, the latest to date being a ruling of May 22, 2025, from the Paris Court of Appeal ordering the referral of the case back to the Authority for the drafting of a new report, but only on the determinants of the sanction against Brenntag and its parent company21.  </w:t>
        <w:br/>
        <w:t xml:space="preserve">12. In parallel with the investigation of referral n° 07/0032 F, the investigation into the case concerning abuse practices continued, marked by several decisions of joinder and separation of the various referrals:  </w:t>
        <w:br/>
        <w:t xml:space="preserve">− by decision of September 22, 2010, the Deputy General Rapporteur decided to join referral n° 09/0123 F to the referrals grouped under number 07/0076 F22;  </w:t>
        <w:br/>
        <w:t>− by decision of April 18, 2012, the Deputy General Rapporteur made several separations intended to organize the ongoing investigations coherently, based on the nature of the practices and the companies involved23. In particular, the investigation of referral n° 06/0086 F was separated from the other cases registered under number 07/0076 F. Furthermore, the aspects of case 07/0034 F concerning certain horizontal practices mentioned in the leniency requests and referral 06/0086 F were joined under number 06/0086 F24; and,</w:t>
      </w:r>
    </w:p>
    <w:p>
      <w:r>
        <w:rPr>
          <w:b/>
        </w:rPr>
        <w:t>[Pages 10–12]</w:t>
      </w:r>
    </w:p>
    <w:p>
      <w:r>
        <w:t xml:space="preserve">− finally, by a decision of March 27, 2025, the deputy general rapporteur decided to join referrals n° 07/0076 F and n° 06/0086 F under the unique number 07/0076 F25.  </w:t>
        <w:br/>
        <w:t xml:space="preserve">13. The investigation of the referrals now grouped under number 07/0076 F was also marked by the obstructionist practice implemented by Brenntag, which only partially responded, despite numerous reminders, to the questionnaires from the investigation services aimed at obtaining information on the alleged exclusivity practices. This practice was sanctioned with a fine of 30 million euros by decision n° 17-D-27 of December 21, 2017, confirmed in all respects by the Court of Appeal of Paris in its judgment of November 21, 202426. Brenntag subsequently filed an appeal in cassation27 and, in this context, submitted a priority question of constitutionality (hereinafter, "QPC") regarding the provisions of the second paragraph of V of Article L. 464-2 of the Commercial Code. By a judgment of July 9, 202528, the Court of Cassation refused to transmit this QPC to the Constitutional Council.  </w:t>
        <w:br/>
        <w:t xml:space="preserve">14. In light of the findings that follow, the general rapporteur of the Authority sent a proposal for dismissal to the companies Brenntag, Gaches, Solvadis, and Chimiphar (which has since become Pharéos, see below in paragraph 48) as well as to the DGCCRF on April 29, 202529.  </w:t>
        <w:br/>
        <w:t xml:space="preserve">15. The case was examined during the Authority's session on September 30, 2025.  </w:t>
        <w:br/>
        <w:t xml:space="preserve">Summary of the joined referrals under number 07/0076 F as well as the practices subject to this decision  </w:t>
        <w:br/>
        <w:t xml:space="preserve">Date of Initial Number Alleged Practices (see details in paragraphs 63 and following below)  </w:t>
        <w:br/>
        <w:t xml:space="preserve">Complainant Company  </w:t>
        <w:br/>
        <w:t xml:space="preserve">of the referral of the referral  </w:t>
        <w:br/>
        <w:t xml:space="preserve">22/11/2006 Gaches 06/0086 F - Horizontal agreements practices  </w:t>
        <w:br/>
        <w:t xml:space="preserve">/ (referral to the investigation - Pricing practices (predatory and  </w:t>
        <w:br/>
        <w:t xml:space="preserve">13/03/2007 ordered by the Court of Appeal - 07/0034 F discriminatory)  </w:t>
        <w:br/>
        <w:t xml:space="preserve">decision n° 06-D-12) - Exclusivities  </w:t>
        <w:br/>
        <w:t xml:space="preserve">- Pricing practices (predatory and  </w:t>
        <w:br/>
        <w:t xml:space="preserve">20/07/2007 Gaches 07/0058 F discriminatory)  </w:t>
        <w:br/>
        <w:t xml:space="preserve">- Exclusivities  </w:t>
        <w:br/>
        <w:t xml:space="preserve">of the investigation report of June 9, 2004, from the BIE of Bordeaux and under chapter C, point 1 "The practice consisting of attempts by the company BRENNTAG to instrumentalize the UFCC" of the statement of objections in case file 03/0047 F, on the one hand, and the cases recorded under the referral number 07/0076 F, on the other hand," while Article 3 states that "the investigation of referral 06/0086 F is joined, on the one hand, and the part of referral 07/0034 F referred to under chapters X "The practices of Lambert-Rivière SAS concerning the consignment and technical fees" and XI "The attitude of the professional organization" of the investigation report of June 9, 2004, from the BIE of Bordeaux, and under chapter C, point 1 "The practice consisting of attempts by the company BRENNTAG to instrumentalize the UFCC" of the statement of objections in case file 03/0047 F, on the other hand."  </w:t>
        <w:br/>
        <w:t xml:space="preserve">25 References 41 978 to 41 980.  </w:t>
        <w:br/>
        <w:t xml:space="preserve">26 Judgment of the Court of Appeal of Paris of November 21, 2024, n° 18/02036.  </w:t>
        <w:br/>
        <w:t xml:space="preserve">27 Pending to this day.  </w:t>
        <w:br/>
        <w:t xml:space="preserve">28 Judgment of the Court of Cassation of July 9, 2025, n° V 24-22.654.  </w:t>
        <w:br/>
        <w:t>29 References 42 101 to 42 179.</w:t>
      </w:r>
    </w:p>
    <w:p>
      <w:r>
        <w:t xml:space="preserve">Date of Initial Number Alleged Practices (see details in paragraphs 63 and following below)  </w:t>
        <w:br/>
        <w:t xml:space="preserve">Complainant Company  </w:t>
        <w:br/>
        <w:t xml:space="preserve">of the referral of the referral  </w:t>
        <w:br/>
        <w:t xml:space="preserve">- Horizontal agreements practices  </w:t>
        <w:br/>
        <w:t xml:space="preserve">- Exclusivities  </w:t>
        <w:br/>
        <w:t xml:space="preserve">31/10/2007 Solvadis 07/0076 F - Intimidation practices  </w:t>
        <w:br/>
        <w:t xml:space="preserve">- Tied sales practices implemented through an agreement  </w:t>
        <w:br/>
        <w:t xml:space="preserve">- Acts of unfair competition  </w:t>
        <w:br/>
        <w:t xml:space="preserve">30/10/2009 Chimiphar 09/0123 F  </w:t>
        <w:br/>
        <w:t xml:space="preserve">- Vertical agreements practices  </w:t>
        <w:br/>
        <w:t xml:space="preserve">B. THE SECTOR OF ACTIVITY  </w:t>
        <w:br/>
        <w:t xml:space="preserve">16. The sector concerned by the various referrals grouped under number 07/0076 F would be, according to the complainants, that of the distribution of chemical products, and more specifically that of the distribution of chemical commodities in France.  </w:t>
        <w:br/>
        <w:t xml:space="preserve">1. CHEMICAL PRODUCTS  </w:t>
        <w:br/>
        <w:t xml:space="preserve">17. As noted in decisions n° 06-D-12, n° 13-D-12, and n° 17-D-27 mentioned above (paragraphs 5, 11, and 13 above)30, chemical products encompass three categories:  </w:t>
        <w:br/>
        <w:t xml:space="preserve">− chemical commodities: basic raw materials, with a fixed composition, most often sold in large volumes, with moderate unit margins, primarily derived from inorganic chemistry and petrochemistry, used by industry and services and involving heavy investments as well as high logistics costs for distributors. Chemical commodities consist of a very wide range of references including, in particular, liquid and solid mineral products and solvents, including petroleum solvents, acetates, glycols, alcohols, ethers, soda, acids, bleach, hydrogen peroxide, ferric chloride, formaldehyde, bisulfites, and potash;  </w:t>
        <w:br/>
        <w:t xml:space="preserve">− specialties: formulated products aimed at achieving a particular performance for their end professional users, such as detergents, adhesives, or dyes. They are, consequently, priced higher than commodities; and,  </w:t>
        <w:br/>
        <w:t xml:space="preserve">− fine chemicals: products with a fixed composition that integrate a high added value in research and development, such as active pharmaceutical ingredients of calcium or zinc. They are more expensive and marketed in small volumes to a targeted clientele (pharmaceutical laboratories, agri-food producers, etc.).  </w:t>
        <w:br/>
        <w:t xml:space="preserve">18. The suppliers, producers of chemical products, are the main groups in the chemical industry, including BASF, ExxonMobil, INEOS, LyondellBasell, Solvay, and Bayer. They are producers of European, if not global, scale.  </w:t>
        <w:br/>
        <w:t>30 See paragraph 1 of decision n° 06-D-12, paragraphs 23 to 25 of decision n° 13-D-12, and paragraphs 25 and 26 of decision n° 17-D-27.</w:t>
      </w:r>
    </w:p>
    <w:p>
      <w:r>
        <w:t xml:space="preserve">2. MARKETING OF CHEMICAL COMMODITIES  </w:t>
        <w:br/>
        <w:t xml:space="preserve">19. As indicated in the aforementioned decision n° 13-D-1231, regarding the marketing of chemical commodities, it is necessary to distinguish: direct sales by producers (a), sales by a distributor (b), and sales by a "trader" (c)32.  </w:t>
        <w:br/>
        <w:t xml:space="preserve">a) Direct sales by producers  </w:t>
        <w:br/>
        <w:t xml:space="preserve">20. Chemical commodities are, for the most part, directly supplied by producers to end consumers, generally industrial user clients, who need large quantities of chemical commodities, most often by truck or by full railcars. Direct sales by producers account for at least 95% of production33.  </w:t>
        <w:br/>
        <w:t xml:space="preserve">b) Sales by a distributor  </w:t>
        <w:br/>
        <w:t xml:space="preserve">21. The distribution of chemical commodities is subject to regulatory and logistical constraints (see below, paragraphs 30 to 34) that make it economically inefficient for producers to deliver these products in small quantities. Consequently, producers of commodities deliver a residual part of their production to intermediaries, the distributors, who in turn sell to their clients smaller quantities, generally less than or equal to a full truckload (i.e., 24 tons). Given, in particular, the differences in quantities delivered, sales by distributors constitute a complementary offer to that made directly by producers.  </w:t>
        <w:br/>
        <w:t xml:space="preserve">22. This distribution function is accompanied by services such as storage, blending, dilution, packaging, delivery, or transport.  </w:t>
        <w:br/>
        <w:t xml:space="preserve">23. Distributors of chemical commodities use two modes of delivery:  </w:t>
        <w:br/>
        <w:t xml:space="preserve">− delivery from the depot: the commercial transaction takes place between the distributor and the client, and the products are transported from the distributor's sites to those of the client; and,  </w:t>
        <w:br/>
        <w:t xml:space="preserve">− direct delivery, or "straight" delivery: the commercial transaction also takes place between the distributor and the client, but the products are transported (generally by full trucks) directly from the producer's sites to those of the client, without passing through the distributor's depots.  </w:t>
        <w:br/>
        <w:t xml:space="preserve">24. The complainant companies, Gaches, Chimiphar, and Solvadis, as well as the implicated company Brenntag, are all distributors of chemical commodities.  </w:t>
        <w:br/>
        <w:t xml:space="preserve">c) Sales by a "trader"  </w:t>
        <w:br/>
        <w:t>25. Industrial clients may also turn to "traders," who differ from distributors in that their function is generally limited to the simple commercial transaction of purchasing from producers and reselling to user clients, without that</w:t>
      </w:r>
    </w:p>
    <w:p>
      <w:r>
        <w:rPr>
          <w:b/>
        </w:rPr>
        <w:t>[Pages 13–15]</w:t>
      </w:r>
    </w:p>
    <w:p>
      <w:r>
        <w:t xml:space="preserve">the merchandise physically passes through their intermediary, the products being, most of the time, delivered directly by the producer to the customer of the "trader."  </w:t>
        <w:br/>
        <w:t xml:space="preserve">3. THE CHARACTERISTICS OF CHEMICAL COMMODITY SALES BY DISTRIBUTORS  </w:t>
        <w:br/>
        <w:t xml:space="preserve">a) Characteristics of Demand  </w:t>
        <w:br/>
        <w:t xml:space="preserve">26. The customers of chemical commodity distributors engage in a wide variety of activities.  </w:t>
        <w:br/>
        <w:t xml:space="preserve">27. They can be large industrial groups or small and medium-sized enterprises and are notably active in sectors such as the chemical industry, agri-food, automotive, hospital and private laundries, water treatment, armaments, concrete and road binder industry, disinfection and cleaning industry, dairies, paint manufacturing, mechanical and aerospace industries, textiles, etc.  </w:t>
        <w:br/>
        <w:t xml:space="preserve">b) Provision of Specific Services  </w:t>
        <w:br/>
        <w:t xml:space="preserve">28. Distributors provide their customers with specific services that are not offered by producers or traders. In addition to the act of resale, there are services, some of which are directly related to the hazardous nature of many products subject to specific regulatory constraints, particularly for storage and transport. These services include packaging, according to customer needs, in lost or returnable packaging, the creation of mixtures and dilutions and their packaging, overall management of the customer's supplies ("global sourcing" or "outsourcing"), safety management, labeling, management of products at the user's site, and finally, management of effluents and packaging.  </w:t>
        <w:br/>
        <w:t xml:space="preserve">29. Furthermore, distributors manage a multitude of suppliers and customers as well as a wide range of products.  </w:t>
        <w:br/>
        <w:t xml:space="preserve">c) A Constraining Regulatory Context  </w:t>
        <w:br/>
        <w:t xml:space="preserve">30. Chemical commodities are products that are more or less hazardous (sometimes flammable, toxic, explosive, etc.) and, as such, are subject to strict regulations regarding product quality and safety, as well as environmental protection. This regulation concerns both the product itself and its conditions of storage, transport, and all associated services. The requirements imposed by suppliers lead distributors to focus on quality certification and environmental compliance (notably through multiple certifications from the International Organization for Standardization (ISO standards)).  </w:t>
        <w:br/>
        <w:t xml:space="preserve">31. Manufacturers and distributors of chemical products are particularly concerned by the gradual expansion of the number of facilities subject to the so-called "Seveso" directives34 and the constant strengthening of prevention, safety, and information measures that must be implemented at sites involving hazardous chemical products.  </w:t>
        <w:br/>
        <w:t xml:space="preserve">32. The Seveso III directive includes, among other things, two notable changes: on the one hand, it incorporates the new European Union regulation (hereinafter, "the Union") on the classification, labeling, and packaging of substances and mixtures35, which encompasses more substances and categorizes them according to their degree of hazard (from 1 to 4) and their mode of exposure (ingestion, skin absorption, or inhalation); on the other hand, it enhances transparency by granting the public the right to access information related to hazardous facilities36.  </w:t>
        <w:br/>
        <w:t xml:space="preserve">33. Consequently, the activity of distributing chemical commodities involves making costly investments in special equipment to comply with the rules applicable to Seveso sites, which are subdivided according to two thresholds, Low Threshold and High Threshold, based on the maximum quantities of hazardous materials that may be present on the site.  </w:t>
        <w:br/>
        <w:t xml:space="preserve">34. These various characteristics allow for the identification of a specific activity of distributing chemical commodities.  </w:t>
        <w:br/>
        <w:t xml:space="preserve">C. THE ENTITIES CONCERNED  </w:t>
        <w:br/>
        <w:t xml:space="preserve">1. THE COMPLAINANT COMPANIES  </w:t>
        <w:br/>
        <w:t xml:space="preserve">a) The Gaches Companies  </w:t>
        <w:br/>
        <w:t xml:space="preserve">35. Founded in 1948, Gaches is a family-owned company present in ten countries. Its headquarters is located in Escalquens (31).  </w:t>
        <w:br/>
        <w:t xml:space="preserve">36. Gaches Chimie is active in the distribution of chemical commodities for the aerospace, marine, transport, environmental, textile maintenance, swimming pools, health, agri-food, chemistry, and industry sectors.  </w:t>
        <w:br/>
        <w:t xml:space="preserve">37. It has a High Threshold Seveso site in Escalquens and two Low Threshold Seveso sites37.  </w:t>
        <w:br/>
        <w:t xml:space="preserve">38. Gaches Chimie had a turnover of 24.6 million euros in 200538 and 52.3 million euros in 202239, steadily increasing over the years and generated exclusively in the national market for the distribution of chemical commodities.  </w:t>
        <w:br/>
        <w:t xml:space="preserve">39. Gaches also owns the company La Gloriette, of which 55% of the activity is dedicated to the distribution of chemical commodities40. In 2022, La Gloriette's turnover amounted to 12.5 million euros.  </w:t>
        <w:br/>
        <w:t xml:space="preserve">40. The group also includes the company Gaches Chimie Spécialités, which is not active in the distribution of chemical commodities. This company had a turnover of 115 million euros in 202241.  </w:t>
        <w:br/>
        <w:t xml:space="preserve">b) The Solvadis Companies  </w:t>
        <w:br/>
        <w:t xml:space="preserve">41. The companies Solvadis France and Solvadis GmbH were historically subsidiaries of the Solvadis group, sold in 2017 by the investment fund SSVP to Sojitz Corporation, based in Japan42.  </w:t>
        <w:br/>
        <w:t xml:space="preserve">Solvadis France  </w:t>
        <w:br/>
        <w:t xml:space="preserve">42. As indicated by the aforementioned decision n° 13-D-1243, the chemical products distribution company Langlois-Chimie was founded in 1925 in Rennes and became Solvadis France on January 24, 2002.  </w:t>
        <w:br/>
        <w:t xml:space="preserve">43. Solvadis France operated from its main site in Saint-Jacques de la Lande (35) and five other depots: Montereau-Fault-Yonne (77), Niort (79), Cestas (33), Lille (59), and Lyon (69). In 2003, Solvadis France had a turnover of 69.6 million euros44. In October 2005, Solvadis France sold its business to Eurochem Holding B.V., a company operating in the chemical products distribution sector mainly in the Netherlands, Belgium, and France45, first under the name Quaron and then under the name Stockmeier France starting in 2022, after the Stockmeier group became its sole shareholder in 2019.  </w:t>
        <w:br/>
        <w:t>44. Solvadis France ceased its operational activities in October 2005, and its removal from the trade and companies register occurred on January 25, 201646.</w:t>
      </w:r>
    </w:p>
    <w:p>
      <w:r>
        <w:rPr>
          <w:b/>
        </w:rPr>
        <w:t>[Pages 16–18]</w:t>
      </w:r>
    </w:p>
    <w:p>
      <w:r>
        <w:t xml:space="preserve">Solvadis GmbH  </w:t>
        <w:br/>
        <w:t xml:space="preserve">45. Solvadis Distribution (formerly Solvadis GmbH) and Solvadis Deutschland merged in 2023 with Sojitz Europe GmbH to form Sojitz Solvadis GmbH.  </w:t>
        <w:br/>
        <w:t xml:space="preserve">46. The activities of Solvadis Distribution in France were not related to the activities of the former company Solvadis France47.  </w:t>
        <w:br/>
        <w:t xml:space="preserve">c) Chimiphar (Pharéos)  </w:t>
        <w:br/>
        <w:t xml:space="preserve">47. Founded in 1973, Chimiphar is engaged in the sale of chemical products in France in the pharmaceutical, veterinary, and various processing industries. It also operates in the food industries, notably by providing non-toxic compositions such as CLOGEL48.  </w:t>
        <w:br/>
        <w:t xml:space="preserve">48. On May 18, 2021, the founder of Chimiphar sold his company to the Eremos Group49. Since December 1, 2022, Chimiphar has been named Pharéos50.  </w:t>
        <w:br/>
        <w:t xml:space="preserve">49. The headquarters of Pharéos is located in Pacé (35).  </w:t>
        <w:br/>
        <w:t xml:space="preserve">2. THE COMPANY CHALLENGED BY THE COMPLAINANTS: BRENNTAG  </w:t>
        <w:br/>
        <w:t xml:space="preserve">50. The Brenntag group was established in Germany in 1874 and has undergone several changes of control. After being part of the German group E.ON, it was acquired by Deutsche Bahn in October 2002. In February 2004, Deutsche Bahn transferred control to the investment fund Bain Capital, which in September 2006 sold its stake to the German investment fund BC Partners. Finally, in 2012, BC Partners sold all of its shares to institutional investors51.  </w:t>
        <w:br/>
        <w:t xml:space="preserve">51. The Brenntag group presents itself as the global leader in the distribution of chemical products and ingredients. It is organized into two global divisions, Brenntag Essentials and Brenntag Specialties, which offer a comprehensive range of chemical products and industrial and specialty ingredients, as well as solutions in applications, marketing and supply chain, technical support, formulation assistance, regulatory expertise, and digital solutions for a wide range of industries52.  </w:t>
        <w:br/>
        <w:t xml:space="preserve">52. In 2024, the group operates a network of over 600 sites in 72 countries and employs more than 17,500 people53.  </w:t>
        <w:br/>
        <w:t xml:space="preserve">53. In 2006, Brenntag had fourteen Seveso sites in France, the largest storage capacity among distributors of chemical commodities54. In 2024, it still owns eleven Seveso sites, eight of which are classified as Seveso High Threshold55.  </w:t>
        <w:br/>
        <w:t xml:space="preserve">54. Brenntag SA is a French subsidiary owned 99.94% by Brenntag SE, the ultimate parent company of the Brenntag group. Brenntag SA results from the acquisition of several companies active in France: Interdepot Le Prieur (1989), Distribution Chimie (Debauche) (1992), Orchidis (1994), Bonnave (1996), Marce (2001), and APC (2007). These companies, some of which previously had subsidiary status (for the sites of the former Distribution Chimie group and for the former Orchidis entity), were merged into Brenntag SA on January 1, 2000 (except for the Marce Establishments, integrated in 2001), to become "sites," meaning secondary establishments within the meaning of Article R. 123-40 of the Commercial Code.  </w:t>
        <w:br/>
        <w:t xml:space="preserve">55. Brenntag SA generated a turnover of 416 million euros in France in 200356 and 455 million euros in 2011, with the group's turnover in 2011 amounting to 8.6 billion euros57.  </w:t>
        <w:br/>
        <w:t xml:space="preserve">56. For the fiscal year 2023, Brenntag SA's turnover was 448.5 million euros in France58 and the consolidated turnover of the Brenntag group was 16.8 billion euros59.  </w:t>
        <w:br/>
        <w:t xml:space="preserve">3. OTHER COMPANIES ACTIVE IN THE CHEMICAL COMMODITIES DISTRIBUTION SECTOR  </w:t>
        <w:br/>
        <w:t xml:space="preserve">a) Univar  </w:t>
        <w:br/>
        <w:t xml:space="preserve">57. Univar Europe Holdings B.V. (hereinafter, the "Univar" group) was founded in 1924 and is one of the global leaders in the distribution of chemical products, active in the United States, Canada, Europe, and China.  </w:t>
        <w:br/>
        <w:t xml:space="preserve">58. The Univar group is present in France through its subsidiary of the same name, headquartered in Fontenay-sous-Bois. This subsidiary results from the merger, at the end of 2002, of three French companies: Lambert-Rivière, Quarrechim, and Vaissière-Favre.  </w:t>
        <w:br/>
        <w:t xml:space="preserve">59. In 2006, in the aforementioned decision n° 06-D-12, the Council noted that Univar was then the closest competitor to Brenntag in the market and, "like Brenntag, a group of international stature, holding the top global position for the distribution of chemical products, with 8 Seveso High Threshold sites (compared to 14 for Brenntag)"60.  </w:t>
        <w:br/>
        <w:t xml:space="preserve">60. The Univar group is owned by investment funds61. In 2010, it acquired the activities of Quaron in Belgium and the Netherlands62.  </w:t>
        <w:br/>
        <w:t xml:space="preserve">61. The Univar group generated a turnover of 310 million euros in France in 200363. In 2011, its turnover was 340 million euros in France and 5.8 billion euros globally64.  </w:t>
        <w:br/>
        <w:t xml:space="preserve">b) Other distributors  </w:t>
        <w:br/>
        <w:t xml:space="preserve">62. Among other distributors, which hold smaller market shares, are the following companies: Etablissements Beauseigneur, Produits chimiques Platret, Metausel, Caldic Est, Ciron, APC, Chimie Plus, Charbonneaux-Brabant, Caldic centre, and Produits chimiques Mazal.  </w:t>
        <w:br/>
        <w:t xml:space="preserve">D. THE REFERRALS AND THE PRACTICES ALLEGED  </w:t>
        <w:br/>
        <w:t xml:space="preserve">1. THE PRACTICES ALLEGED BY GACHES  </w:t>
        <w:br/>
        <w:t xml:space="preserve">63. Gaches claims65 that Brenntag, with an increasingly marked dominant position in the French market for the distribution of chemical commodities, would have implemented from 199966:  </w:t>
        <w:br/>
        <w:t xml:space="preserve">− predatory pricing in the South-West region via Brenntag's depot site in Saint-Sulpice, as well as discriminatory pricing and sales conditions consisting of not charging certain fees (technical, deposit, and diesel) in the South-West region while they were charged in the rest of France; and,  </w:t>
        <w:br/>
        <w:t xml:space="preserve">− exclusivity practices, consisting of Brenntag entering into exclusive distribution contracts with major suppliers of chemical commodities from whom Gaches used to source, as well as with new suppliers.  </w:t>
        <w:br/>
        <w:t>64. These practices would have aimed to drive Gaches out of the market after it refused to be acquired by Brenntag following unsuccessful negotiations initiated in 199867.</w:t>
      </w:r>
    </w:p>
    <w:p>
      <w:r>
        <w:rPr>
          <w:b/>
        </w:rPr>
        <w:t>[Pages 19–21]</w:t>
      </w:r>
    </w:p>
    <w:p>
      <w:r>
        <w:t xml:space="preserve">65. Gaches also denounces68 an agreement consisting of multilateral practices of customer allocation and price coordination, implemented by the companies Brenntag, Solvadis France (now Quaron), and Univar France in the French market for the distribution of chemical commodities.  </w:t>
        <w:br/>
        <w:t xml:space="preserve">2. THE PRACTICES DENOUNCED BY SOLVADIS  </w:t>
        <w:br/>
        <w:t xml:space="preserve">66. The scope of Solvadis's initial referral has been modified by its supplementary referral of February 4, 2010, as well as by its letter of partial withdrawal (paragraph 8 above), the anti-competitive practices denounced by the company, which Brenntag allegedly implemented since 1998, are now limited to:  </w:t>
        <w:br/>
        <w:t xml:space="preserve">− the establishment of a strategy for organizing agreements, notably through professional organizations;  </w:t>
        <w:br/>
        <w:t xml:space="preserve">− the conclusion by Brenntag of exclusivity agreements with the most important producers;  </w:t>
        <w:br/>
        <w:t xml:space="preserve">− intimidation practices against individuals challenging its abuse system; and,  </w:t>
        <w:br/>
        <w:t xml:space="preserve">− tied sales practices consisting of forcing, through an agreement, distributors to charge deposit fees, technical fees, and "diesel taxes."  </w:t>
        <w:br/>
        <w:t xml:space="preserve">3. THE PRACTICES DENOUNCED BY CHIMIPHAR  </w:t>
        <w:br/>
        <w:t xml:space="preserve">67. Like Gaches, Chimiphar argues that following its refusal to be acquired by Brenntag after negotiations in 1998 and 1999, Brenntag allegedly implemented69:  </w:t>
        <w:br/>
        <w:t xml:space="preserve">− abuse of dominant position practices consisting of acts of unfair competition (disorganization of the company, disparagement, confusion regarding certain products); and,  </w:t>
        <w:br/>
        <w:t xml:space="preserve">− vertical agreement practices between Brenntag and chemical product manufacturers, consisting of Brenntag pressuring these manufacturers to obtain the distribution of their products in place of Chimiphar and/or imposing exorbitant prices akin to a refusal to sell.  </w:t>
        <w:br/>
        <w:t xml:space="preserve">68. Referral n° 06/0086 F, references 979 to 1,021.  </w:t>
        <w:br/>
        <w:t xml:space="preserve">69. Referral n° 09/0123 F, references 24,839 to 24,843.  </w:t>
        <w:br/>
        <w:t>19</w:t>
      </w:r>
    </w:p>
    <w:p>
      <w:r>
        <w:t xml:space="preserve">II. Discussion  </w:t>
        <w:br/>
        <w:t xml:space="preserve">A. ON THE PROCEDURE  </w:t>
        <w:br/>
        <w:t xml:space="preserve">1. ON THE SCOPE OF THE REFERRAL FOR INSTRUCTION  </w:t>
        <w:br/>
        <w:t xml:space="preserve">68. As recalled above (paragraph 6 above), the Paris Court of Appeal annulled, on March 13, 2007, decision n° 06-D-12, reproaching the Council for having indiscriminately taken into account commodities and chemical specialties in the calculation of market shares, which led to excluding the existence of a dominant position of Brenntag in the concerned market.  </w:t>
        <w:br/>
        <w:t xml:space="preserve">69. In the observations it made following the proposal for non-suit, Gaches argues that the Paris Court of Appeal referred the case to the Authority solely for it to conduct further instruction and not to rule again on the merits, as this referral for instruction would not impede the devolutive effect of the appeal. According to Gaches, since the Paris Court of Appeal "reserved the costs," it is not divested of the case, on which it would be incumbent to rule once the additional instruction is conducted by the Authority's instruction services70. The Authority would therefore not be competent to rule on the practices grouped in referral n° 07/0076 F.  </w:t>
        <w:br/>
        <w:t xml:space="preserve">70. In support of its reasoning, Gaches refers to the judgment of May 22, 2025, cited above (paragraph 11 above), whereby the Paris Court of Appeal referred to the Authority for the drafting of a new report on the determinants of the sanction against Brenntag and its parent company, the case having led to decision n° 13-D-12 cited above. The Paris Court of Appeal emphasized on this occasion that "such a referral does not divest the Court, which will rule after the report is submitted in accordance with its obligation to rule on the entire dispute. The referral of the case to the Authority can therefore only be a referral for instruction and not a referral before the College, which, unlike a referral for instruction, divests the Court and undermines the principle of the devolutive effect of the appeal, as the Court has not then ruled on the grievances."  </w:t>
        <w:br/>
        <w:t xml:space="preserve">71. In this regard, the Authority first notes that following the referral for instruction made by the Paris Court of Appeal on March 13, 2007, Gaches submitted a new referral updating the initial referral of 2003 and extending its scope, notably by incorporating the predatory pricing practice denounced in the RAE (paragraphs 8 and 63 to 65 above). This new referral was followed by two other referrals from the companies Solvadis and Chimiphar, respectively in 2007 and 2009, which also aimed to denounce anti-competitive practices implemented by Brenntag (paragraph 8 above). The Authority is therefore obliged to rule on the practices denounced by these three referrals.  </w:t>
        <w:br/>
        <w:t xml:space="preserve">72. In any case, even in the absence of a new referral after the referral for instruction, the Paris Court of Appeal, which annuls a decision of the Authority's College, can only rule, by virtue of the devolutive effect of the appeal, within the limits of the competence and powers of the College. However, when the latter decides to refer the case in whole or in part for instruction, the Authority's general rapporteur is free in how he wishes to conduct70 this instruction (Article L. 463-2 of the Commercial Code). Due to the separation between the functions of instruction and decision, the College cannot instruct the instruction services to carry out the acts it deems useful71. The general rapporteur of the Authority can then modify the initially notified grievances or notify additional grievances, and the College can then render a new decision only on these newly notified grievances.  </w:t>
        <w:br/>
        <w:t xml:space="preserve">73. If the Paris Court of Appeal can, in exercising the devolutive effect of the appeal against a decision of the Authority and pursuant to Articles 10 and 11 of the Code of Civil Procedure, request the parties to complete certain information or update certain data, it cannot, however, remain seized while ordering the implementation of powers belonging solely to the general rapporteur of the Authority (Articles L. 450-1 and following of the Commercial Code).  </w:t>
        <w:br/>
        <w:t xml:space="preserve">74. Furthermore, in its judgment of February 26, 2008, confirming the judgment of the Paris Court of Appeal of March 13, 2007 (paragraph 6 above), the Court of Cassation specified that "if the Court of Appeal, seized of an appeal for annulment of a decision of the Council, is in principle required, after annulling this decision, to rule on the facts and law regarding the grievances notified and maintained by the report, this is not the case when the Court of Appeal, which does not have the powers or means to conduct the instruction of a referral from the Council under the conditions provided by Articles L. 450-1 and following of the Commercial Code, annuls, due to the insufficiency of the Council's instruction, a decision stating that the alleged practices are not established." The Court of Cassation has, on this basis, stated that the Paris Court of Appeal was not in a position to rule on the facts and law regarding the practices subject to referral n° 07/0034 F, opened following the referral for instruction of file n° 03/0047 F (paragraphs 2 and 6 above), since the elements present in the report did not allow it to rule on the existence of an infringement. Thus, the very nature of decision n° 06-D-12 of the Council, which concluded to a non-suit without ruling on the grievances since the dominant position did not appear to be demonstrated, opposes the Paris Court of Appeal remaining seized of the file while it referred the case for instruction.  </w:t>
        <w:br/>
        <w:t xml:space="preserve">75. Finally, the Authority observes, for all useful purposes, that if Gaches had truly believed that the judgment of the Paris Court of Appeal of March 13, 2007, was limited to ordering a simple measure of additional instruction, it would not have submitted a new referral to the Authority. The interpretation it now supports in its writings thus appears to be devoid of coherence with its previous procedural choices.  </w:t>
        <w:br/>
        <w:t xml:space="preserve">76. Therefore, it is indeed up to the Authority, within the framework of the referral for instruction ordered by the Paris Court of Appeal in its judgment of March 13, 2007, to rule on file n° 07/0076 F.  </w:t>
        <w:br/>
        <w:t xml:space="preserve">71 The independence of the general rapporteur and his services with respect to the Authority's formations competent to impose sanctions has notably been recalled by the Constitutional Council in decision n° 2012-280 QPC of October 12, 2012, as well as by the Court of Cassation in a judgment of September 30, 2021 (Civ. 2e, n° 20-18.302, Bull.).  </w:t>
        <w:br/>
        <w:t>21</w:t>
      </w:r>
    </w:p>
    <w:p>
      <w:r>
        <w:rPr>
          <w:b/>
        </w:rPr>
        <w:t>[Pages 22–24]</w:t>
      </w:r>
    </w:p>
    <w:p>
      <w:r>
        <w:t xml:space="preserve">2. ON THE POSSIBILITY OF PRONOUNCING A DISMISSAL UNDER ARTICLE L. 464-6 OF THE COMMERCIAL CODE  </w:t>
        <w:br/>
        <w:t xml:space="preserve">77. In the observations they made following the proposal for dismissal, Gaches72, Solvadis73, and Chimiphar74 argue that the practices they denounce are established and that it is therefore impossible to propose a dismissal under Article L. 464-6 of the Commercial Code. The three complainants particularly mention the horizontal agreement practices established by the Authority in the aforementioned decision n° 13-D-12.  </w:t>
        <w:br/>
        <w:t xml:space="preserve">78. Article L. 464-6 states that "when no practice likely to harm competition in the market is established, the Competition Authority may decide, after the author of the referral and the Government Commissioner have been able to consult the file and make their observations, that there is no need to continue the procedure."  </w:t>
        <w:br/>
        <w:t xml:space="preserve">79. However, the proposal for dismissal does not indicate that the horizontal agreement practices are not established, but emphasizes that they have already been examined by the Authority in its decision n° 13-D-12, which has become definitive on this point following the judgments rendered by the Court of Appeal of Paris and the Court of Cassation (see, above, paragraph 11).  </w:t>
        <w:br/>
        <w:t xml:space="preserve">80. The investigation services have therefore rightly recalled that by application of the principle of non bis in idem, the Authority, when it has rendered a decision on the merits regarding practices against a company, cannot rule a second time on these practices against the same company on the same legal basis75.  </w:t>
        <w:br/>
        <w:t xml:space="preserve">81. The horizontal agreement practices denounced therefore do not fall within the scope of the practices referred to in the proposal for dismissal based on Article L. 464-6 of the Commercial Code.  </w:t>
        <w:br/>
        <w:t xml:space="preserve">B. ON THE APPLICABILITY OF UNION LAW  </w:t>
        <w:br/>
        <w:t xml:space="preserve">1. THE APPLICABLE PRINCIPLES  </w:t>
        <w:br/>
        <w:t xml:space="preserve">82. Article 102 of the Treaty on the Functioning of the European Union (hereinafter, "TFEU") states that "any abuse by one or more undertakings of a dominant position within the internal market or in a substantial part of it shall be incompatible with the internal market and prohibited in so far as it may affect trade between Member States."  </w:t>
        <w:br/>
        <w:t xml:space="preserve">83. Based on the consistent case law of the Union, and in light of the European Commission's (hereinafter, "Commission") communication on guidelines relating to the notion of affecting trade as set out in Articles 81 and 82 of the Treaty76, the Authority considers that three elements must be met for practices to be likely to significantly affect trade between Member States: (i) the existence of exchanges between Member States concerning the products or services in question, (ii) the existence of practices likely to affect these exchanges, and (iii) the sensitive nature of this possible effect.  </w:t>
        <w:br/>
        <w:t xml:space="preserve">84. The application of the criterion of affecting intra-Community trade is independent of the definition of the relevant geographic markets, as trade between Member States can be affected even in cases where the market in question is national or subnational77.  </w:t>
        <w:br/>
        <w:t xml:space="preserve">85. The fact that agreements or abuses of a dominant position are committed within the territory of a single Member State does not prevent the first two conditions from being met. In this regard, the Court of Cassation clarified in a judgment of January 31, 2012, that the terms "likely to affect" as stated in Articles 101 and 102 of the TFEU "imply that the agreement or abusive practice in question allows, based on a set of objective legal or factual elements, to consider with a sufficient degree of probability that it may exert a direct or indirect, actual or potential influence on the flow of trade between Member States, without requiring the establishment of an actual effect on intra-Community trade"78.  </w:t>
        <w:br/>
        <w:t xml:space="preserve">86. Regarding the third element, the Court of Cassation also ruled, in the same judgment, that "the sensitive nature of the direct or indirect, potential or actual effect on intra-Community trade results from a set of criteria, including the nature of the practices, the nature of the products concerned, and the market position of the companies involved"79.  </w:t>
        <w:br/>
        <w:t xml:space="preserve">2. APPLICATION TO THE CASE AT HAND  </w:t>
        <w:br/>
        <w:t xml:space="preserve">87. In this case, the practices denounced mainly concern the South-West region (more specifically Occitanie), but Brenntag is part of a German group active within the Union and worldwide. This company indeed presents itself on its website as "the leader in the global market for the distribution of chemical products and ingredients," playing "a central role in connecting customers and suppliers in the chemical industry"80.  </w:t>
        <w:br/>
        <w:t xml:space="preserve">88. Furthermore, as noted by the Authority in the aforementioned decision n° 13-D-12, some distributors of chemical commodities established in other Member States supply clients located in French territory. For example, the company Holvoet, based in Belgium, supplied the Nord-Pas-de-Calais region81.  </w:t>
        <w:br/>
        <w:t xml:space="preserve">89. Moreover, the suppliers of the products concerned are the main groups in the chemical industry, which are of European or even global scale (see above, paragraph 18).  </w:t>
        <w:br/>
        <w:t xml:space="preserve">90. The practices denounced are thus likely to have repercussions on trade flows and exchanges between Member States.  </w:t>
        <w:br/>
        <w:t xml:space="preserve">91. Therefore, the practices in question are likely to significantly affect trade between Member States. They must therefore be examined both under national law and under Union law.  </w:t>
        <w:br/>
        <w:t xml:space="preserve">C. ON THE RELEVANT MARKETS AND THE POSITION OF OPERATORS  </w:t>
        <w:br/>
        <w:t xml:space="preserve">1. THE RELEVANT MARKETS  </w:t>
        <w:br/>
        <w:t xml:space="preserve">a) The applicable principles  </w:t>
        <w:br/>
        <w:t xml:space="preserve">92. The Commission recalled, in its communication of February 22, 2024, on the definition of the relevant market, that the market for products "includes all products that customers consider interchangeable or substitutable with those of the concerned undertaking(s), due to their characteristics, price, and intended use, taking into account the competitive conditions and the structure of demand and supply in the market"82.  </w:t>
        <w:br/>
        <w:t xml:space="preserve">93. At the national level,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in the same market those products or services that can reasonably be thought to be alternative means between which demanders can arbitrate to satisfy the same demand"83.  </w:t>
        <w:br/>
        <w:t>94. The geographic market, for its part, includes "the territory on which the concerned undertakings offer or request the products in question, on which the competitive conditions are sufficiently homogeneous for the effects of the behavior or concentration subject to the investigation to be assessed and which can be distinguished from other territories, particularly due to significantly different competitive conditions prevailing in those territories"84.</w:t>
      </w:r>
    </w:p>
    <w:p>
      <w:r>
        <w:rPr>
          <w:b/>
        </w:rPr>
        <w:t>[Pages 25–27]</w:t>
      </w:r>
    </w:p>
    <w:p>
      <w:r>
        <w:t xml:space="preserve">b) Application to the case  </w:t>
        <w:br/>
        <w:t xml:space="preserve">On the markets of products  </w:t>
        <w:br/>
        <w:t xml:space="preserve">95. In this case, in accordance with decision-making practice and case law85, it is necessary to distinguish between chemical commodities (see below, paragraph 103), chemical specialties (see below, paragraph 108), and fine chemicals, each constituting a distinct category of chemical products.  </w:t>
        <w:br/>
        <w:t xml:space="preserve">96. Fine chemicals not being concerned by the practices denounced in the context of referral n° 07/0076 F, the market to which they belong will not be studied below.  </w:t>
        <w:br/>
        <w:t xml:space="preserve">97. Furthermore, it is important, for each category of products, to distinguish the downstream market of distribution from the upstream market of production.  </w:t>
        <w:br/>
        <w:t xml:space="preserve">The production of chemical products (upstream market)  </w:t>
        <w:br/>
        <w:t xml:space="preserve">98. Regarding the upstream market for the production of chemical products, the Commission was able to conclude that each chemical product was likely to constitute a distinct product market, mainly due to a lack of substitutability on both the supply and demand sides86.  </w:t>
        <w:br/>
        <w:t xml:space="preserve">99. It notably identified relevant markets by chemical commodity or by category or family of chemical commodities87, according to the properties, characteristics, manufacturing processes, and applications of the products concerned.  </w:t>
        <w:br/>
        <w:t xml:space="preserve">100. The Commission also left open the question of the precise segmentation of the market, both for specialties and commodities88.  </w:t>
        <w:br/>
        <w:t xml:space="preserve">101. In this case, the analysis of the denounced practices does not require a more precise definition of this market.  </w:t>
        <w:br/>
        <w:t xml:space="preserve">The distribution of chemical products (downstream market)  </w:t>
        <w:br/>
        <w:t xml:space="preserve">102. According to the Commission, the distribution of chemical commodities and the distribution of chemical specialties constitute two distinct markets89. This analysis is shared by the complainants, Brenntag, and the investigating services.  </w:t>
        <w:br/>
        <w:t xml:space="preserve"> Chemical commodities  </w:t>
        <w:br/>
        <w:t xml:space="preserve">103. According to the definition adopted by the Commission, these mainly include basic raw materials with fixed compositions such as alcohols, soda, or acids90. Mainly derived from inorganic chemistry and petrochemistry, they are used by industry and services. They are easy to handle and do not require, for their resale by distributors, specific knowledge from their clients. However, there is no unanimously validated list of chemical commodities by the profession, as noted by the Union Française du Commerce Chimique91 (hereinafter, "UFCC")92. According to Brenntag, "for 80% of the products, the list is shared. For 20%, there is a gray area where operators do not share the same viewpoint on the category to which a specific product belongs, which depends on the organization and strategy of each company, and the assessment made by each company of the characteristics of the product. These categories (commodities/specialties) are specific to producers and distributors, categories that clients do not know"93. For example, starches and iron oxides are considered specialties by Brenntag94, and as commodities by Quaron95.  </w:t>
        <w:br/>
        <w:t xml:space="preserve">104. As indicated in paragraphs 19 to 25 above, the sale of chemical commodities is, for the most part, carried out directly by producers to industrial end-users and, for the rest, by distributors who deliver to industries in small quantities, either directly or through traders.  </w:t>
        <w:br/>
        <w:t xml:space="preserve">105. Delivery from depots is subject to significant logistical and regulatory constraints requiring heavy investments and constituting strong barriers to entry. It is accompanied by services such as storage, blending, dilution, packaging, delivery, or transport.  </w:t>
        <w:br/>
        <w:t xml:space="preserve">106. In light of these elements, in decision n° 13-D-12 mentioned above96, the Authority had thus retained, for the purposes of examining the practices of collusion in the sector, the market for the distribution of chemical commodities by depots.  </w:t>
        <w:br/>
        <w:t xml:space="preserve">107. Previously, in decision n° 06-D-12 mentioned above, the Council had considered that "the material dimension of the relevant market, namely the downstream market for the wholesale distribution of commodities, confronting the supply of distributors and the demand of industries, is not contested by the parties, even if Brenntag argues marginally that iron oxides and starches do not constitute commodities. This exclusion (...) does not change, in any case, much about the material outline of the market. Regarding the material dimension of the market, the market encompasses all commodities and there are not as many markets as there are types of commodities, taken one by one. Indeed, while the types of commodities each meet specific needs of industries and are not substitutable for one another, distributors must offer their clients a complete assortment of commodities (...) Finally, the wholesale distribution of commodities is distinct from the direct sale made by producers of commodities to industries, (...), the services rendered to end clients being different (value-added services; deliveries by complete ranges and in smaller quantities). Less than 5% of the market for commodities approximately falls under the analysis of the present case"97. The Court of Appeal of Paris also noted that "the parties agree on the material dimension of the relevant market, concerning the downstream market for the wholesale distribution of chemical commodities, confronting the supply of distributors and the demand of industries"98.  </w:t>
        <w:br/>
        <w:t xml:space="preserve"> Chemical specialties  </w:t>
        <w:br/>
        <w:t xml:space="preserve">108. The Commission defined them in these terms, as opposed to chemical commodities: "chemical specialties have higher prices and bear brands. They are distributed in small quantities to specific clients and most distributors specialize in specific products intended for certain types of clients"99.  </w:t>
        <w:br/>
        <w:t xml:space="preserve">109. In its decision of November 28, 2006, regarding Brenntag's acquisition of Albion, the UK Office of Fair Trading (hereinafter, "OFT") also specified: "the parties indicated that the distribution of chemical specialties (as a whole) tends to be limited to the distribution of small quantities of branded products sold at higher prices to specific clients. Chemical specialties are formulated for specific uses such as paint additives, food additives, surfactants for the detergent industry, and water treatment products. Buyers of chemical specialties include producers of lacquers, paints, printing inks, manufacturers of rubber products, as well as manufacturers of general chemicals and the agri-food, cosmetic, and pharmaceutical industries. Chemical specialties are generally distributed under the brand of the concerned manufacturer and, in most cases, clients must be advised by the supplier"100.  </w:t>
        <w:br/>
        <w:t>110. The question of subdividing the market for specialties based on the type of industry to which the products are sold (notably pharmaceutical, chemical, agri-food industries) was raised before the minister responsible for the economy but remained open101. It was also raised before the OFT, in its aforementioned decision of November 28, 2006, regarding limited substitutability at the supply level. Nevertheless, the OFT considered that, overall, additional segmentation did not appear necessary, in accordance with the approach adopted by the Commission102.</w:t>
      </w:r>
    </w:p>
    <w:p>
      <w:r>
        <w:rPr>
          <w:b/>
        </w:rPr>
        <w:t>[Pages 28–30]</w:t>
      </w:r>
    </w:p>
    <w:p>
      <w:r>
        <w:t xml:space="preserve">111. Three categories of distributors are present in this market103:  </w:t>
        <w:br/>
        <w:t xml:space="preserve">− large European specialty distributors, among which are distributors present in the commodity market that have established separate organizations to sell chemical specialties in several countries (such as Biesterfeld, Brenntag, or Univar), as well as distributors that sell exclusively specialties, such as Azelis or IMCD;  </w:t>
        <w:br/>
        <w:t xml:space="preserve">− national distributors (Sepulchre, Algol, or Chimiray), which offer ranges tailored to various industrial sectors; and,  </w:t>
        <w:br/>
        <w:t xml:space="preserve">− niche distributors, who are specialists present in a particular industrial sector, notably those in cosmetics, paints, pharmaceuticals, and food. They are generally present in only one country.  </w:t>
        <w:br/>
        <w:t xml:space="preserve">112. Thus, regarding the downstream markets and in light of the decision-making practice of the Union and national authorities, it is appropriate to retain the relevant markets of the distribution of chemical commodities and the distribution of chemical specialties.  </w:t>
        <w:br/>
        <w:t xml:space="preserve">On the geographical dimension of the markets  </w:t>
        <w:br/>
        <w:t xml:space="preserve">The production of chemical products (upstream market)  </w:t>
        <w:br/>
        <w:t xml:space="preserve">113. The Union's decision-making practice has essentially considered that the European Economic Area (hereinafter, "EEA") constitutes the relevant geographical area for the market of chemical production104.  </w:t>
        <w:br/>
        <w:t xml:space="preserve">114. In this case, there is no reason to challenge this conclusion.  </w:t>
        <w:br/>
        <w:t xml:space="preserve">The distribution of chemical products (downstream market)  </w:t>
        <w:br/>
        <w:t xml:space="preserve"> Chemical commodities  </w:t>
        <w:br/>
        <w:t xml:space="preserve">115. The Council, in the aforementioned decision n° 06-D-12105, as well as the Paris Court of Appeal, noted that the parties agreed on the material dimension of the relevant market "but disagreed on its geographical dimension, with Gaches Chimie arguing that it is a national market, contrary to Brenntag which claims it is regional"106.  </w:t>
        <w:br/>
        <w:t xml:space="preserve">116. During a concentration operation before the Commission in 2004, Brenntag had, however, argued that the market for the distribution of chemical commodities was at least national "given that transportation costs are generally lower than the operating costs of additional warehouses and that, consequently, almost all large chemical distributors strive to limit the number of warehouses and thus sell and deliver their products on a national or European scale"107.  </w:t>
        <w:br/>
        <w:t xml:space="preserve">117. Similarly, in 2006, Brenntag argued before the OFT that this market should be considered at least national, if not at the EEA level, estimating that "transport costs over long distances are lower than the management costs of a warehouse, chemical distributors prefer to travel longer distances and limit the number of warehouses they use. Furthermore, the longer distances traveled to customers can be offset by optimizing the routing of products"108.  </w:t>
        <w:br/>
        <w:t xml:space="preserve">118. In the aforementioned decision n° 13-D-12109, the Authority considered that the market for the distribution of chemical commodities through warehouses was of national dimension. Indeed, while the practices in question were manifested at the level of sub-national geographical areas, depending on the location of the warehouses of the various actors in the agreement, this could be explained by historical considerations (warehouses originally belonging to SMEs, then gradually integrated into multi-regional or national structures), technical (regulatory frameworks limiting the proliferation of storage warehouses for safety and environmental reasons), and economic (transport costs, proximity service). This regional variation could also be relativized in light of the different common characteristics of all the practices in question. Finally, the Authority emphasized that the collusive practices in question concerned a set of geographical areas of French territory, at least the north, the west, and a large area extending from Burgundy to the Rhône-Alpes region.  </w:t>
        <w:br/>
        <w:t xml:space="preserve">119. In this case, several elements are likely to confirm a national dimension of the market.  </w:t>
        <w:br/>
        <w:t xml:space="preserve">120. First, it should be noted that 85% of the distribution of commodities in France is carried out by three distributors (Brenntag, Univar, and Quaron) present in European and international markets, and the remaining 15% by fewer than ten regional distributors or those who have chosen niches due to their specialization. This concentration is notably explained by the wave of acquisitions that occurred in the 1990s and early 2000s110, particularly by Brenntag, Solvadis France (which became Quaron and then Stockmeier France), and Univar, which thus strengthened their positions.  </w:t>
        <w:br/>
        <w:t xml:space="preserve">121. Furthermore, regulation has led to the specialization of sites, and therefore, it is not necessarily the geographical proximity of the site to the customer that determines who will deliver it, but the location of the storage of the ordered product. The argument of geographical proximity of a site to the delivery location must thus be relativized.  </w:t>
        <w:br/>
        <w:t xml:space="preserve">122. Regarding logistics (storage, transport), the administrative authorizations resulting from the Seveso regulation concerning the establishment of classified facilities have conditioned the number of storage sites for hazardous products, the locations of installation, the volumes stored, and the distances for transporting hazardous products across the territory according to a national policy related to safety and the environment. These market conditions have imposed a national organization of the actors (Brenntag, Univar, and Quaron) and constrained them to expand their area of activity. In this context, a rational placement of sites, coupled with an optimal organization of logistics, allows operators to deliver to any customer across the entire national territory.  </w:t>
        <w:br/>
        <w:t xml:space="preserve">123. Thus, it appears that the arguments raised in favor of a regional dimension of the market essentially correspond to a historical organization of the market, prior to the Seveso regulation. Before this regulation, the actors were numerous, small, local, and served a local clientele, primarily due to transportation costs. Subsequently, the strong concentration of the market and the Seveso regulation modified this market organization and imposed new economic operating conditions for this activity, tending towards a national dimension.  </w:t>
        <w:br/>
        <w:t xml:space="preserve">124. In light of all these elements, it is therefore appropriate to consider that the downstream market for the distribution of chemical commodities is of national dimension.  </w:t>
        <w:br/>
        <w:t xml:space="preserve"> Chemical specialties  </w:t>
        <w:br/>
        <w:t xml:space="preserve">125. The decision-making practice considers that the market is of national dimension, if not European111.  </w:t>
        <w:br/>
        <w:t xml:space="preserve">126. In this case, the competitive analysis will be conducted on a national market, as for the distribution of commodities.  </w:t>
        <w:br/>
        <w:t xml:space="preserve">Conclusion on the relevant markets  </w:t>
        <w:br/>
        <w:t xml:space="preserve">127. In light of all these elements, the relevant markets retained are the downstream markets for the distribution of chemical commodities and the distribution of chemical specialties, both of national dimension, where the supply of distributors meets the demand of industrial clients.  </w:t>
        <w:br/>
        <w:t xml:space="preserve">2. THE POSITION OF OPERATORS IN THE CHEMICAL PRODUCTS DISTRIBUTION MARKETS  </w:t>
        <w:br/>
        <w:t xml:space="preserve">a) The applicable principles  </w:t>
        <w:br/>
        <w:t xml:space="preserve">128. A dominant position is defined as "a position of economic power held by an enterprise that gives it the ability to prevent effective competition from being maintained in the relevant market by providing it with the possibility of independent behavior to a significant extent in relation to its competitors, its customers, and ultimately, consumers"112.  </w:t>
        <w:br/>
        <w:t>129. The existence of a dominant position can result from several factors that, taken in isolation, would not necessarily be decisive113. Among these factors, the existence of large market shares is highly significant114. Thus, it is established case law that extremely large market shares, equal to or greater than 50%, are</w:t>
      </w:r>
    </w:p>
    <w:p>
      <w:r>
        <w:rPr>
          <w:b/>
        </w:rPr>
        <w:t>[Pages 31–33]</w:t>
      </w:r>
    </w:p>
    <w:p>
      <w:r>
        <w:t xml:space="preserve">constitute by themselves, and except in exceptional circumstances, proof of the existence of a dominant position115.  </w:t>
        <w:br/>
        <w:t xml:space="preserve">130. In addition to the level of market shares of the company in question, it is also necessary to take into account the ratio between the market shares held by the company concerned and those of its competitors. The possession of an extremely significant market share places the company that holds it for a certain period, by the volume of production and supply it represents – without the holders of significantly smaller shares being able to quickly satisfy the demand that would wish to turn away from the company holding the largest share – in a position of strength that makes it a necessary partner and which, by this alone, ensures it, at least for relatively long periods, the independence of behavior characteristic of a dominant position116.  </w:t>
        <w:br/>
        <w:t xml:space="preserve">131. As the Authority has pointed out several times, the analysis of a company's dominant position cannot always be limited to an examination of market shares. Other factors may be taken into account, particularly when the importance of the market share held by a company is not sufficient by itself to characterize its dominant position. Thus, account may be taken of the intensity of competition and barriers to entry in the relevant market or even of characteristics specific to the company in question (market leadership, brand image, financial power, etc.)117.  </w:t>
        <w:br/>
        <w:t xml:space="preserve">b) Application to the case  </w:t>
        <w:br/>
        <w:t xml:space="preserve">The distribution of chemical commodities  </w:t>
        <w:br/>
        <w:t xml:space="preserve">A contested dominant position by Brenntag  </w:t>
        <w:br/>
        <w:t xml:space="preserve">132. The investigation services, like the complainants, argue that Brenntag is in a dominant position in this market. They argue, in particular, the importance and consistency of its market shares since 2004, the gap between its market shares and those of its competitors, and the fact that Brenntag has the largest number of Seveso sites, the largest fleet of trucks, and numerous port sites. They also argue that Brenntag belongs to a powerful group, which presents itself as "the leader in the global market for the distribution of chemical products and ingredients"118.  </w:t>
        <w:br/>
        <w:t xml:space="preserve">133. Heard as a witness during the session, Brenntag contests this analysis. It criticizes, first of all, the calculation of market shares made by the investigation services and argues that its market shares are unstable and declining during the period concerned by the practices. It emphasizes, secondly, the particular dynamics that govern the relevant market (price transparency, competition from producers who account for 95% of sales, lack of consensus on the distinction between commodities and specialties, distributors caught between powerful producers and clients, etc.) and which would, according to it, be unfavorable to the establishment or maintenance of a dominant position.  </w:t>
        <w:br/>
        <w:t xml:space="preserve">Analysis of the Authority  </w:t>
        <w:br/>
        <w:t xml:space="preserve"> On the criterion of market shares  </w:t>
        <w:br/>
        <w:t xml:space="preserve">134. This market is characterized by a high concentration, resulting both from the wave of mergers and acquisitions that occurred in the 1990s and early 2000s (paragraph 120 above), and from the absence of new entrants over the last forty years119 – an absence that is notably explained by the barriers to entry constituted by regulatory constraints and the required investments (paragraphs 30 to 34 above).  </w:t>
        <w:br/>
        <w:t xml:space="preserve">135. As a result, in 2004, more than 80% of the total market turnover was generated by a limited number of operators: Brenntag held 50% to 55% of the market shares, followed by Univar (15% to 30%), Solvadis (5% to 10%), and Caldic Est (0 to 5%)120.  </w:t>
        <w:br/>
        <w:t xml:space="preserve">136. In the context of the investigation of referral n° 07/0076 F, a data collection for the year 2005 allowed for new estimates of the market size and the position of the various operators. Responding during the session, in its capacity as a witness, to the calculations made by the investigation services, which estimated the total market turnover at €669.5 million in 2005121, Brenntag argued that the sales of certain competitors had not been taken into account. According to it, these omissions would have mechanically overestimated its own market share, assessed by the investigation services at 48.6%. Gaches was also heard during the session regarding the list of distributors that she considered relevant for determining the market size.  </w:t>
        <w:br/>
        <w:t xml:space="preserve">137. In order to estimate the value of the national market for the distribution of chemical commodities and the respective market shares of the different operators, a synthesis of these various approaches was carried out. In cases where it was difficult to determine with certainty the activity of certain distributors mentioned by Brenntag during the session as belonging to the market for the distribution of chemical commodities, their sales were included in the calculation of the market size, so that the resulting market share of Brenntag could be considered a minimum value122.  </w:t>
        <w:br/>
        <w:t xml:space="preserve">138. Consequently, the maximum value of the national market for the distribution of chemical commodities in 2005 amounted to €708 million.  </w:t>
        <w:br/>
        <w:t xml:space="preserve">139. Brenntag's market share was thus nearly 46%, while Univar's was slightly above 20%. Other distributors held significantly lower market shares (6.4% for Quaron, 5.2% for Solvadis, and 3.5% for Gaches), or even very low, as detailed in the following table.  </w:t>
        <w:br/>
        <w:t xml:space="preserve">Position of operators in the national market for the distribution of chemical commodities (2005)  </w:t>
        <w:br/>
        <w:t xml:space="preserve">Sales value (in euros) Market shares  </w:t>
        <w:br/>
        <w:t xml:space="preserve">Brenntag123 325,320,464 45.9%  </w:t>
        <w:br/>
        <w:t xml:space="preserve">Univar124 142,939,000 20.2%  </w:t>
        <w:br/>
        <w:t xml:space="preserve">Quaron125 45,390,000 6.4%  </w:t>
        <w:br/>
        <w:t xml:space="preserve">Solvadis126 36,981,000 5.2%  </w:t>
        <w:br/>
        <w:t xml:space="preserve">Gaches127 24,600,000 3.5%  </w:t>
        <w:br/>
        <w:t xml:space="preserve">Beauseigneur128 17,200,000 2.4%  </w:t>
        <w:br/>
        <w:t xml:space="preserve">Azelis129 15,177,329 2.1%  </w:t>
        <w:br/>
        <w:t xml:space="preserve">Caldic Est130 14,227,145 2.0%  </w:t>
        <w:br/>
        <w:t xml:space="preserve">SAD131 (ethanol only) 14,050,836 2.0%  </w:t>
        <w:br/>
        <w:t xml:space="preserve">Métausel132 13,260,435 1.9%  </w:t>
        <w:br/>
        <w:t xml:space="preserve">Ciron133 9,900,000 1.4%  </w:t>
        <w:br/>
        <w:t xml:space="preserve">Helm D3134 9,419,747 1.3%  </w:t>
        <w:br/>
        <w:t xml:space="preserve">Ardéa - APC135 9,134,000 1.3%  </w:t>
        <w:br/>
        <w:t xml:space="preserve">Chimie Plus136 9,010,569 1.3%  </w:t>
        <w:br/>
        <w:t xml:space="preserve">Platret137 6,752,000 1.0%  </w:t>
        <w:br/>
        <w:t xml:space="preserve">Caldic centre138 4,495,000 0.6%  </w:t>
        <w:br/>
        <w:t xml:space="preserve">Charbonneaux139 3,292,000 0.5%  </w:t>
        <w:br/>
        <w:t xml:space="preserve">123 File 42 009 (excluding export) VNC (file 3 557 VC).  </w:t>
        <w:br/>
        <w:t xml:space="preserve">124 File 40 995.  </w:t>
        <w:br/>
        <w:t xml:space="preserve">125 File 4 072. The sales value includes those of Solvadis for 3 months, see paragraph 43.  </w:t>
        <w:br/>
        <w:t xml:space="preserve">126 File 6 034.  </w:t>
        <w:br/>
        <w:t xml:space="preserve">127 File 4 634.  </w:t>
        <w:br/>
        <w:t xml:space="preserve">128 File 7 607. The sales value includes specialties, but Beauseigneur indicates being a "distributor of commodities with very few specialties."  </w:t>
        <w:br/>
        <w:t xml:space="preserve">129 File 28 286.  </w:t>
        <w:br/>
        <w:t xml:space="preserve">130 File 7 617.  </w:t>
        <w:br/>
        <w:t xml:space="preserve">131 File 26 448.  </w:t>
        <w:br/>
        <w:t xml:space="preserve">132 Files 4 391 and 4 565.  </w:t>
        <w:br/>
        <w:t xml:space="preserve">133 File 5 934.  </w:t>
        <w:br/>
        <w:t xml:space="preserve">134 File 25 749.  </w:t>
        <w:br/>
        <w:t xml:space="preserve">135 Files 5 658 VNC (file 5 387 VC) and 5 398.  </w:t>
        <w:br/>
        <w:t xml:space="preserve">136 File 6 541.  </w:t>
        <w:br/>
        <w:t xml:space="preserve">137 File 6 358, including export.  </w:t>
        <w:br/>
        <w:t xml:space="preserve">138 File 6 977.  </w:t>
        <w:br/>
        <w:t>139 File 6 402.</w:t>
      </w:r>
    </w:p>
    <w:p>
      <w:r>
        <w:rPr>
          <w:b/>
        </w:rPr>
        <w:t>[Pages 34–36]</w:t>
      </w:r>
    </w:p>
    <w:p>
      <w:r>
        <w:t xml:space="preserve">Value of sales (in euros) Market shares  </w:t>
        <w:br/>
        <w:t xml:space="preserve">Mazal140 3,154,701 0.4%  </w:t>
        <w:br/>
        <w:t xml:space="preserve">La Gloriette141 2,503,163 0.4%  </w:t>
        <w:br/>
        <w:t xml:space="preserve">Lamberty142 1,364,648 0.2%  </w:t>
        <w:br/>
        <w:t xml:space="preserve">TOTAL 708,172,037 100%  </w:t>
        <w:br/>
        <w:t xml:space="preserve">140. Beyond the significance of Brenntag's market share, it appears that it is far ahead of its competitors, with the second largest market player, Univar, holding barely 20% market share, and the third, Quaron, just over 6%.  </w:t>
        <w:br/>
        <w:t xml:space="preserve">141. In 2014, Univar estimated that the market shares of the various operators had not significantly changed since 2007, based on the 2012 revenue figures published by the companies (accessible through Coface143) and on an estimate of a total market value for the distribution of chemical products of €2.99 billion in 2012144.  </w:t>
        <w:br/>
        <w:t xml:space="preserve">142. It follows from all these elements that Brenntag has remained, since the early 2000s and for at least fifteen years, significantly ahead of its competitors in the market for the distribution of chemical commodities.  </w:t>
        <w:br/>
        <w:t xml:space="preserve">143. Brenntag claimed during the session that its market shares would have been particularly unstable and declining since 2007, and that this observation would prevent concluding a dominant position. In this regard, it should be emphasized that this potential decline in Brenntag's activity, which is not demonstrated by the company, does not seem to have had a substantial impact on its market share (paragraph 141 above). Furthermore, other contextual elements, developed below, confirm that this company is in a dominant position in the market for the distribution of chemical commodities.  </w:t>
        <w:br/>
        <w:t xml:space="preserve"> On other criteria  </w:t>
        <w:br/>
        <w:t xml:space="preserve">144. In addition to market shares, other factors can be taken into account to assess Brenntag's position in the market for the distribution of chemical commodities.  </w:t>
        <w:br/>
        <w:t xml:space="preserve">145. It is particularly important to examine, first, the infrastructures as well as the logistical capacities that the company possesses.  </w:t>
        <w:br/>
        <w:t xml:space="preserve">146. In this regard, it should first be noted, as highlighted by the aforementioned decision n° 06-D-12 and as recalled above (see paragraph 53), that Brenntag had fourteen Seveso sites in 2006, meaning the largest storage capacity among distributors of chemical commodities145. By comparison, that same year, Univar had only eight146. The aforementioned decision n° 13-D-12 also mentioned that during the period 2003-2006, Brenntag was the only distributor of chemical commodities in France to have obtained the Seveso High Threshold qualification (in 2005, for its site in Tournan-en-Brie, initially classified as Seveso Low Threshold)147.  </w:t>
        <w:br/>
        <w:t xml:space="preserve">147. In 2024, Brenntag still has eleven Seveso sites, including eight Seveso High Threshold (see paragraph 53 above), compared to only five for Univar148, three for Gaches149, and none for Solvadis150 and Chimiphar151.  </w:t>
        <w:br/>
        <w:t xml:space="preserve">148. During the session, Brenntag, however, argued that the competitive advantages and, consequently, the barriers to entry constituted by its logistical capacities should be put into perspective. It emphasized, in this regard, that distributors could make direct deliveries without going through a depot (paragraph 23 above) and that an increasing number of them were reducing their number of sites and relying on subcontractors for their fleet.  </w:t>
        <w:br/>
        <w:t xml:space="preserve">149. Nevertheless, it emerges from the file that having a dense network of depots across the territory is a key factor for the expansion of a distributor of chemical commodities152; therefore, holding a large number of depots constitutes a competitive advantage. However, establishing a depot, particularly a Seveso one, is costly and subject to numerous regulatory constraints (paragraphs 30 to 34 above), which, as highlighted by the aforementioned decision n° 13-D-12, can constitute strong barriers to entry153. In this regard, it must be noted again that there has been no new entrant in the market for forty years (paragraph 134 above).  </w:t>
        <w:br/>
        <w:t xml:space="preserve">150. Furthermore, the use of straight selling remains a marginal phenomenon154, which puts into perspective Brenntag's assertion that distributors were increasingly resorting to it.  </w:t>
        <w:br/>
        <w:t xml:space="preserve">151. Secondly, it should be emphasized the power conferred to Brenntag by its membership in a global group, which grew from 8,550 to 18,100 employees from 2000 to 2025 and from a revenue of €3 billion in 2000 to €16.2 billion in 2025. By 2025, Brenntag will have more than 600 sites in 70 countries155.  </w:t>
        <w:br/>
        <w:t xml:space="preserve">152. Regarding, thirdly, the countervailing power of customers and producers, Brenntag claimed during the session that it:  </w:t>
        <w:br/>
        <w:t xml:space="preserve">− would have only limited bargaining power against very price-sensitive customers, some of whom are part of large industrial groups; and,  </w:t>
        <w:br/>
        <w:t xml:space="preserve">− would be subject to competitive pressure from producers of chemical commodities, who sell 95% of their production directly to end consumers and are thus able to exert competitive pressure on distributors and dictate market conditions to them.  </w:t>
        <w:br/>
        <w:t xml:space="preserve">153. Regarding, on the one hand, the alleged compensatory purchasing power of customers, the data provided by Brenntag reveals that it dealt with more than 6,000 distinct customers in 2005156. This fragmented nature of the customer base weakens the assumption of a compensatory purchasing power that could limit Brenntag's market power157. Furthermore, according to Brenntag, its large account customers represent only "a very small part [of its] revenue"158. Finally, competition sometimes occurs through tenders159, which require bidders to submit offers that meet specific criteria. These modalities may allow Brenntag to justify the application of differentiated rates based on customers, thus limiting their compensatory purchasing power.  </w:t>
        <w:br/>
        <w:t xml:space="preserve">154. Regarding, on the other hand, the allegedly disciplining role of producers, this appears limited as they are unable to deliver certain orders themselves (particularly those involving small volumes), due to insufficient logistical capacities. Moreover, among all distributors, Brenntag stands out for its numerous infrastructures and the significance of its logistical capacities, which make it particularly able to meet certain demands from industrial clients, customers that producers – whose main activity is not distribution – could not satisfy independently.  </w:t>
        <w:br/>
        <w:t xml:space="preserve">155. At the end of the analysis of market shares as well as other characteristics of the market for the distribution of chemical commodities, several converging indicators thus suggest that Brenntag holds a dominant position in this market.  </w:t>
        <w:br/>
        <w:t xml:space="preserve">The distribution of specialty chemicals  </w:t>
        <w:br/>
        <w:t xml:space="preserve">156. Based on the information gathered during the investigation, the market for the distribution of specialty chemicals would be dominated by Univar, as detailed in the following table.  </w:t>
        <w:br/>
        <w:t xml:space="preserve">156 Cotes 18 858 and 18 859 VC.  </w:t>
        <w:br/>
        <w:t xml:space="preserve">157 See, in this sense, the Commission decision AT. 40437 – Apple – App Stores Practices (music streaming) of March 4, 2024, paragraph 353.  </w:t>
        <w:br/>
        <w:t xml:space="preserve">158 Cote 15 455.  </w:t>
        <w:br/>
        <w:t>159 Cote 15 455.</w:t>
      </w:r>
    </w:p>
    <w:p>
      <w:r>
        <w:rPr>
          <w:b/>
        </w:rPr>
        <w:t>[Pages 37–39]</w:t>
      </w:r>
    </w:p>
    <w:p>
      <w:r>
        <w:t xml:space="preserve">Position of operators in the national market for the distribution of chemical specialties (2005)  </w:t>
        <w:br/>
        <w:t xml:space="preserve">Sales value Estimates of  </w:t>
        <w:br/>
        <w:t xml:space="preserve">(in euros) market shares  </w:t>
        <w:br/>
        <w:t xml:space="preserve">Brenntag160 113,742,051 [30-35%]  </w:t>
        <w:br/>
        <w:t xml:space="preserve">Univar161 186,560,000 [50-55%]  </w:t>
        <w:br/>
        <w:t xml:space="preserve">Gaches162 44,400,000 [10-15%]  </w:t>
        <w:br/>
        <w:t xml:space="preserve">Solvadis163 12,327,000 [0-5%]  </w:t>
        <w:br/>
        <w:t xml:space="preserve">Quaron164 2,000,000 [0-1%]  </w:t>
        <w:br/>
        <w:t xml:space="preserve">Other distributors - [0-5%]  </w:t>
        <w:br/>
        <w:t xml:space="preserve">157. These estimates, presented in the proposal for non-suit165, were not contested by any of the parties.  </w:t>
        <w:br/>
        <w:t xml:space="preserve">Conclusion  </w:t>
        <w:br/>
        <w:t xml:space="preserve">158. The analysis of the alleged practices will be conducted solely on the national market for the distribution of chemical commodities, the only market on which Brenntag holds a dominant position, Brenntag not being in a dominant position on the national market for the distribution of chemical specialties.  </w:t>
        <w:br/>
        <w:t xml:space="preserve">D. ON THE QUALIFICATION OF PRACTICES  </w:t>
        <w:br/>
        <w:t xml:space="preserve">1. AS A PRELIMINARY MATTER, ON ABUSE OF DOMINANT POSITION PRACTICES  </w:t>
        <w:br/>
        <w:t xml:space="preserve">159. Under Article 102 of the TFEU, "the exploitation by one or more undertakings of a dominant position on the internal market or in a substantial part of it is incompatible with the internal market and prohibited in so far as it may affect trade between Member States."  </w:t>
        <w:br/>
        <w:t xml:space="preserve">160. Paragraph 1 of Article L. 420-2 of the Commercial Code similarly provides that "the abusive exploitation by an undertaking or a group of undertakings of a dominant position on the internal market or a substantial part of it is prohibited under the conditions laid down in Article L. 420-1."  </w:t>
        <w:br/>
        <w:t xml:space="preserve">161. The abusive exploitation of a dominant position is understood as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other than those governing normal competition for products or services based on the performance of economic operators, the maintenance of the existing degree of competition on the market or the development of that competition"166.  </w:t>
        <w:br/>
        <w:t xml:space="preserve">162. According to consistent case law, while the existence of a dominant position is not in itself condemnable, this situation imposes a particular responsibility on the holder not to harm, through its behavior, effective and undistorted competition167. Indeed, as the Court of Justice clarified in its TeliaSonera judgment of February 17, 2011: "Article 102 TFEU must be interpreted as targeting not only practices likely to cause immediate harm to consumers (...), but also those that harm them by undermining the competitive process. If, indeed, Article 102 TFEU does not prohibit a company from acquiring, through its own merits, a dominant position in a market, and if, even more so, the finding of the existence of such a position does not in itself imply any reproach against the company concerned (...), it remains that, according to consistent case law, it is the responsibility of the company holding such a position not to harm effective and undistorted competition in the internal market through its behavior"168.  </w:t>
        <w:br/>
        <w:t xml:space="preserve">163. While Articles 102 of the TFEU and L. 420-2 of the Commercial Code mention certain abusive practices, these lists are not exhaustive169.  </w:t>
        <w:br/>
        <w:t xml:space="preserve">164. In order to determine whether the dominant company has abused its position, it is necessary to assess all relevant factual circumstances and examine whether the practices tend, for example, to limit competitors' access to the market or to eliminate a competitor or to reinforce the position of the dominant company, by resorting to means other than those that fall under competition on the merits170.  </w:t>
        <w:br/>
        <w:t xml:space="preserve">166 See, in this sense, the judgments of the Court of Justice of February 13, 1979, Hoffmann-La Roche &amp; Co. AG/Commission, cited above, paragraph 91; of January 30, 2020, Generics (UK) e.a., C-307/18, paragraph 148; and of March 25, 2021, Deutsche Telekom AG v. Commission, C-152/19, paragraph 41; or the decisions of the Authority n° 22-D-20 of November 15, 2022, regarding practices implemented in the sector of payroll management solutions for intermittent performers (paragraph 87) and n° 23-D-14 of December 20, 2023, regarding practices implemented in the sectors of eighth-generation static video game consoles and accessories compatible with the PlayStation 4 console (paragraph 197).  </w:t>
        <w:br/>
        <w:t xml:space="preserve">167 Judgments of the Court of Justice of November 9, 1983, NV Nederlandsche Banden Industrie Michelin/Commission, 322/81, paragraph 57 and of September 19, 2024, Google and Alphabet / Commission (Google Shopping), C-48/22 P, paragraph 163.  </w:t>
        <w:br/>
        <w:t xml:space="preserve">168 Judgment of the Court of Justice of February 17, 2011, Konkurrensverket/TeliaSonera Sverige AB, C-52/09, paragraph 24.  </w:t>
        <w:br/>
        <w:t xml:space="preserve">169 See, in this sense, the judgments of the Court of Justice of October 14, 2010, Deutsche Telekom/Commission, cited above, paragraph 173; of February 17, 2011, Konkurrensverket/TeliaSonera Sverige AB, cited above, paragraph 26.  </w:t>
        <w:br/>
        <w:t xml:space="preserve">170 See, in this sense, the judgment of the Court of Justice of July 3, 1991, Akzo/Commission, cited above, paragraph 70; the judgment of the Tribunal of October 23, 2003, Van der Bergh Foods/Commission, T-65/98, paragraph 157; as well as the Commission's decision of October 2, 2017, Baltic Rail, AT.39813, paragraphs 182 to 201.  </w:t>
        <w:br/>
        <w:t xml:space="preserve">2. ON PRICING PRACTICES  </w:t>
        <w:br/>
        <w:t xml:space="preserve">a) The practices denounced by Gaches  </w:t>
        <w:br/>
        <w:t xml:space="preserve">The practices denounced in Gaches' initial referral and examined in decision n° 06-D-12  </w:t>
        <w:br/>
        <w:t xml:space="preserve">165. In its initial referral of July 17, 2003, Gaches notably denounced "discriminatory or even predatory prices in the southwest"171 (emphasis added).  </w:t>
        <w:br/>
        <w:t xml:space="preserve">166. According to the complainant, "in the southwest, the company BRENNTAG practices, in most cases, prices lower than those it applies in other markets of equivalent size, and for which the service conditions (transport, unloading) are identical. [...] These [price] differences therefore result solely from its [Brenntag's] desire for commercial conquest at any cost in the southwest region. [...] The predatory behavior adopted by BRENNTAG in the southwest is undoubtedly explained by the need to make its Saint-Sulpice depot profitable, which involves eliminating competition and thus the company GACHES CHIMIE"172.  </w:t>
        <w:br/>
        <w:t xml:space="preserve">167. This practice would be accompanied by the "non-invoicing of technical fees in the southwest," and the "non-invoicing of deposits in the southwest"173 (emphasis added).  </w:t>
        <w:br/>
        <w:t xml:space="preserve">168. On February 14, 2005, three grievances were notified to Brenntag, including "a grievance of abuse of dominant position resulting from a predatory pricing practice"174. This grievance was based on the RAE of June 9, 2004 (see paragraph 3), which would have "highlighted that the company BRENNTAG was practicing a selling price of its products below its variable costs, which establishes the predatory nature of this price"175.  </w:t>
        <w:br/>
        <w:t xml:space="preserve">169. The finding of the RAE was based first on "deficient results and objectives" of the Saint-Sulpice site and on the comparison between the projected budgets (turnover, gross margin176, operating result177) of Brenntag between 2002 and 2005 for the Midi-Pyrénées area and those for the Maine Bretagne, Loire Bretagne, and Aquitaine areas over the same period178. The RAE considered that the gap between the projected trajectory of the operating result of the Saint-Sulpice site (deficient over 2002-2005)179 and that of the other sites (each surplus over the same period) demonstrated "a willingness to maintain a deficit for at least 4 years"180.  </w:t>
        <w:br/>
        <w:t xml:space="preserve">171 Cote 40 173.  </w:t>
        <w:br/>
        <w:t xml:space="preserve">172 Cote 40 220.  </w:t>
        <w:br/>
        <w:t xml:space="preserve">173 Cotes 40 222 to 40 225.  </w:t>
        <w:br/>
        <w:t xml:space="preserve">174 Cote 40 909.  </w:t>
        <w:br/>
        <w:t xml:space="preserve">175 Cote 40 904.  </w:t>
        <w:br/>
        <w:t xml:space="preserve">176 Defined as the difference between turnover and purchase costs.  </w:t>
        <w:br/>
        <w:t xml:space="preserve">177 Defined as the difference between turnover and all operating expenses.  </w:t>
        <w:br/>
        <w:t xml:space="preserve">178 Cote 40 766.  </w:t>
        <w:br/>
        <w:t xml:space="preserve">179 The operating result is the difference between (i) gross margin and (ii) the sum of personnel costs, depreciation, overheads, bad debt provisions, financial result, and neutral operational items.  </w:t>
        <w:br/>
        <w:t>180 Cote 40 832.</w:t>
      </w:r>
    </w:p>
    <w:p>
      <w:r>
        <w:rPr>
          <w:b/>
        </w:rPr>
        <w:t>[Pages 40–42]</w:t>
      </w:r>
    </w:p>
    <w:p>
      <w:r>
        <w:t xml:space="preserve">170. The report then proceeded to a "comparison of the selling prices applied to certain products with the variable costs," based on a sample of 21 products for 490 transactions carried out in the months of February, April, and June-July 2002181. The report concluded that, depending on the scope of the variable costs considered, 74% to 95% of the transactions had been conducted below the variable costs, and that the sales made below the variable costs partly concerned clients classified among the top 20 clients of Brenntag in terms of tonnage or turnover182.  </w:t>
        <w:br/>
        <w:t xml:space="preserve">The new elements provided by Gaches in its referral n° 07/0058 F  </w:t>
        <w:br/>
        <w:t xml:space="preserve">171. In its referral of July 20, 2007, Gaches argues that Brenntag is implementing a predatory pricing practice, relying, first of all, on the instruction of referral n° 03/0047 F, considering that "both in terms of average total costs and variable costs, the Investigator and the Rapporteur have proven that BRENNTAG S.A has been practicing predatory pricing since 1998 in almost all sales in the South-West area"183.  </w:t>
        <w:br/>
        <w:t xml:space="preserve">172. Gaches then relies on data related to some transactions that occurred in 2006 and 2007 to argue that the margins generated by Brenntag were insufficient to cover its costs184.  </w:t>
        <w:br/>
        <w:t xml:space="preserve">173. Gaches also argues that Brenntag's predatory practice in the South-West region is financed by profits made through other anti-competitive practices in other regions, claiming that "BRENNTAG S.A has convinced some of its competitors to collude with it to practice high prices in the rest of France (product prices, deposit fees, technical fees, and contributions to fuel costs) and BRENNTAG S.A has taken measures to punish distributors of chemical commodities (such as GACHES CHIMIE) who do not play along"185.  </w:t>
        <w:br/>
        <w:t xml:space="preserve">174. Finally, Gaches considers that Brenntag's predatory practice aims to eliminate its competitors, particularly itself186. Gaches emphasizes that this intent to exclude is demonstrated by practices of refusal to sell, the fraudulent registration by Brenntag of four trademarks owned by Gaches, and commercial aggression towards it, characterized by discriminatory pricing187.  </w:t>
        <w:br/>
        <w:t xml:space="preserve">181 Cotes 40 777 and 40 792.  </w:t>
        <w:br/>
        <w:t xml:space="preserve">182 Cote 40 832. The report considered two levels of variable costs (cote 40 771):  </w:t>
        <w:br/>
        <w:t xml:space="preserve">- "variable cost 1": sum of the purchase price including transport, and the variable operating costs (including direct and indirect personnel costs, equipment, external costs, maintenance/repairs) and transport costs (including direct and indirect personnel costs, equipment, maintenance/repairs) at the client, amounting to €71.3/T in 2002;  </w:t>
        <w:br/>
        <w:t xml:space="preserve">- "variable cost 2": sum of the purchase price including transport, and the bulk mineral operating costs, i.e., purchase price + €56.86/T or conditioned mineral ( €44.25/T) + transport costs 2002 (€31.2/T) i.e., purchase price + €75.45/T.  </w:t>
        <w:br/>
        <w:t xml:space="preserve">183 Cote 1 866.  </w:t>
        <w:br/>
        <w:t xml:space="preserve">184 Cotes 1 868 and 1 869.  </w:t>
        <w:br/>
        <w:t xml:space="preserve">185 Cote 1 867.  </w:t>
        <w:br/>
        <w:t xml:space="preserve">186 Cote 1 867.  </w:t>
        <w:br/>
        <w:t xml:space="preserve">187 Cote 1 868.  </w:t>
        <w:br/>
        <w:t xml:space="preserve">b) Reminder of applicable principles  </w:t>
        <w:br/>
        <w:t xml:space="preserve">175. Not all price competition can be considered legitimate. In particular, a company in a dominant position cannot implement practices aimed at driving out competitors considered at least as efficient as itself, thereby strengthening its dominant position by using means based notably on its pricing policy, other than those that fall under competition on the merits188.  </w:t>
        <w:br/>
        <w:t xml:space="preserve">176. It follows that any pricing behavior by an operator in a dominant position, which produces at least a potential exclusionary effect on competitors considered as efficient, restricts competition and therefore falls under the prohibition provided by Articles 102 of the TFEU and L. 420-2, paragraph 1 of the Commercial Code189.  </w:t>
        <w:br/>
        <w:t xml:space="preserve">177. Thus, a low pricing practice implemented by a company in a dominant position can be classified as predatory pricing when the prices charged do not allow the company to cover certain costs. Predatory prices, as defined by both domestic and Union jurisdictions190, are one form among others of pricing practices that can lead to an exclusionary effect prohibited by Articles 102 of the TFEU and L. 420-2, paragraph 1 of the Commercial Code. This prohibition is based on the premise that a dominant company adopts predatory behavior by incurring losses or forgoing short-term profits, deliberately, in order to eliminate one or more actual or potential competitors with a view to strengthening or maintaining its market power. The predation scenario thus assumes that the dominant operator bears a short-term sacrifice, such a strategy tending to eliminate its competitors and allowing for long-term recovery191.  </w:t>
        <w:br/>
        <w:t xml:space="preserve">178. However, engaging in predatory pricing cannot be considered the only behavior of a company in a dominant position based on a low pricing practice that would be prohibited by Articles 102 of the TFEU and L. 420-2, paragraph 1 of the Commercial Code. This may also be the case, in particular, for practices based on prices that, unlike predatory prices, do not fall within a logic of short-term sacrifice, but nevertheless tend to restrict competition through an exclusionary effect: for example, when a company in a dominant position implements a selective low pricing policy towards certain clients of one of its competitors, which may lead to discriminatory pricing192.  </w:t>
        <w:br/>
        <w:t xml:space="preserve">188 See the judgments of the Court of Justice of July 3, 1991, Akzo Chemie/Commission, C-62/86, paragraph 70 and of May 12, 2022, Servizio Elettrico Nazionale SpA e.a. against Autorità Garante della Concorrenza e del Mercato e.a., C-377/20, paragraph 75.  </w:t>
        <w:br/>
        <w:t xml:space="preserve">189 See the judgment of the Court of Justice of March 27, 2012, Post Danmark, C-209/10, paragraph 25.  </w:t>
        <w:br/>
        <w:t xml:space="preserve">190 See the judgment of the Court of Justice of March 27, 2012, Post Danmark, C-209/10, paragraph 27.  </w:t>
        <w:br/>
        <w:t xml:space="preserve">191 See the opinion of the Authority n° 14-A-18 of December 16, 2014 rendered to the Court of Appeal of Paris concerning a dispute between Bottin Cartographes SAS and Google Inc. and Google France, paragraph 30.  </w:t>
        <w:br/>
        <w:t xml:space="preserve">192 See the judgment of the Court of Justice of March 27, 2012 cited above, Post Danmark A/S against Konkurrencerådet, paragraph 30 ("the fact that a practice of a company in a dominant position may (...) be classified as 'price discrimination', namely the application of different prices to different customers or to different categories of customers for products or services whose costs are the same, or, conversely, the application of a single price to customers for whom the costs of the offer vary, cannot, by itself, suggest the presence of an abusive exclusionary practice"), paragraph 38 ("to the extent that a company in a dominant position sets its prices at a level that covers most of the costs attributable to the marketing of the product or the provision of the service in question, a competitor as efficient as this company will, in principle, have the possibility to compete with these prices without incurring unbearable long-term losses").  </w:t>
        <w:br/>
        <w:t xml:space="preserve">179. These exclusionary pricing practices tend to artificially hinder competitors' access to the market and thus maintain or strengthen the dominant position of the company implementing them.  </w:t>
        <w:br/>
        <w:t xml:space="preserve">180. In practice, under French law193 as well as under Union law194, in order to demonstrate the existence of an abusive predatory pricing or exclusionary pricing practice, it is necessary to mobilize a double cost standard that is articulated as follows:  </w:t>
        <w:br/>
        <w:t xml:space="preserve">− white zone: when the price charged by the company in a dominant position is above the average total cost ("ATC") in the case of a single-product company or above the long-term average marginal cost (hereinafter, "LAMC," i.e., the average of all fixed and variable costs specifically incurred to manufacture a specific product) in the case of a multi-product company, the practice may be presumed lawful under competition rules;  </w:t>
        <w:br/>
        <w:t xml:space="preserve">− black zone: when the price charged by the company in a dominant position is below the short-term cost standard, namely the average variable cost ("AVC") in the case of a single-product company or the average avoidable cost ("AAC") in the case of a multi-product company, the practice may be presumed abusive, regardless of the proof of an intent to exclude; and,  </w:t>
        <w:br/>
        <w:t xml:space="preserve">− gray zone: when the price is below the long-term cost standard (ATC or LAMC) but above the short-term cost standard (AVC or AAC), the practice must be considered abusive if it can be proven that the price is set within a plan aimed at eliminating one or more competitors, or that the price is likely to cause exclusionary effects, potential or proven.  </w:t>
        <w:br/>
        <w:t xml:space="preserve">c) Application to the case  </w:t>
        <w:br/>
        <w:t>181. The databases collected from Brenntag allowed for various cost tests on the transactions carried out by Brenntag from its Saint-Sulpice site, in order to examine their profitability over the period for which predatory and discriminatory pricing practices have been reported by Gaches.</w:t>
      </w:r>
    </w:p>
    <w:p>
      <w:r>
        <w:rPr>
          <w:b/>
        </w:rPr>
        <w:t>[Pages 43–45]</w:t>
      </w:r>
    </w:p>
    <w:p>
      <w:r>
        <w:t xml:space="preserve">182. These tests, which highlighted the limitations of the methodology used in the RAE of June 9, 2004195, as well as other elements collected during the investigation, allow, on the one hand, to refute the findings made in the statement of objections of February 14, 2005, and, on the other hand, to exclude the implementation by Brenntag of the pricing practices alleged by Gaches.  </w:t>
        <w:br/>
        <w:t xml:space="preserve">The collected data and the corrections made  </w:t>
        <w:br/>
        <w:t xml:space="preserve">183. Brenntag provided the investigation services with two categories of information.  </w:t>
        <w:br/>
        <w:t xml:space="preserve">184. First, Brenntag provided revenue, volume, and cost data for each of its sites, including that of Saint-Sulpice, for the period 2002-2008196. The costs are broken down into three levels: purchase costs, variable costs, and fixed costs197. The purchase costs are directly derived from accounting and correspond to the sum of the invoices paid by Brenntag to the producers of chemical commodities. The segmentation of other costs – which are also recorded in accounting – into fixed and variable costs is based on a nomenclature proposed by Brenntag.  </w:t>
        <w:br/>
        <w:t xml:space="preserve">185. In 2014, Brenntag also provided the income and expense accounts for the Saint-Sulpice and Aquitaine sites for the period 2008-2013198.  </w:t>
        <w:br/>
        <w:t xml:space="preserve">186. These accounting documents allowed for the verification of the consistency of the revenue and cost scopes defined for the Saint-Sulpice site and showed that, when related to the revenue of the Saint-Sulpice site, the allocated head office expenses appear relatively low. In the cost test implemented below, and assuming that head office expenses should be included in the incremental costs considered for Brenntag, an alternative calculation method for these expenses, consisting of allocating to the Saint-Sulpice site a share of Brenntag's total head office expenses proportional to the revenue of this site in Brenntag's total revenue, was therefore employed. In practice, however, this correction is not intended to significantly affect the result of the test, as these expenses are likely not avoidable costs given the small size of the Saint-Sulpice site compared to Brenntag's other sites199.  </w:t>
        <w:br/>
        <w:t xml:space="preserve">187. Brenntag also relied on these accounting documents to respond to the request from the investigation services to propose a measure of the unit fixed and variable costs (in euros per ton) of the Saint-Sulpice site. These unit costs were determined based on the aforementioned cost masses and the volumes also appearing in the accounting. It was first considered that transportation costs on sales could, contrary to what Brenntag proposes, fall under variable costs – and not fixed costs. Such costs can indeed depend on the level of the deposit activity of the Saint-Sulpice site. The investigation services also tested a distribution of personnel costs taking into account the actual staff dedicated to the "deposit" activity, rather than simply based on volumes as proposed by Brenntag200.  </w:t>
        <w:br/>
        <w:t xml:space="preserve">188. Secondly, at the request of the investigation services, Brenntag provided a database relating to its "deposit" transactions carried out from the Saint-Sulpice site for the years 2002 to 2008, which presents details of products, customers, quantities, volumes, and prices excluding taxes (and thus the revenue) as well as an estimate of the costs incurred (hereinafter referred to as the "Transactions 2002-2008" database)201.  </w:t>
        <w:br/>
        <w:t xml:space="preserve">189. The establishment of this database is primarily based on two types of inputs: (i) data relating to the product, customer, and revenue, which come directly from invoicing202; and (ii) costs related to each transaction, which correspond – on the one hand – to the fixed and variable unit costs calculated according to the previously exposed methods203, and – on the other hand – to an estimate of the purchase costs specific to the transaction concerned204.  </w:t>
        <w:br/>
        <w:t xml:space="preserve">The performance of the Saint-Sulpice site  </w:t>
        <w:br/>
        <w:t xml:space="preserve">190. The accounting documents provided by Brenntag205 show that the Saint-Sulpice site was profitable or break-even during the period 2002-2012, except for the fiscal years 2005 and 2006 for which the margin on variable cost is positive but the operating margin (which takes into account all costs including head office expenses) appears slightly negative.  </w:t>
        <w:br/>
        <w:t xml:space="preserve">Cost tests conducted on the "Transactions 2002-2008" database  </w:t>
        <w:br/>
        <w:t xml:space="preserve">191. The investigation services implemented tests to examine whether the prices for the "deposit" transactions of chemical commodities from the Saint-Sulpice site cover the costs.  </w:t>
        <w:br/>
        <w:t xml:space="preserve">Test of cost for the "deposit" transactions of the Saint-Sulpice site for 2002-2008  </w:t>
        <w:br/>
        <w:t xml:space="preserve">Margin on TC  </w:t>
        <w:br/>
        <w:t xml:space="preserve">Year Margin on CV Margin on TC including head office expenses  </w:t>
        <w:br/>
        <w:t xml:space="preserve">2002 [20% - 25%] [0% - 5%] [0% - 5%]  </w:t>
        <w:br/>
        <w:t xml:space="preserve">2003 [20% - 25%] [5% - 10%] [0% - 5%]  </w:t>
        <w:br/>
        <w:t xml:space="preserve">2004 [20% - 25%] [5% - 10%] [0% - 5%]  </w:t>
        <w:br/>
        <w:t xml:space="preserve">2005 [20% - 25%] [0% - 5%] [-5% - 0%]  </w:t>
        <w:br/>
        <w:t xml:space="preserve">2006 [15% - 20%] [0% - 5%] [-5% - 0%]  </w:t>
        <w:br/>
        <w:t xml:space="preserve">2007 [15% - 20%] [5% - 10%] [0% - 5%]  </w:t>
        <w:br/>
        <w:t xml:space="preserve">2008 [20% - 25%] [10% - 15%] [5% - 10%]  </w:t>
        <w:br/>
        <w:t xml:space="preserve">Total [20% - 25%] [5% - 10%] [0% - 5%]  </w:t>
        <w:br/>
        <w:t xml:space="preserve">Source: Analysis of the "Transactions 2002-2008" database by the investigation services  </w:t>
        <w:br/>
        <w:t xml:space="preserve">192. It appears, firstly, for each of the fiscal years studied from 2002 to 2008, that the variable costs are largely covered, despite the adjustments described above in paragraphs 186 and 187. Secondly, the long-term incremental cost margin (i.e., total cost excluding head office expenses) is positive for each of the fiscal years studied. Thirdly, when a share of the head office expenses is included in the scope of the incremental costs, the result is negative for two of the fiscal years studied, 2005 and 2006. However, the consideration of head office expenses seems difficult to justify given the relatively limited size of the Saint-Sulpice site.  </w:t>
        <w:br/>
        <w:t xml:space="preserve">Examination of a possible differentiation of Brenntag's commercial strategy according to sites and clients  </w:t>
        <w:br/>
        <w:t xml:space="preserve">193. The accounting documents provided by Brenntag show that the margins of the Saint-Sulpice site are lower than those observed for some of the other sites, but are close to those of the Aquitaine site206.  </w:t>
        <w:br/>
        <w:t xml:space="preserve">194. However, the investigation services conducted cost tests by restricting the scope to transactions carried out by Brenntag with certain clients (common to both Brenntag and Gaches) with respect to whom Brenntag allegedly implemented a particularly aggressive commercial strategy between 2002 and 2008207. The revenue generated by Brenntag with these 41 common clients represents 30% of its total revenue and 21% of the transactions of the Saint-Sulpice site during this period, while they account for less than 5% of the number of clients. The cited clients are therefore among the most important clients of Brenntag at this Saint-Sulpice site, in terms of the number of transactions and the value of transactions.  </w:t>
        <w:br/>
        <w:t>195. The results of the test indicate that for the clients common to both Brenntag and Gaches, the margin on avoidable costs is always positive. The margin on the total incremental costs is, for its part, positive for all years except from 2005 to 2007. It cannot therefore be excluded that these clients were subject to a more aggressive commercial policy from Brenntag during these three years. However, on the one hand, this degradation of the margin for the clients common to both Brenntag and Gaches appears to be very marginal given that it is</w:t>
      </w:r>
    </w:p>
    <w:p>
      <w:r>
        <w:rPr>
          <w:b/>
        </w:rPr>
        <w:t>[Pages 46–48]</w:t>
      </w:r>
    </w:p>
    <w:p>
      <w:r>
        <w:t xml:space="preserve">only for the year 2007 that the margin becomes negative for these common clients, compared to the margin achieved on transactions outside of common clients. However, the allocation of head office expenses is even less justified for this subset of clients than for all clients because any fluctuations in activity related to this subset are not likely to affect the amount of these expenses. On the other hand, if the margin on all costs excluding head office expenses is also degraded when calculated for transactions with the common clients of Brenntag and Gaches, it should be noted that the fixed costs (and certain variable costs excluding purchases) taken into account for these clients are overestimated in that, for these important clients, the unit costs should be lower than the average of transactions or clients, as economies of scale are possible. However, the calculation of the unit costs used does not take into account this reduction in costs since it consists only of relating total costs to quantities sold.  </w:t>
        <w:br/>
        <w:t xml:space="preserve">Cost test for "depot" transactions at the Saint-Sulpice site for 2002-2008 with certain clients  </w:t>
        <w:br/>
        <w:t xml:space="preserve">Share of common clients Margin on purchase (rate)  </w:t>
        <w:br/>
        <w:t xml:space="preserve">Year  </w:t>
        <w:br/>
        <w:t xml:space="preserve">in number of Outside clients  </w:t>
        <w:br/>
        <w:t xml:space="preserve">in turnover Common clients  </w:t>
        <w:br/>
        <w:t xml:space="preserve">transactions common  </w:t>
        <w:br/>
        <w:t xml:space="preserve">2002 17% 19% [25-30%] [25-30%]  </w:t>
        <w:br/>
        <w:t xml:space="preserve">2003 16% 22% [20-25%] [25-30%]  </w:t>
        <w:br/>
        <w:t xml:space="preserve">2004 19% 28% [20-25%] [25-30%]  </w:t>
        <w:br/>
        <w:t xml:space="preserve">2005 20% 31% [15-20%] [25-30%]  </w:t>
        <w:br/>
        <w:t xml:space="preserve">2006 20% 31% [20-25%] [25-30%]  </w:t>
        <w:br/>
        <w:t xml:space="preserve">2007 27% 36% [15-20%] [25-30%]  </w:t>
        <w:br/>
        <w:t xml:space="preserve">2008 30% 39% [15-20%] [25-30%]  </w:t>
        <w:br/>
        <w:t xml:space="preserve">Total 21% 30% [20-25%] [25-30%]  </w:t>
        <w:br/>
        <w:t xml:space="preserve">Margin on CT (including  </w:t>
        <w:br/>
        <w:t xml:space="preserve">Margin on CV (rate) Margin on CT (rate)  </w:t>
        <w:br/>
        <w:t xml:space="preserve">head office expenses) (rate)  </w:t>
        <w:br/>
        <w:t xml:space="preserve">Year  </w:t>
        <w:br/>
        <w:t xml:space="preserve">Clients Outside clients Clients Outside clients Clients Outside clients  </w:t>
        <w:br/>
        <w:t xml:space="preserve">common common common common common common  </w:t>
        <w:br/>
        <w:t xml:space="preserve">2002 [20-25%] [20-25%] [5-10%] [0-5%] [0-5%] [0-5%]  </w:t>
        <w:br/>
        <w:t xml:space="preserve">2003 [15-20%] [20-25%] [0-5%] [5-10%] [0-5%] [5-10%]  </w:t>
        <w:br/>
        <w:t xml:space="preserve">2004 [15-20%] [20-25%] [0-5%] [5-10%] [0-5%] [5-10%]  </w:t>
        <w:br/>
        <w:t xml:space="preserve">2005 [15-20%] [20-25%] [-5-0%] [0-5%] [-5-0%] [-5-0%]  </w:t>
        <w:br/>
        <w:t xml:space="preserve">2006 [10-15%] [20-25%] [-5-0%] [0-5%] [-5-0%] [-5-0%]  </w:t>
        <w:br/>
        <w:t xml:space="preserve">2007 [10-15%] [20-25%] [-5-0%] [5-10%] [-5-0%] [5-10%]  </w:t>
        <w:br/>
        <w:t xml:space="preserve">2008 [15-20%] [20-25%] [5-10%] [10-15%] [0-5%] [10-15%]  </w:t>
        <w:br/>
        <w:t xml:space="preserve">Total [15-20%] [20-25%] [0-5%] [5-10%] [-5-0%] [0-5%]  </w:t>
        <w:br/>
        <w:t xml:space="preserve">Conclusion on pricing practices  </w:t>
        <w:br/>
        <w:t xml:space="preserve">196. As a preliminary point, the Authority notes that the few adjustments made to reflect as accurately as possible the economic model of the Saint-Sulpice site are likely to lead to cost test results that can be described as "conservative" (paragraphs 186 and 187). However, this test reveals that variable costs and incremental costs (excluding head office expenses) are covered for all fiscal years from 2002 to 2008 (paragraph 192). Incremental costs are not covered for only two years (2005 and 2006) when head office expenses are taken into account, a hypothesis that seems questionable (paragraph 192).  </w:t>
        <w:br/>
        <w:t xml:space="preserve">197. In any case, assuming the hypothesis that the prices charged by Brenntag in 2005 and 2006 were in a gray area, in the sense of the case law (paragraph 180), additional elements demonstrating a strategy or possible exclusionary effects would be necessary to consider Brenntag's pricing policy as abusive.  </w:t>
        <w:br/>
        <w:t xml:space="preserve">198. First, the margins of the Saint-Sulpice site, overall positive for the period 2002-2013 (paragraph 190), seem to contradict the hypothesis of Brenntag's intention to maintain a deficit at the Saint-Sulpice site for the examined period.  </w:t>
        <w:br/>
        <w:t xml:space="preserve">199. Second, the observed evolution of the revenues of Brenntag and Gaches on one hand, and the results of Brenntag and Gaches on the other hand, weakens the hypothesis of exclusionary effects. Indeed, it appears from publicly available accounting elements that Gaches' revenue (which is primarily composed of commodities if one compares the total revenue of the company with that related to chemical commodities for 2003208, without being able to identify within this revenue what strictly pertains to the "depot" activity) did not significantly decline between 2003 and 2013 and does not seem to have evolved differently from that of Brenntag.  </w:t>
        <w:br/>
        <w:t xml:space="preserve">200. Third, if in the observations it made following the proposal for dismissal209, Gaches argues that Brenntag's predatory intent can be inferred from the accumulation of its exclusivity practices, its attempt to acquire Gaches, its desire to ostracize the latter within the UFCC, and the agreements it has implemented with certain competitors, the Authority notes that the elements provided by the complainant are insufficient to attest to such intent. In particular, and as will be analyzed below (paragraphs 205 to 233 and 255 to 263), the exclusivities concluded by Brenntag with certain suppliers and its behavior within the UFCC do not appear to be anti-competitive in nature, and their predatory character can be dismissed.  </w:t>
        <w:br/>
        <w:t xml:space="preserve">201. Therefore, the economic analyses conducted by the investigation services to examine the predation practice allow us to conclude that the Saint-Sulpice site is essentially in a white zone. In the few hypotheses where the cost tests place Brenntag in a gray area, no element attests to a strategy or possible exclusionary effects.  </w:t>
        <w:br/>
        <w:t xml:space="preserve">202. Gaches argues that it would only take a limited number of loss-making transactions with common clients of Gaches and Brenntag and on particularly competitive products to produce an exclusionary effect210. However, as recalled above (footnote 192), the relevant sample for conducting the cost tests is indeed that of all transactions carried out from the Saint-Sulpice site, a competitor as efficient as Brenntag being able to replicate its strategy without incurring unsustainable losses in the long term. In any case, the more granular analyses conducted by the investigation services aimed at identifying possible price differentiations according to clients did not establish such a finding (paragraphs 193 to 195).  </w:t>
        <w:br/>
        <w:t xml:space="preserve">203. Gaches further claims that "in the national market, Brenntag would have been unable to survive and invest if it had applied its price levels at Saint-Sulpice across all its sites"211. However, even assuming a differentiated pricing policy between sites, a hypothesis that should be qualified (paragraph 193), such a finding would not lead to the conclusion of the existence of abusive pricing practices at the Saint-Sulpice site, as the results of the cost tests conducted do not highlight any real or potential exclusionary effect.  </w:t>
        <w:br/>
        <w:t xml:space="preserve">204. The Authority therefore finds that the pricing practices denounced by Gaches are not established.  </w:t>
        <w:br/>
        <w:t xml:space="preserve">3. ON EXCLUSIVITY PRACTICES  </w:t>
        <w:br/>
        <w:t xml:space="preserve">a) The practices denounced by the complainants  </w:t>
        <w:br/>
        <w:t xml:space="preserve">205. In its referral of July 20, 2007, Gaches denounced the conclusion by Brenntag of exclusive distribution contracts with major suppliers of chemical commodities from whom Gaches had been accustomed to sourcing as well as with new suppliers. Gaches reported difficulties in sourcing in the market due to the conclusion of these agreements by Brenntag.  </w:t>
        <w:br/>
        <w:t xml:space="preserve">206. By minutes of April 1, 2009212, the manager of Gaches provided the following clarifications:  </w:t>
        <w:br/>
        <w:t xml:space="preserve">" In June 1999, CERESTAR announced its intention to terminate its business relations with us, while we were in a negotiation period. This termination occurred at the end of 2000. This opened up the entire food market (starches, sugars, etc.) for BRENNTAG, CERESTAR being the pivot card in this sector.  </w:t>
        <w:br/>
        <w:t xml:space="preserve">On December 23, 1998, EXXON announced its wish to terminate the contract that bound it exclusively to GACHES CHIMIE for 30 years, effective June 30, 1999.  </w:t>
        <w:br/>
        <w:t xml:space="preserve">The second phase began in 2001 and was prepared by the termination of the EXXON contract scheduled for June 30, 1999. This termination was postponed twice, on August 31, 2000, and December 31, 2000, opportunistically by EXXON, cf. footnotes 3 and 4, because the BRENNTAG depot was not ready to receive all the products. It was a depot subject to declaration that passed into low SEVESO threshold. This depot was only exploited for solvents in 2002.  </w:t>
        <w:br/>
        <w:t xml:space="preserve">During this period, we suffered the successive termination of the EXXON contract, LYONDELL in December 2003, and PETROGAL in 2003. At that time, PETROGAL supplied DISACHIM and HELM, who themselves supplied us. These three major suppliers concluded exclusive contracts with BRENNTAG.  </w:t>
        <w:br/>
        <w:t xml:space="preserve">At the end of 2003, PETROGAL granted exclusivity to BRENNTAG to the detriment of DISACHIM, CIRON, and HELM. We no longer had access to the supplier PETROGAL, footnotes 5 to 9. CIRON, HELM, and DISACHIM no longer had access to the range of PETROGAL.  </w:t>
        <w:br/>
        <w:t>In May 2002, LYONDELL announced its intention to terminate its business relations with GACHES CHIMIE with effect in December 2003. As early as 2001, while GACHES CHIMIE had an exclusive contract with LYONDELL, this supplier under the</w:t>
      </w:r>
    </w:p>
    <w:p>
      <w:r>
        <w:rPr>
          <w:b/>
        </w:rPr>
        <w:t>[Pages 49–51]</w:t>
      </w:r>
    </w:p>
    <w:p>
      <w:r>
        <w:t xml:space="preserve">pressure from BRENNTAG delivered to the ST Sulpice site despite our contract and made offers to GACHES CHIMIE's customers under the ARCOSOLV brand. EXXON, PETROGAL, and LYONDELL are major suppliers of solvents. Furthermore, part of the ranges of PETROGAL and EXXON overlap, thus constituting a double exclusivity for BRENNTAG. At the same time, another dominant supplier, BAYER for iron oxides, terminated its exclusive contract with GACHES CHIMIE in favor of BRENNTAG. BAYER represents 90% of the iron oxide market. The announcement was made in December 2002, with effectiveness in December 2003. Iron oxides are largely used by the same customers (paints, varnishes, inks, etc.) as those who use solvents, allowing BRENNTAG to build the widest ranges with branded products. BRENNTAG thus reinforced the effect of range and portfolio213.  </w:t>
        <w:br/>
        <w:t xml:space="preserve">207. The representative of Gaches also specified that these suppliers had previously exerted pressure on Gaches to persuade it to sell part of its assets to the Brenntag group214.  </w:t>
        <w:br/>
        <w:t xml:space="preserve">208. Finally, he mentioned the unavailability of a number of chemical commodities distributed exclusively by Brenntag215.  </w:t>
        <w:br/>
        <w:t xml:space="preserve">213 Cotes 8 055 to 8 056.  </w:t>
        <w:br/>
        <w:t xml:space="preserve">214 Cote 8 055: "The pressures manifested through incentives from suppliers, mainly EXXON (...), BAYER (...), ARCO-LYONDELL (...) and CERESTAR (...) to conclude a merger or sale agreement between GACHES CHIMIE and BRENNTAG. These suppliers simultaneously wished to continue their business relationships with GACHES CHIMIE, which was on a development dynamic, and with the largest distributor of chemical commodities, namely BRENNTAG. The economic benefit of such a contract for the suppliers was to subsequently contract with a very large group formed by the two entities and thereby provide themselves a means to tarnish their prices in the market."  </w:t>
        <w:br/>
        <w:t xml:space="preserve">215 Cotes 8 057 and 8 059: "We have completely exited the market for concrete coloring, pigments for paints, varnishes, coatings, and rubber. We have not found an equivalent to BAYER. We lost large volumes in food because we were forced to change suppliers in 2000 by replacing CERESTAR with the following 4 suppliers: CARGILL-CHANTOR-LEBBE-ADM to rebuild the lost range. We were again forced to substitute CARGILL in 2003 with AVEBE and AGRANA. CARGILL had acquired CERESTAR and granted the entirety of the two ranges exclusively to BRENNTAG. As of March 30, 2009, AVEBE became exclusive to BRENNTAG. Today, we have no substitute supplier for AVEBE and AGRANA would today be exclusive with BRENNTAG. (...) We have been attacked at almost all customers on the following solvents:  </w:t>
        <w:br/>
        <w:t xml:space="preserve">- Toluene, Xylene, Naphtha which belong to the PETROGAL range exclusively at BRENNTAG and for which we have not found alternative suppliers. We are forced to buy from BRENNTAG or UNIVAR (supplier CEPSA).  </w:t>
        <w:br/>
        <w:t xml:space="preserve">- The isoparaffinic solvents manufactured by EXXON and distributed exclusively by BRENNTAG. There is no equivalent on the market.  </w:t>
        <w:br/>
        <w:t xml:space="preserve">- Ethyl acetate, an important solvent of multiple origins.  </w:t>
        <w:br/>
        <w:t xml:space="preserve">- White spirit.  </w:t>
        <w:br/>
        <w:t xml:space="preserve">These solvents are the most important in volume and are used by the largest number of users. Mineral products have also been the subject of targeted attacks, particularly:  </w:t>
        <w:br/>
        <w:t xml:space="preserve">- 30.5% caustic soda, but for which we have alternative suppliers  </w:t>
        <w:br/>
        <w:t xml:space="preserve">- nitric acids (the most aggressive attacks) for which there are only 2 suppliers GRANDE PAROISSE and YARA. Today, only YARA supplies us, we are no longer approached by GRANDE PAROISSE which is no longer interested in us.  </w:t>
        <w:br/>
        <w:t xml:space="preserve">- Sodium bisulfite for which there are several suppliers... Following these practices, we have lost the laundry sector and surface treatment and the effects of range accompany.  </w:t>
        <w:br/>
        <w:t xml:space="preserve">- Sodium hypochlorite (bleach) used in all water treatments and in laundry."  </w:t>
        <w:br/>
        <w:t>49</w:t>
      </w:r>
    </w:p>
    <w:p>
      <w:r>
        <w:t xml:space="preserve">209. In its referral of October 31, 2007, and its various supplements216, the Solvadis group denounced the implementation by Brenntag of an abuse of dominant position in the market for the distribution of chemical commodities, due to the conclusion in its favor of exclusive distribution agreements with the largest manufacturers, to prevent any attempt at competition on the entirety of the range of chemical commodities, not only in France but also in the Union217.  </w:t>
        <w:br/>
        <w:t xml:space="preserve">210. Chimiphar also denounced in its referral a "systematic" intervention by Brenntag with its main suppliers (Cerestar, Avebe, Lyondell, Ineos, and DSM) in order to obtain the distribution of products in its place, "by exerting pressure on them to limit our supply and/or impose exorbitant prices resembling a 'disguised' refusal of supply, thus no longer allowing our company to be competitive"218.  </w:t>
        <w:br/>
        <w:t xml:space="preserve">b) Reminder of applicable principles  </w:t>
        <w:br/>
        <w:t xml:space="preserve">211. In the judgment of February 13, 1979, Hoffmann La Roche/Commission, the Court of Justice ruled that "[i]t is to be noted that, for a company in a dominant position in a market, the fact of tying – even at their request – buyers by an obligation or promise to source for all or a substantial part of their needs exclusively from that company constitutes an abusive exploitation of a dominant position within the meaning of Article 86 of the Treaty, whether the obligation in question is stipulated as such or whether it finds its counterpart in the granting of discounts; the same applies when the said company, without binding buyers by a formal obligation, applies, either by virtue of agreements made with these buyers or unilaterally, a loyalty discount system, that is to say, discounts linked to the condition that the customer – regardless of the amount, considerable or minimal, of their purchases – sources exclusively for all or a significant part of their needs from the company in a dominant position; indeed, exclusive sourcing commitments of this nature, with or without the counterpart of discounts or the granting of loyalty discounts to encourage the buyer to source exclusively from the company in a dominant position, are incompatible with the objective of undistorted competition in the common market because they do not rely on (...) an economic performance justifying this burden or advantage, but tend to deprive the buyer, or restrict their ability, to choose regarding their sources of supply and to block access to the market for other producers"219.  </w:t>
        <w:br/>
        <w:t xml:space="preserve">212. The Court of the European Union (hereinafter, "Court") also recalled that it is not necessary for the practices of a company in a dominant position to bind buyers by a formal obligation to establish that they constitute an abusive exploitation of a dominant position within the meaning of Article 102 of the TFEU. It is sufficient that these practices involve  </w:t>
        <w:br/>
        <w:t xml:space="preserve">216 VNC of the referral of Solvadis of October 31, 2007, cotes 41 033 to 41 137; complaint supplement of February 4, 2010, from Solvadis, cotes 7 288 to 7 446; VNC of the partial withdrawal letter of May 12, 2014, from Solvadis, cotes 41 026 to 41 032.  </w:t>
        <w:br/>
        <w:t xml:space="preserve">217 VNC of the referral of Solvadis of October 31, 2007, cotes 41 122 to 41 126. See also the supplement to the referral of Solvadis of February 4, 2010, relating to "single sourcing" contract practices that resemble exclusivity practices, cotes 7 319 and 7 320.  </w:t>
        <w:br/>
        <w:t xml:space="preserve">218 Referral from Chimiphar of October 30, 2009, cotes 24 842 and 24 843.  </w:t>
        <w:br/>
        <w:t xml:space="preserve">219 Judgment of the Court of Justice of February 13, 1979, Hoffmann La Roche, cited above, points 89 and 90.  </w:t>
        <w:br/>
        <w:t>50</w:t>
      </w:r>
    </w:p>
    <w:p>
      <w:r>
        <w:t xml:space="preserve">an incentive, towards customers, not to go through competing suppliers and to source for all or a significant part of their needs exclusively from the said company220. The decision-making practice of the Authority and national case law go in the same direction. In the absence of an express exclusivity clause, it is necessary to determine whether all the contractual stipulations in question, analyzed in their legal and economic context, allow for the consideration that there exists a situation of exclusivity or quasi-exclusivity in fact, likely to restrict competition221.  </w:t>
        <w:br/>
        <w:t xml:space="preserve">213. National courts and competition authorities of the Union consider that distribution or purchasing exclusivities are not anti-competitive in themselves222, even when they are the result of a company in a dominant position223. In practice, the restrictive effect on competition resulting from exclusivity clauses depends on many factors, including the scope and extent of the exclusivity, the duration or combination over time of the contracts, the conditions for termination and renewal, the position of the operators and the conditions prevailing in the relevant market, or the existence of technical justifications on which the exclusivity is based as well as the economic counterparts to which it may give rise224.  </w:t>
        <w:br/>
        <w:t xml:space="preserve">214. In the Communication on the abusive exclusionary practices of dominant companies, the Commission considers that exclusive purchasing obligations are particularly likely to produce anti-competitive exclusionary effects when, in their absence, strong competitive pressure is exerted by companies that are either not yet present in the market or are only marginally present.  </w:t>
        <w:br/>
        <w:t xml:space="preserve">220 Judgment of the Court of September 9, 2010, Tomra Systems SAS/Commission, T-155/06, point 59. See also decision n° 06-D-14 of June 23, 2016, relating to practices implemented in the rolled zinc and processed zinc products sector intended for construction, paragraphs 684 to 686.  </w:t>
        <w:br/>
        <w:t xml:space="preserve">221 See decision n° 06-D-14 of June 23, 2016, relating to practices implemented in the rolled zinc and processed zinc products sector intended for construction, paragraph 686. See also decisions n° 12-D-11 of April 6, 2012, concerning a referral from the company Roland Vlaemynck Tisseur against practices implemented in the industrial towel manufacturing and marketing sector, paragraph 108, and n° 04-D-13 of April 8, 2004, relating to practices implemented by the company of the Caves and Producers united of Roquefort in the blue cheese sector, paragraphs 33 and following, confirmed by the judgment of the Paris Court of Appeal of November 9, 2004, Société anonyme des caves et producteurs réunis de Roquefort, n° 2004/08960, p. 5, and, on appeal, by the judgment of the Court of Cassation of December 6, 2005, Société des Caves et producteurs réunis de Roquefort, n° 04-19541.  </w:t>
        <w:br/>
        <w:t xml:space="preserve">222 See decision n° 14-D-18 of November 28, 2014, relating to practices implemented in the online event sales sector, paragraph 116. See also the thematic study of the Council on exclusivities, from the 2007 annual report, page 89, and the judgment of the Court of Justice of January 19, 2023, C‑680/20, Unilever, point 62.  </w:t>
        <w:br/>
        <w:t xml:space="preserve">223 See opinion n° 21-A-08 of May 27, 2021, relating to a request for opinion from the Commission of Cultural Affairs and Education of the National Assembly in the current music sector, paragraph 126.  </w:t>
        <w:br/>
        <w:t xml:space="preserve">224 Opinion n° 21-A-08 of May 27, 2021, cited above, paragraph 126. See also decision n° 14-D-18 cited above, paragraph 117, as well as, on the one hand, decisions n° 10-D-07 of May 25, 2010, relating to practices implemented in the competitive pétanque ball market, paragraph 79, and n° 09-D-36 of December 9, 2009, relating to practices implemented by Orange Caraïbe and France Télécom in various electronic communications service markets in the departments of Martinique, Guadeloupe, and Guyana, paragraph 233, and, on the other hand, the communication of February 24, 2009, relating to guidelines on the priorities retained for the application of Article 82 EC to the abusive exclusionary practices of dominant companies (OJ C 45, February 24, 2009), point 20.  </w:t>
        <w:br/>
        <w:t>51</w:t>
      </w:r>
    </w:p>
    <w:p>
      <w:r>
        <w:rPr>
          <w:b/>
        </w:rPr>
        <w:t>[Pages 52–54]</w:t>
      </w:r>
    </w:p>
    <w:p>
      <w:r>
        <w:t xml:space="preserve">market at the time of the conclusion of these agreements, or are not able to compete for the total supply of customers225.  </w:t>
        <w:br/>
        <w:t xml:space="preserve">215. According to the decision-making practice of the Commission, confirmed by the Court of Justice, no specific threshold of lock-in needs to be necessarily reached, as long as it is sufficiently demonstrated in law that the market has been closed to competition by the practices in question226. Nevertheless, the Court of Justice confirmed that two-fifths (39%) of the demand locked in by exclusivities constitutes a very substantial part of the market in question227. In the case of low percentages, that is to say when the market share related to the exclusivity obligation is not significant, a lock-in effect appears unlikely or even excluded228.  </w:t>
        <w:br/>
        <w:t xml:space="preserve">c) Application to the case  </w:t>
        <w:br/>
        <w:t xml:space="preserve">The exclusivity agreements concluded by Brenntag with certain suppliers  </w:t>
        <w:br/>
        <w:t xml:space="preserve">Until 2013  </w:t>
        <w:br/>
        <w:t xml:space="preserve">216. The tables below, established from the data provided by Brenntag in its 2014229 letters, correspond to the figures for 2011 and 2013. Brenntag did not provide earlier data, which it claims are unavailable, although repeatedly requested since 2012230.  </w:t>
        <w:br/>
        <w:t xml:space="preserve">217. Furthermore, as explained previously (paragraph 103), there is no unanimously validated list of chemical commodities by the profession. Some products presented as specialties by Brenntag have sometimes been categorized as commodities225. The Commission Communication – Guidelines on the priorities set by the Commission for the application of Article 82 of the EC Treaty to abusive exclusionary practices by dominant companies, OJCE No. C 45 of February 24, 2009, p. 7, point 36.  </w:t>
        <w:br/>
        <w:t xml:space="preserve">226 Judgment of the Court of Justice of April 19, 2012, Tomra Systems ASA e.a., C-549/10 P, point 46.  </w:t>
        <w:br/>
        <w:t xml:space="preserve">227 Judgment of the Court of Justice of April 19, 2012, Tomra Systems ASA e.a., cited, points 44-45. See also the judgment of the Tribunal of October 23, 2003, Van den Bergh Foods Ltd, T-65/98, points 77 and 98, as well as the Commission Communication – Guidelines on the priorities set by the Commission for the application of Article 82 of the EC Treaty to abusive exclusionary practices by dominant companies, cited, point 34: "The Commission will focus its attention on cases where consumers as a whole are likely to find no benefit. This will particularly be the case when there are many customers and the exclusive purchasing obligations of the dominant company, taken collectively, have the effect of preventing the entry or expansion of competing companies."  </w:t>
        <w:br/>
        <w:t xml:space="preserve">228 Judgment of the Tribunal of September 14, 2022, Google LLC and Alphabet, Inc./Commission, T-604/18:  </w:t>
        <w:br/>
        <w:t xml:space="preserve">"683. (...) it also appears from the various examples drawn from the Commission's previous practice that it has considered market coverage rates of the relevant market ranging from 39% to 85% as significant.  </w:t>
        <w:br/>
        <w:t xml:space="preserve">684. In this case, however, the coverage rate of the contested practice considered significant by the Commission is, as such, considerably lower than those previously retained by the Commission in its prior practice. Indeed, (...) it would be less than 5% of the market defined by the Commission. (...)  </w:t>
        <w:br/>
        <w:t xml:space="preserve">693. Under these conditions, the coverage rate of the relevant markets by the contested practice cannot be qualified as significant."  </w:t>
        <w:br/>
        <w:t xml:space="preserve">229 Brenntag's letter of October 30, 2014, references 23 840 to 23 874, 23 877 to 23 880, 23 883-23 884 and references 42 014 to 42 023 VNC (references 23 875-23 876; 23 881-23 882; 23 885 to 23 890 VC) and Brenntag's letter of December 22, 2014, references 24 374 to 24 382 and references 42 025 to 42 081 VNC (references 24 383 to 24 806 VC).  </w:t>
        <w:br/>
        <w:t xml:space="preserve">230 See decision n° 17-D-27 of December 21, 2017, regarding obstruction practices implemented by Brenntag, paragraphs 33 to 70.  </w:t>
        <w:br/>
        <w:t>52</w:t>
      </w:r>
    </w:p>
    <w:p>
      <w:r>
        <w:t xml:space="preserve">chemical commodities by Brenntag itself or other distributors in other cases. Furthermore, some specialties become commodities over time and are therefore more accessible231. Consequently, some products fall into a gray area, considered as chemical commodities by some operators and as specialties by others232.  </w:t>
        <w:br/>
        <w:t xml:space="preserve">218. To address this difficulty, the following tables take into account three alternative scopes of products classified as chemical commodities:  </w:t>
        <w:br/>
        <w:t xml:space="preserve">− the first derives from the list of products presented by Brenntag as chemical commodities in its 2014 response;  </w:t>
        <w:br/>
        <w:t xml:space="preserve">− the second was established from (i) the products presented by Brenntag as chemical commodities in its 2014 response, a list supplemented by (ii) the products presented by Brenntag as specialties in its 2014233 response but categorized as commodities in other Brenntag documents; and,  </w:t>
        <w:br/>
        <w:t xml:space="preserve">− the third was defined from (i) the data provided by Brenntag and (ii) the list of products considered by the complainants as commodities.  </w:t>
        <w:br/>
        <w:t xml:space="preserve">219. These three hypotheses thus allow for the identification of the minimum and maximum percentages of the exclusivities concluded by Brenntag.  </w:t>
        <w:br/>
        <w:t xml:space="preserve">231 Reference 5 928.  </w:t>
        <w:br/>
        <w:t xml:space="preserve">232 Hearing report of Brenntag of March 12, 2014, references 15 453 to 15 460, notably reference 15 458.  </w:t>
        <w:br/>
        <w:t xml:space="preserve">233 References 24 374 to 24 382 and references 42 025 to 42 081 VNC (references 24 374 to 24 806 VC).  </w:t>
        <w:br/>
        <w:t>53</w:t>
      </w:r>
    </w:p>
    <w:p>
      <w:r>
        <w:t xml:space="preserve">Share of total sales of commodities covered by Brenntag's exclusivities  </w:t>
        <w:br/>
        <w:t xml:space="preserve">Scope considered In 2011 In 2013  </w:t>
        <w:br/>
        <w:t xml:space="preserve">Scope 1234 [4.2-4.8%]235 [1.9-2.2%]236  </w:t>
        <w:br/>
        <w:t xml:space="preserve">Scope 2237 [6.5-7.3%]238 [3.7-4.2%]239  </w:t>
        <w:br/>
        <w:t xml:space="preserve">Scope 3240 [7.7-8.7%]241 [4.8-5.4%]242  </w:t>
        <w:br/>
        <w:t xml:space="preserve">After 2016  </w:t>
        <w:br/>
        <w:t xml:space="preserve">220. In 2018, new requests from the investigation services were sent to the main distributors243 and producers244 of commodities and chemical specialties.  </w:t>
        <w:br/>
        <w:t xml:space="preserve">234 The following suppliers are concerned: Akzo Nobel (reference 42 023 VNC, 23 890 VC), BP Chemicals (references 41 993-41 994 VNC, 18 743 to 18 762 VC), CECA (references 41 995 VNC, 18 763 to 18 774 VC), Chemoxal (references 16 548 to 16 553), Esco (references 42 023 VNC, 23 890 VC), Evonik-Degussa (references 41 992 VNC, 18 689 to 18 742 VC), Exxon (references 41 986 and 41 990 VNC, 11 828 and 18 512 to 18 538 VC), Lyondell (references 41 991 VNC, 18 682 to 18 688 VC), Petrogal (references 42 023 VNC, 23 890 VC), Potasse et Produits Chimiques (reference 42 023 VNC, 23 890 VC) and Sasol (references 41 997 to 42 003 VNC, 8 934 to 8 940 VC).  </w:t>
        <w:br/>
        <w:t xml:space="preserve">235 Market value extrapolated considering that the market share is between 48.55% and 55%, and since 8.7% of Brenntag's chemical commodities sales were under exclusivity (references 42 027 VNC, 24 385 VC (~€27.5M / €315.5M)).  </w:t>
        <w:br/>
        <w:t xml:space="preserve">236 Since 4% of Brenntag's chemical commodities sales were under exclusivity (references 42 033 VNC, 24 391 VC (~€11.7M / €293.3M)).  </w:t>
        <w:br/>
        <w:t xml:space="preserve">237 In addition to the products from suppliers in scope 1, this scope includes sales from the following suppliers: Avebe (references 42 036 VNC, 24 394 VC), BBA Lactalis (references 42 037 VNC, 24 395 VC), Borax (references 42 038 VNC, 24 396 VC), Budenheim (references 42 038 VNC, 24 396 VC), Cargill (references 42 041 VNC, 24 399 VC), Gerkens (references 42 043 VNC, 24 401 VC) and Lonza (references 42 055 VNC, 24 413 VC).  </w:t>
        <w:br/>
        <w:t xml:space="preserve">238 Starting from an incremental total of €16,579,362, or €44,153,148 for the overall total (references 42 026 to 42 028 VNC, 24 384 to 24 386 VC).  </w:t>
        <w:br/>
        <w:t xml:space="preserve">239 Starting from an incremental total of €11,538,484, or €23,239,314 for the overall total.  </w:t>
        <w:br/>
        <w:t xml:space="preserve">240 The following suppliers are concerned: Bayer Lanxess, Bluestar Silicone (reported without figures by Brenntag AG – 2014-2019 – Brenntag AG Bluesil, Mirasil, Silbione, Silcolapse, considered as specialties by Brenntag AG), Delamine, DSM (reported without figures by Brenntag AG 2008-2013 – Brenntag AG – Food ingredients – dairy, considered as specialties by Brenntag AG), Ifrachimie, Norit, Rohm &amp; Haas (references 42 989 VNC, 11 831 VC and 25 597-25 598, 29 216 to 29 218, 42 083-42 074 VNC, 29 225 to 29 241 VC), Rütgers, Sasol and Stepan.  </w:t>
        <w:br/>
        <w:t xml:space="preserve">241 Starting from an incremental total of €10,154,983, or €54,308,131 for the overall total.  </w:t>
        <w:br/>
        <w:t xml:space="preserve">242 Starting from an incremental total of €7,847,431, or €31,086,431 for the overall total.  </w:t>
        <w:br/>
        <w:t xml:space="preserve">243 Azelis (references 31 837 to 31 840), Beauseigneur (references 31 752 to 31 755), Brenntag (references 38 472 to 38 476), Charbonneaux (references 31 756 to 31 759), Chimiphar (references 31 764 to 31 767), Gaches (references 31 833 to 31 836), IMCD (references 31 760 to 31 763), Quaron (references 31 748 to 31 751) and Univar (references 31 841 to 31 844).  </w:t>
        <w:br/>
        <w:t xml:space="preserve">244 Akzo (references 31 825 to 31 832), Arkéma (references 31 816 to 31 824), RioTinto (Borax Français – references 31 768 to 31 775), Cabot Norit (references 31 879 to 31 895), Cargill (references 31 800 to 31 807), Cepsa Quimica (references 31 862 to 31 878 and 32 740), Dow France SAS (references 31 896 to 31 912), Exxon (31 776 to 31 783), Imerys (references 31 784 to 31 791), Lanxess (references 31 808 to 31 815), Lyondell (references 31 792 to 31 799), Repsol (references 31 947 to 31 963), Shell (references 31 845 to 31 861), Solvay (references 31 930 to 31 946).  </w:t>
        <w:br/>
        <w:t>54</w:t>
      </w:r>
    </w:p>
    <w:p>
      <w:r>
        <w:rPr>
          <w:b/>
        </w:rPr>
        <w:t>[Pages 55–57]</w:t>
      </w:r>
    </w:p>
    <w:p>
      <w:r>
        <w:t xml:space="preserve">221. The responses provided made it possible to create the following tables concerning the years 2016 and 2017:  </w:t>
        <w:br/>
        <w:t xml:space="preserve">Share of products sold under exclusivity by distributors of chemical commodities  </w:t>
        <w:br/>
        <w:t xml:space="preserve">Exclusivities Exclusivities % total  </w:t>
        <w:br/>
        <w:t xml:space="preserve">2016 of law (%) of fact (%) exclusivities  </w:t>
        <w:br/>
        <w:t xml:space="preserve">Brenntag245 0.37 0.00 0.37  </w:t>
        <w:br/>
        <w:t xml:space="preserve">Univar246 0.16 0.03 0.19  </w:t>
        <w:br/>
        <w:t xml:space="preserve">Quaron247 5.98 7.46 13.44  </w:t>
        <w:br/>
        <w:t xml:space="preserve">Beauseigneur248 0.00 0.00 0.00  </w:t>
        <w:br/>
        <w:t xml:space="preserve">Charboneaux249 0.00 0.00 0.00  </w:t>
        <w:br/>
        <w:t xml:space="preserve">Chimiphar250 0.00 0.00 0.00  </w:t>
        <w:br/>
        <w:t xml:space="preserve">Gaches251 0.00 2.05 2.05  </w:t>
        <w:br/>
        <w:t xml:space="preserve">IMCD252 11.50 35.78 47.29  </w:t>
        <w:br/>
        <w:t xml:space="preserve">Azelis253 17.93 24.96 42.89  </w:t>
        <w:br/>
        <w:t xml:space="preserve">Total 2.44 3.70 6.13  </w:t>
        <w:br/>
        <w:t xml:space="preserve">Exclusivities Exclusivities % total  </w:t>
        <w:br/>
        <w:t xml:space="preserve">2017 of law (%) of fact (%) exclusivities  </w:t>
        <w:br/>
        <w:t xml:space="preserve">Brenntag254 0.42 0.00 0.42  </w:t>
        <w:br/>
        <w:t xml:space="preserve">Univar255 0.11 0.02 0.13  </w:t>
        <w:br/>
        <w:t xml:space="preserve">Quaron256 6.74 6.75 13.48  </w:t>
        <w:br/>
        <w:t xml:space="preserve">Beauseigneur257 0.00 0.00 0.00  </w:t>
        <w:br/>
        <w:t xml:space="preserve">Charboneaux258 0.00 0.00 0.00  </w:t>
        <w:br/>
        <w:t xml:space="preserve">Chimiphar259 0.00 0.00 0.00  </w:t>
        <w:br/>
        <w:t xml:space="preserve">Gaches260 0.00 1.92 1.92  </w:t>
        <w:br/>
        <w:t xml:space="preserve">IMCD261 17.90 52.27 70.17  </w:t>
        <w:br/>
        <w:t xml:space="preserve">Azelis262 18.01 7.89 25.90  </w:t>
        <w:br/>
        <w:t xml:space="preserve">Total 2.76 3.01 5.77  </w:t>
        <w:br/>
        <w:t xml:space="preserve">222. In conclusion, regarding Brenntag, the collected data allows for the following summary table for the years 2011, 2013, 2016, and 2017:  </w:t>
        <w:br/>
        <w:t xml:space="preserve">COMMODITIES  </w:t>
        <w:br/>
        <w:t xml:space="preserve">Percentage of Brenntag's sales under exclusivity compared to the total amount of market sales  </w:t>
        <w:br/>
        <w:t xml:space="preserve">2011 2013 2016 2017  </w:t>
        <w:br/>
        <w:t xml:space="preserve">&lt; 9 % &lt; 6 % &lt; 1 % &lt; 1 %  </w:t>
        <w:br/>
        <w:t xml:space="preserve">223. It thus appears that the percentage of Brenntag's sales related to exclusivities, for the years 2011, 2013, 2016, and 2017, is low compared to the total amount of market sales, regardless of the working hypotheses retained by the investigation services.  </w:t>
        <w:br/>
        <w:t xml:space="preserve">224. Since 2011, Brenntag's exclusive sales have nearly disappeared.  </w:t>
        <w:br/>
        <w:t xml:space="preserve">225. In the observations they made following the proposal for non-suit263, Gaches, Solvadis, and Chimiphar contest the analysis of the investigation services. In particular, Gaches argues that the power granted to Brenntag by the exclusivities would be clearly established by the statements of the distributors. It particularly believes that the low percentage of Brenntag's turnover represented by its exclusivities would not be a relevant criterion for analysis and that account should be taken of the ability of the exclusivities to create gaps in the competitors' range.  </w:t>
        <w:br/>
        <w:t xml:space="preserve">226. In this regard, it should first be noted that certain characteristics specific to Brenntag, notably its ownership of several Seveso sites and more broadly its significant storage capacities (paragraph 53), can, in fact, explain why suppliers of chemical commodities are inclined to entrust it with the distribution of their products, possibly on an exclusive basis.  </w:t>
        <w:br/>
        <w:t xml:space="preserve">227. Nevertheless, several elements counterbalance the existence of potential anti-competitive effects resulting from the exclusivities granted to Brenntag, which remain in any case limited in the market264:  </w:t>
        <w:br/>
        <w:t xml:space="preserve">− exclusivities are a common practice in the chemical products market, and Brenntag is not the only distributor holding exclusivities in the field of chemical commodities (see the table in paragraph 221);  </w:t>
        <w:br/>
        <w:t xml:space="preserve">− there is no uniformity in the definition of a list of essential products that a distributor should have265; and,  </w:t>
        <w:br/>
        <w:t xml:space="preserve">− the exclusivities granted to Brenntag do not deprive other distributors of a supply of chemical commodities, especially since the brand effect appears weak or even non-existent, with a distributor holding an exclusivity on a product leaving its competitors alternatives to distribute said product, either by replacing it with a similar product having the same specifications266, or by purchasing the product in question from the distributor holding the exclusivity267. Furthermore, for a given type of commodity, inter-brand competition is generally strong268.  </w:t>
        <w:br/>
        <w:t xml:space="preserve">228. Moreover, the investigation confirmed that the exclusivities in question could be justified, notably for suppliers who derive practical and technical advantages from them269: reduction of logistical costs or transaction costs, economies of scale, specialization of the distributor who has better knowledge of the product, encouragement for the latter to participate in marketing operations focused on certain products, better feedback of information from the distributor to the supplier, and better quality control.  </w:t>
        <w:br/>
        <w:t xml:space="preserve">229. Finally, it should be noted that despite the existence of the exclusivities denounced notably by Gaches, the turnover of the latter has continued to progress, including in the commodities market270.  </w:t>
        <w:br/>
        <w:t xml:space="preserve">Conclusion on exclusivities  </w:t>
        <w:br/>
        <w:t xml:space="preserve">230. Based on this analysis, it appears that the exclusivities in question are not likely to constitute an abuse of dominant position by Brenntag under Articles L.420-2, paragraph 1 of the Commercial Code and 102 of the TFEU.  </w:t>
        <w:br/>
        <w:t xml:space="preserve">231. Indeed, first of all, the percentage of exclusive sales achieved by Brenntag in the market for the distribution of chemical commodities, the only market on which Brenntag holds a dominant position, has been low since 2011.  </w:t>
        <w:br/>
        <w:t xml:space="preserve">232. Next, numerous contextual elements neutralize the potential anti-competitive effect of the exclusivities, a practice which is justified in several respects.  </w:t>
        <w:br/>
        <w:t>233. Finally, although the conditions of the investigation did not allow for the collection of the percentages of Brenntag's sales related to a distribution exclusivity before 2011, the other assessment elements and justifications mentioned above for the period after 2011 are also applicable to this earlier period, so that the hypothesis of an abuse before 2011 should be dismissed. In any case, as long as the practices are</w:t>
      </w:r>
    </w:p>
    <w:p>
      <w:r>
        <w:rPr>
          <w:b/>
        </w:rPr>
        <w:t>[Pages 58–60]</w:t>
      </w:r>
    </w:p>
    <w:p>
      <w:r>
        <w:t xml:space="preserve">not established since 2011, any potential practices prior to 2011 would be time-barred under II of Article L. 462-7 of the Commercial Code271.  </w:t>
        <w:br/>
        <w:t xml:space="preserve">4. ON HORIZONTAL AGREEMENT PRACTICES  </w:t>
        <w:br/>
        <w:t xml:space="preserve">a) Reminder of applicable principles  </w:t>
        <w:br/>
        <w:t xml:space="preserve">234. As recalled in decision n° 13-D-20 of December 17, 2013, concerning practices implemented by EDF in the sector of services for photovoltaic electricity production, the principle of non bis in idem opposes a company being sanctioned or prosecuted again for anti-competitive behavior for which it has already been sanctioned or declared not responsible by a prior decision that is no longer subject to appeal272.  </w:t>
        <w:br/>
        <w:t xml:space="preserve">235. It follows from decision-making practice and case law that "the application of the principle of non bis in idem requires the existence of a prior decision ruling on a behavior, not subject to appeal, and is subject to a triple condition of identity of facts, unity of offender, and unity of the protected legal interest"273.  </w:t>
        <w:br/>
        <w:t xml:space="preserve">b) Application to the case  </w:t>
        <w:br/>
        <w:t xml:space="preserve">Customer allocation and pricing coordination practices  </w:t>
        <w:br/>
        <w:t xml:space="preserve">236. In the referral registered under number 06/0086 F (paragraph 8 above), Gaches reported an agreement consisting of multilateral practices of customer allocation and pricing coordination, implemented by the companies Brenntag, Solvadis France (now Quaron), and Univar France, in the French market for the distribution of chemical commodities.  </w:t>
        <w:br/>
        <w:t xml:space="preserve">237. Solvadis also reported, in its referral of October 31, 2007 (paragraph 8 above), the implementation by Brenntag of a national strategy for organizing agreements, notably through professional organizations where it allegedly took advantage of its predominance to impose its will on other market players, with the exception of Gaches. According to Solvadis, the porosity of the market, which would have allowed exchanges of commercial information among sales executives, "a very large majority [having] passed through Brenntag during their careers"274, as well as the dependence of other operators on Brenntag, who were obliged to source from it to be able to distribute the entire range of chemical commodities, would have contributed to the success of this strategy.  </w:t>
        <w:br/>
        <w:t xml:space="preserve">238. However, between September and December 2006, four companies each submitted a leniency application concerning the same practices reported by Gaches and Solvadis. By decision n° 07-SO-02 of April 5, 2007, registered under number 07/0032 F, the Authority took up these practices275.  </w:t>
        <w:br/>
        <w:t xml:space="preserve">239. At the end of the investigation, the Authority sanctioned, by decision n° 13-D-12 of May 28, 2013, the leniency applicants for participating in an agreement consisting of multilateral practices of customer allocation and pricing coordination throughout the national territory, with the exception of Île-de-France and the South-West. These practices had been reported by Gaches in its referral registered under number 06/0086 F, but due to the disjunctions imposed by the investigation of the case (paragraphs 9 to 12 above), requiring separate examination of the referral of a complainant and those of leniency applicants, the referral 06/0086 F remained open even though the reported practices concerned the same practices examined by the Authority in decision n° 13-D-12.  </w:t>
        <w:br/>
        <w:t xml:space="preserve">240. In decision n° 13-D-12276, the Authority notably emphasized the pivotal and driving role played by Brenntag in the functioning of the agreements, it being "the company that held a preeminent position in the market for the distribution of chemical commodities in France, due to the national presence conferred by its 25 storage sites, and its belonging to a large industrial and financial group277" (i) having initiated the meetings to launch the practices in certain areas, (ii) being the only company that participated in the practices across all concerned areas, (iii) having exercised oversight, and (iv) the instructions given by its president to terminate the practices that marked their cessation.  </w:t>
        <w:br/>
        <w:t xml:space="preserve">241. In the aforementioned ruling of December 3, 2020, the Paris Court of Appeal, ruling on Brenntag's participation in the agreement practices, also noted its driving role, for the same reasons identified by the Authority278.  </w:t>
        <w:br/>
        <w:t xml:space="preserve">242. As highlighted above (paragraph 11), by the ruling of May 22, 2025, the Paris Court of Appeal ordered the referral of the case to the Authority for the drafting of a new report, but only on the determinants of the sanction concerning Brenntag and its parent company, Deutsche Bahn AG. It specified on this occasion that "a referral that would concern the establishment of a report on the grievances and on the sanction would clash with the authority of res judicata regarding the provisions relating to the acknowledgment of the guilt of the prosecuted companies; it is therefore excluded"279.  </w:t>
        <w:br/>
        <w:t xml:space="preserve">243. Consequently, insofar as the practices reported by Gaches and Solvadis have already been the subject of a substantive decision, the Authority cannot rule again on these same practices, under the principle of non bis in idem.  </w:t>
        <w:br/>
        <w:t xml:space="preserve">275 See the aforementioned decision n° 13-D-12, paragraphs 1, 2, and 17.  </w:t>
        <w:br/>
        <w:t xml:space="preserve">276 See paragraphs 402 to 416.  </w:t>
        <w:br/>
        <w:t xml:space="preserve">277 Paragraph 403.  </w:t>
        <w:br/>
        <w:t xml:space="preserve">278 Ruling of December 3, 2020, n° RG 13/13058, paragraphs 268 to 275.  </w:t>
        <w:br/>
        <w:t xml:space="preserve">279 Point 152 of the ruling of the Paris Court of Appeal of May 22, 2025, cited above.  </w:t>
        <w:br/>
        <w:t xml:space="preserve">244. In the observations it made following the proposal of no further action, Solvadis nevertheless argues that Brenntag should be sanctioned for abuse of dominant position concerning the agreement facts sanctioned by decision n° 13-D-12, as Brenntag is in a dominant position and played a leading and initiating role in said agreement.  </w:t>
        <w:br/>
        <w:t xml:space="preserve">245. However, decision n° 13-D-12 only examined the practices in question in light of Articles 101 of the TFEU and L. 420-1 of the Commercial Code. It therefore does not recognize the existence of an abuse of dominant position, such a qualification requiring an examination in light of the regime applicable to infringements of Articles 102 of the TFEU and L. 420-2 of the Commercial Code.  </w:t>
        <w:br/>
        <w:t xml:space="preserve">246. However, as recalled above (paragraph 235), the application of the principle of non bis in idem depends solely on a triple condition of identity of facts, unity of offender, and unity of the protected legal interest, which is verified in this case. There is therefore no need, in any event, to re-examine the multilateral practices of customer allocation and pricing coordination.  </w:t>
        <w:br/>
        <w:t xml:space="preserve">Linked sales practices  </w:t>
        <w:br/>
        <w:t xml:space="preserve">247. Solvadis also reported, in its supplementary referral of February 4, 2010 (paragraph 8 above), "linked sales practices consisting of forcing, through an agreement, distributors to charge deposit fees, technical fees, and 'diesel taxes'."  </w:t>
        <w:br/>
        <w:t xml:space="preserve">248. However, the Authority ruled on these practices in the aforementioned decision n° 13-D-12, considering that "the second leniency application from Solvadis, which was the subject of notice n° 07-A-02, reported agreement practices on the pricing of deposits and technical fees, which were not established"280.  </w:t>
        <w:br/>
        <w:t xml:space="preserve">249. Consequently, regarding the linked sales practices reported by Solvadis, the same conclusion applies as for the customer allocation and pricing coordination practices: insofar as all the reported practices have already been examined by the Authority in its decision n° 13-D-12, the Authority cannot rule again on these same practices, and this under the principle of non bis in idem.  </w:t>
        <w:br/>
        <w:t xml:space="preserve">5. ON INTIMIDATION PRACTICES  </w:t>
        <w:br/>
        <w:t xml:space="preserve">a) Reminder of applicable principles  </w:t>
        <w:br/>
        <w:t xml:space="preserve">250. As recalled in paragraph 163 above, the examples listed in Articles 102 of the TFEU and L. 420-2 of the Commercial Code do not constitute an exhaustive list of practices that may be qualified as abuse of dominant position.  </w:t>
        <w:br/>
        <w:t xml:space="preserve">251. Therefore, certain intimidation practices may be abusive if they have the object or effect of restricting competition in the relevant market.  </w:t>
        <w:br/>
        <w:t>252. For example, the ITT Promedia ruling of the Tribunal of July 17, 1998281 established the principle that the act of initiating legal action may be qualified as a practice</w:t>
      </w:r>
    </w:p>
    <w:p>
      <w:r>
        <w:rPr>
          <w:b/>
        </w:rPr>
        <w:t>[Pages 61–63]</w:t>
      </w:r>
    </w:p>
    <w:p>
      <w:r>
        <w:t xml:space="preserve">anticompetitive when the action does not clearly aim to assert what the company can legitimately consider to be its right but is designed within the framework of a plan aimed at eliminating competition through this harassment. Two cumulative conditions must thus be met: the action must be (i) devoid of any basis, and (ii) conducted with the perspective of eliminating a competitor.  </w:t>
        <w:br/>
        <w:t xml:space="preserve">253. The Council, reiterating this case law, recalled in decision n° 04-D-23 of June 23, 2004, concerning practices implemented by Hachette Livre in the market for practical guides for tourism, that "access to the judge is a fundamental right; (...) the fact that a company in a dominant position brings a lawsuit can only be qualified as an anticompetitive practice in very exceptional circumstances, when the action does not clearly aim to assert what the company can legitimately consider to be its right and is designed within the framework of a plan aimed at eliminating competition through this harassment"282.  </w:t>
        <w:br/>
        <w:t xml:space="preserve">b) Application to the case  </w:t>
        <w:br/>
        <w:t xml:space="preserve">254. According to Solvadis, Brenntag would have abused its dominant position through intimidation against anyone questioning its exclusivity system283. Solvadis thus denounces four types of pressures exerted against:  </w:t>
        <w:br/>
        <w:t xml:space="preserve">− the professional union so that it is prevented from acting in the interest of the profession (i.e., in favor of market cleansing);  </w:t>
        <w:br/>
        <w:t xml:space="preserve">− the main informant to the authorities regarding Brenntag's fraudulent and anticompetitive practices, Mr. X;  </w:t>
        <w:br/>
        <w:t xml:space="preserve">− competitors, to hide the truth from the authorities and courts responsible for enforcing competition; as well as,  </w:t>
        <w:br/>
        <w:t xml:space="preserve">− employees and external service providers to erase material evidence (notably computer-related) of its anticompetitive behavior.  </w:t>
        <w:br/>
        <w:t xml:space="preserve">255. Regarding the pressures exerted on the professional union284, the UFCC, Solvadis believes that Brenntag, in a dominant position, was able to exploit its economic predominance within the profession to instrumentalize this professional union, which is supposed to represent the entire profession.  </w:t>
        <w:br/>
        <w:t xml:space="preserve">256. According to Solvadis, these pressures would have been made possible by Brenntag's economic weight, the presence within the UFCC of all major producers in exclusive relationships with Brenntag, as well as the privileged relationships maintained between Brenntag and the UFCC, through the former general secretary of the UFCC who became a member of Brenntag's board.  </w:t>
        <w:br/>
        <w:t xml:space="preserve">257. In this context, Brenntag would have, according to Solvadis, imposed silence on the UFCC regarding complaints from the profession. A series of six letters sent by Gaches to the UFCC would testify to this, each of these letters having gone unanswered. Thus, in a letter dated December 3, 2004, Gaches had brought to the attention of the UFCC the ruling of the Paris Court of Appeal of May 10, 2003, ruling on the diversion of the Garosolve brand by Brenntag, to assert that Brenntag would have thereby violated the commitments related to its membership in the UFCC, the union's statutes providing for an obligation of loyalty of its members285. Gaches would have then requested, in vain, the convening of the UFCC board of directors to impose a possible sanction against Brenntag. This request would have been reiterated by letter dated January 26, 2005286, without success. In November 2006, the UFCC would not have, despite Gaches' reminders, considered Gaches' request for intervention before the board regarding the filing of a complaint for collusion against Brenntag287. Finally, by letter dated March 20, 2007, Gaches would have, again in vain, requested that a point be made within the board regarding issues of dominant position and collusion within the profession288.  </w:t>
        <w:br/>
        <w:t xml:space="preserve">258. However, the elements collected during the investigation did not confirm Solvadis' allegations.  </w:t>
        <w:br/>
        <w:t xml:space="preserve">259. Indeed, it results from the elements gathered during the hearings of the presidents and general delegates of the UFCC then in office that, on the one hand, Gaches' requests did not fall within the role and missions assigned to the UFCC, and, on the other hand, the existence of pressures was firmly denied by the interested parties289.  </w:t>
        <w:br/>
        <w:t xml:space="preserve">260. According to the general delegate of the UFCC (in office from March 1996 to the end of March 2006), "[g]enerally speaking, we tried not to pollute the boards of directors with personal problems, of which we knew nothing. I did not intervene in the procedures opposing distributors, which did not fall within the role of the UFCC. We were a microstructure and had many other subjects to deal with, on which I wanted to focus. We did not experience any pressure, neither from one side nor the other"290.  </w:t>
        <w:br/>
        <w:t xml:space="preserve">261. A former president of the UFCC (in office from 2004 to 2007) agrees: "[I] share the point of view of (...). When there was a beginning of slippage between members, we reminded them of the rules. We did not experience any pressure, neither from one side nor the other"291.  </w:t>
        <w:br/>
        <w:t xml:space="preserve">262. According to his successor as president of the UFCC, "[t]he statutes, of which you will provide us with a copy, include a provision on loyalty among members. My policy was as follows: nothing that was mentioned regarding this pending matter before the Competition Authority that led to decision n° 13-D-12 of May 28, 2013, nor on any other matter, should be discussed or mentioned within the UFCC until there was a decision. My motivation was to avoid turning the UFCC into a courtroom, which is not the role of the UFCC. Now that the decision has been made, the question arises regarding the compliance of the practices of the condemned operators with our statutes. The decision is not final, the facts date back more than 10 years, the leaders of the companies involved have changed, the UFCC believes that those responsible have been condemned and that there is no reason to expel them from the UFCC for these facts"292.  </w:t>
        <w:br/>
        <w:t xml:space="preserve">263. Consequently, and in the absence of any contrary evidence, the pressures that the UFCC would have suffered are not established.  </w:t>
        <w:br/>
        <w:t xml:space="preserve">264. Regarding the pressures exerted on Mr. X293, this former executive of Solvadis France (and former executive of Brenntag until 1998)294 would, according to Solvadis, have suffered pressures from Brenntag, "to silence him," as he held "a considerable file" concerning "illegal practices existing in the market and conducted by Brenntag." In particular, he would have been targeted by various criminal proceedings initiated by Brenntag against him, directly or indirectly.  </w:t>
        <w:br/>
        <w:t xml:space="preserve">265. The following elements were gathered during the investigation with Mr. X295:  </w:t>
        <w:br/>
        <w:t xml:space="preserve">"I confirm that only one criminal proceeding has been nominally brought against me: it is the direct citation of December 20, 2007, for theft and concealment of documents (procedure n° 37 in the document in Annex 1).  </w:t>
        <w:br/>
        <w:t xml:space="preserve">This procedure concerns documents from Brenntag's internal controlling that show the evolution of operational results for each site during the period of collusion. These documents had been sent to me between 2004 and 2006 by several executives from Brenntag, who were still in office, who wished to denounce these practices. I submitted them to the Paris Court of Appeal during the appeal hearing against the decision of the Competition Council n° 06-D-12 of June 6, 2006. A, a former executive of Brenntag, testified before the TGI of Evry about the non-confidential nature of these documents, which were given to more than 120 executives within Brenntag. I will provide you with this testimony. This direct citation procedure concluded on March 20, 2012, after about a dozen hearings: it was declared inadmissible and the correctional chamber declared itself incompetent. I will provide you with these decisions. Brenntag appealed this decision before the Paris Court of Appeal, which led to a hearing on June 10, 2014, and will lead to a new hearing on January 15, 2015 (procedure n° 41 in the document in Annex 1).  </w:t>
        <w:br/>
        <w:t xml:space="preserve">Two other procedures, although filed against X, cite me numerous times: it is a complaint dated October 11, 2006 (procedure n° 35 in the document in Annex 1), and a complaint filed with the Brigade for the Repression of Clever Delinquency on June 1, 2007 (procedure n° 36 in the document in Annex 1).  </w:t>
        <w:br/>
        <w:t>Regarding the complaint of October 11, 2006, Brenntag filed it in response to statements made by Pierre Gaches to the UFCC on October 5, 2006 (reporting complaints filed against the collusions). Brenntag was aware of my role in the ongoing denunciation of collusions since 2002 to the DGCCRF, which is why I am also cited in this complaint. This procedure resulted in a decision of non-suit rendered on July 6, 2012. This decision was subject to 6 appeals filed by Brenntag (described in the document in Annex 1). These appeals are precisely described by Maître C in a document that I will provide to you. None of these appeals succeeded, all were rejected by the Court of Cassation, Chamber of Indictments, and the Court of Appeal. All decisions are final and the case is now closed. Nevertheless,</w:t>
      </w:r>
    </w:p>
    <w:p>
      <w:r>
        <w:rPr>
          <w:b/>
        </w:rPr>
        <w:t>[Pages 64–66]</w:t>
      </w:r>
    </w:p>
    <w:p>
      <w:r>
        <w:t xml:space="preserve">Brenntag threatened all these judges with an appeal to the European Court of Human Rights;  </w:t>
        <w:br/>
        <w:t xml:space="preserve">Regarding the procedure filed with the BRDA, I specify that I was heard, placed in police custody for one day, during which my home was searched as well as my two computers by six specialized police officers. That very evening, the prosecutor lifted my police custody: I had, in my opinion, provided the necessary clarifications. Following this police custody and this search, I was never contacted again regarding this procedure. According to my information, on December 3, 2007, the introductory indictment was annulled by the prosecutor. In my view, this procedure is closed.  </w:t>
        <w:br/>
        <w:t xml:space="preserve">These criminal proceedings poisoned my life from 2006 to 2015: Brenntag maintained very violent pressure on me, under totally illusory pretexts to intimidate me and silence me for eight years.  </w:t>
        <w:br/>
        <w:t xml:space="preserve">The legal fees incurred for my defense during these eight years amount to 130,000 euros.  </w:t>
        <w:br/>
        <w:t xml:space="preserve">On three occasions, the lawyer who defends me in the criminal appeal requested Brenntag to produce the decision of non-suit rendered on July 6, 2012, which was refused, despite the fact that the criminal complaint of October 11, 2006, which led to this decision, constitutes the essential annex of its current appeal and that this decision of non-suit should be produced before the appellate judge in the context of the ongoing appeal procedure (procedure n° 37 in the document appearing in Annex 1).  </w:t>
        <w:br/>
        <w:t xml:space="preserve">Brenntag has considerable financial resources that are incomparable to those of the private individual that I am. Strictly none of the alleged offenses attributed to me by Brenntag has received even the slightest evidence, which is why all these complaints and appeals, to this day, have resulted in failures in court296. We estimated the amount spent by Brenntag for the follow-up of all these criminal procedures between 2006 and 2014 to be nearly 4 million euros. I made this estimate with my lawyer, Maître D, based on the mass of documents drafted and the multiple interventions of the various lawyers of Brenntag. I would like to point out that the criminal complaint of October 11, 2006, constitutes the main framework of Brenntag's leniency procedure: in its leniency procedure, I understood, by deduction from leniency notice n° 07-AC-04 of March 23, 2007 (point 7), that Brenntag wanted to obtain the 1st rank of leniency at the expense of Solvadis by stating in its leniency request that the criminal complaint filed on October 11, 2006, which could lead to the annulment of Solvadis's leniency request, would have been filed against Solvadis. However, the complaint was filed against X. This complaint was filed by Brenntag with the aim of recovering rank n° 1 and harming me. The facts presented are also false since this complaint is filed against X, and not against me.  </w:t>
        <w:br/>
        <w:t xml:space="preserve">(...)  </w:t>
        <w:br/>
        <w:t xml:space="preserve">Furthermore, this pressure exerted by Brenntag continued in the same vein through repeated publications on the internet that harm my reputation and honesty. I am attaching the publication, which I assume was initiated by Brenntag, on the citizen media Agoravox dated July 18, 2013 (attached in Annex 3), publication maintained online to this day, despite our injunctions and our clarifications [sic] appearing on the Internet296. It can be noted that by a judgment of November 26, 2015, the Paris Court of Appeal found Mr. X guilty of receiving internal and confidential documents from Brenntag. This judgment was confirmed by the Court of Cassation by a judgment of March 28, 2017 (cotes 29 595 to 29 600).  </w:t>
        <w:br/>
        <w:t xml:space="preserve">In my view, these incessant destabilization actions are a manifestation of Brenntag's dominant position. I jeopardized the extraordinary profitability of Brenntag's anti-competitive frauds through my interventions. I am attaching for this purpose a table showing the dividends paid by Brenntag to its shareholders and executives during and after the anti-competitive frauds (Annex 4): the disarmament of these abuses reduced Brenntag's average return on equity from 48.2% to 12.4% per year during and after the agreements297.  </w:t>
        <w:br/>
        <w:t xml:space="preserve">266. The Authority observes that the victim of the reported pressures is an individual, Mr. X, manager of Solvadis France, a company that has ceased all activity since October 2005 and sold its assets to Quaron (see above paragraphs 43 and 44).  </w:t>
        <w:br/>
        <w:t xml:space="preserve">267. Under these conditions, these alleged procedures and pressures, which do not target a company, but an individual, who was no longer president of Solvadis France at the time Brenntag initiated proceedings against him, cannot in any way fit "into a plan aimed at preventing, restricting or distorting competition in the relevant market" within the meaning of the decision-making practice and case law cited above.  </w:t>
        <w:br/>
        <w:t xml:space="preserve">268. It follows that the reported pressures are not likely to fall under Articles L. 420-2 of the Commercial Code and 102 of the TFEU.  </w:t>
        <w:br/>
        <w:t xml:space="preserve">269. Regarding pressures on competitors298, according to Solvadis, Brenntag would have exerted them so that they conceal the existence of anti-competitive practices from the competent authorities. Brenntag would have first tried to buy them out, then to force them to participate in the agreements, and finally to weaken them or silence them. According to Solvadis, the distributor Métausel would be able to testify to these pressures.  </w:t>
        <w:br/>
        <w:t xml:space="preserve">270. Nevertheless, the investigation did not confirm these statements. In particular, Mr. E, CEO and owner of Metausel from 1975 to 2010, as well as of Prochimest (chemical products of the East), from 1984 to the 2000s, stated: "[r]egarding relations with distributors, I did not suffer from the agreements, nor did I experience any pressure. Competition was healthy in the market, since Brenntag took over the Debauche group and cleaned up the activity of this company"299.  </w:t>
        <w:br/>
        <w:t xml:space="preserve">271. Therefore, the practices denounced are not established.  </w:t>
        <w:br/>
        <w:t xml:space="preserve">272. Finally, regarding pressures on employees and external service providers300, Solvadis alleges the implementation by Brenntag of a vast operation of auditing and destruction of evidence of anti-competitive actions, notably participation in agreements, in collaboration with a team of external service providers.  </w:t>
        <w:br/>
        <w:t xml:space="preserve">273. However, in the absence of elements in the file to corroborate these allegations, the denounced practices are not established.  </w:t>
        <w:br/>
        <w:t xml:space="preserve">297 Minutes of Mr. X of the company Solvadis dated September 10, 2014, cotes 22 649 to 22 653.  </w:t>
        <w:br/>
        <w:t xml:space="preserve">298 VNC of the referral of Solvadis dated October 31, 2007, cotes 41 129 to 41 130.  </w:t>
        <w:br/>
        <w:t xml:space="preserve">299 Minutes of Mr. E, CEO and owner of Metausel, cotes 24 106 to 24 108.  </w:t>
        <w:br/>
        <w:t xml:space="preserve">300 VNC of the referral of Solvadis dated October 31, 2007, cotes 41 130 to 41 131.  </w:t>
        <w:br/>
        <w:t>66</w:t>
      </w:r>
    </w:p>
    <w:p>
      <w:r>
        <w:t xml:space="preserve">6. ON UNFAIR COMPETITION PRACTICES  </w:t>
        <w:br/>
        <w:t xml:space="preserve">274. In its referral of October 30, 2009 (paragraphs 8 and 67 above), Chimiphar denounces practices of301:  </w:t>
        <w:br/>
        <w:t xml:space="preserve">− "[d]isorganization of the rival company by poaching our two only salespeople by 'promising' them various advantages in exchange for information that should have remained confidential such as the list of clients and the prices charged... in order to have them intervene in the same sector... with our company's usual clients";  </w:t>
        <w:br/>
        <w:t xml:space="preserve">− "[d]enigration by casting discredit on our company, spreading malicious and, moreover, perfectly erroneous information such as, for example: the announcement of the cessation of activity of our company; this to our clientele and various professionals"; and,  </w:t>
        <w:br/>
        <w:t xml:space="preserve">− "[c]onfusion regarding certain products and more specifically the activity of CLOGEL. The company BRENNTAG sells a product of the same nature that they marketed years later by telling clients, including ours, that the two products would be compatible whereas technically, this is strictly impossible due to the presence of inhibitors. All these practices constitute unfair solicitation of clientele that considerably distorts competition in our sector and are constitutive of an abuse of dominant position".  </w:t>
        <w:br/>
        <w:t xml:space="preserve">275. Regarding the employees of Chimiphar that Brenntag allegedly poached, no document or detail has been submitted in support of the statements of the referral. It was only after several reminders made to the complainant that it communicated to the investigation services the identity of the personnel concerned as well as the dates of the cessation of their functions within Chimiphar302. No other information was subsequently provided, despite the complainant's indication of "being able to complete these files"303.  </w:t>
        <w:br/>
        <w:t xml:space="preserve">276. Furthermore, regarding the confusion that Brenntag allegedly maintained about certain products, Chimiphar submitted to the file exchanges of correspondence from December 1998 and January 1999304, where EDF confirms having received a delivery of the product CLOGEL from Brenntag, while specifying, in its letter to Chimiphar from December 1998, that it questions them about "your product Clogel" (emphasis added). However, in a letter dated March 15, 1999, addressed to the president of Chimiphar, Brenntag states "that the name CLOGEL is not used by Brenntag305. No additional element, particularly subsequent to this exchange, has been submitted to the file.  </w:t>
        <w:br/>
        <w:t xml:space="preserve">277. Finally, despite the reminders made by the reporters of the time306, no document or detail has been provided by Chimiphar in support of the allegation that Brenntag would have denigrated it to the clientele of the company.  </w:t>
        <w:br/>
        <w:t xml:space="preserve">301 Referral from Chimiphar dated October 30, 2009, cotes 24 841 and 24 842.  </w:t>
        <w:br/>
        <w:t xml:space="preserve">302 Cotes 23 150 to 23 154.  </w:t>
        <w:br/>
        <w:t xml:space="preserve">303 Cote 23 151.  </w:t>
        <w:br/>
        <w:t xml:space="preserve">304 Cotes 24 895 to 24 897.  </w:t>
        <w:br/>
        <w:t xml:space="preserve">305 Cote 24 890.  </w:t>
        <w:br/>
        <w:t xml:space="preserve">306 Cotes 23 150 to 23 154.  </w:t>
        <w:br/>
        <w:t>66</w:t>
      </w:r>
    </w:p>
    <w:p>
      <w:r>
        <w:rPr>
          <w:b/>
        </w:rPr>
        <w:t>[Pages 67–68]</w:t>
      </w:r>
    </w:p>
    <w:p>
      <w:r>
        <w:t xml:space="preserve">278. Consequently, the allegations regarding unfair competition practices are not sufficiently substantiated and cannot characterize abuses of a dominant position.  </w:t>
        <w:br/>
        <w:t>67</w:t>
      </w:r>
    </w:p>
    <w:p>
      <w:r>
        <w:t xml:space="preserve">DECISION  </w:t>
        <w:br/>
        <w:t xml:space="preserve">Article 1: The Competition Authority considers, based on the information available to it, that the conditions for a prohibition under Article 102 of the TFEU or Article L. 420-2 of the Commercial Code are not met regarding the practices referred to in paragraphs 165 to 233 and 250 to 278 of this decision. Therefore, there is no need for the Competition Authority, pursuant to Article 5 of Regulation (EC) No. 1/2003 of December 3, 2002, to continue the procedure, whether under Union law or domestic law.  </w:t>
        <w:br/>
        <w:t xml:space="preserve">Article 2: There is no need for the Competition Authority, in application of the principle of non bis in idem, to rule again on the practices referred to in paragraphs 234 to 249 of this decision, as these have already been examined in decision No. 13-D-12 concerning practices implemented in the sector of the marketing of chemical commodities.  </w:t>
        <w:br/>
        <w:t xml:space="preserve">Deliberated on the oral report of Ms. Florence Bronner, rapporteur, and the interventions of Mr. Eshien Chong and Mr. Jean-Christophe Thiebaud, representing the economic service, and Ms. Gwenaëlle Nouët, deputy general rapporteur, by Ms. Fabienne Siredey-Garnier, vice-president, chair of the session, and Mr. Thibaud Vergé and Mr. Vivien Terrien, vice-presidents, members.  </w:t>
        <w:br/>
        <w:t xml:space="preserve">The session officer, The chair of the session,  </w:t>
        <w:br/>
        <w:t xml:space="preserve">Sophie Caillieu-Helaiem Fabienne Siredey-Garnier  </w:t>
        <w:br/>
        <w:t xml:space="preserve">© Competition Authority  </w:t>
        <w:br/>
        <w:t>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