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https://www.autoritedelaconcurrence.fr/fr/decision/relative-des-pratiques-mises-en-oeuvre-dans-le-secteur-de-la-distribution-de-commodites</w:t>
      </w:r>
    </w:p>
    <w:p>
      <w:r>
        <w:t>Pages translated : 7</w:t>
      </w:r>
    </w:p>
    <w:p/>
    <w:p>
      <w:r>
        <w:rPr>
          <w:b/>
        </w:rPr>
        <w:t>[Pages 1–3]</w:t>
      </w:r>
    </w:p>
    <w:p>
      <w:r>
        <w:t xml:space="preserve">FRENCH REPUBLIC  </w:t>
        <w:br/>
        <w:t xml:space="preserve">Decision No. 06-D-12 of June 6, 2006  </w:t>
        <w:br/>
        <w:t xml:space="preserve">regarding practices implemented in the sector of  </w:t>
        <w:br/>
        <w:t>distribution of chemical commodities</w:t>
      </w:r>
    </w:p>
    <w:p>
      <w:r>
        <w:t xml:space="preserve">The Competition Council (section I),  </w:t>
        <w:br/>
        <w:t xml:space="preserve">Having regard to the letter registered on July 21, 2003, under number 03/0047 F, by which the company Gaches Chimie SA referred to the Competition Council practices implemented by the company Brenntag SA in the sector of distribution of chemical commodities;  </w:t>
        <w:br/>
        <w:t xml:space="preserve">Having regard to Articles 81 and 82 of the EC Treaty;  </w:t>
        <w:br/>
        <w:t xml:space="preserve">Having regard to Book IV of the Commercial Code relating to price freedom and competition and Decree 2002-689 of April 30, 2002, setting the conditions for its application;  </w:t>
        <w:br/>
        <w:t xml:space="preserve">Having regard to the observations presented by the company Gaches Chimie SA, the company Brenntag SA, and by the Government Commissioner;  </w:t>
        <w:br/>
        <w:t xml:space="preserve">Having regard to the other documents in the file and in particular the documents communicated by the Director General of Competition, Consumer Affairs and Fraud Control, in accordance with the provisions of Article 18 of Decree 2002-689 of April 30, 2002;  </w:t>
        <w:br/>
        <w:t xml:space="preserve">The rapporteur, the deputy general rapporteur, the Government Commissioner, the representatives of the companies Gaches SA and Brenntag SA heard during the session of April 26, 2006;  </w:t>
        <w:br/>
        <w:t>Adopts the following decision:</w:t>
      </w:r>
    </w:p>
    <w:p>
      <w:r>
        <w:t xml:space="preserve">I. Findings  </w:t>
        <w:br/>
        <w:t xml:space="preserve">A. THE SECTOR CONCERNED  </w:t>
        <w:br/>
        <w:t xml:space="preserve">1. Chemical commodities form one of the three major categories of chemical products: commodities, specialties, and fine chemicals. They consist of a very wide range of product references offered by distributors who ensure their trade. These are basic chemical products mainly derived from inorganic chemistry and petrochemistry, used by industry and services: liquid or solid mineral products (acids, bases); solvents (White Spirit, perchloroethylene...); technical and food products (starch, sugar, glucose syrup...).  </w:t>
        <w:br/>
        <w:t xml:space="preserve">2. The distribution of these chemical products is most often done directly by the producers of these commodities (the large chemical groups) to the industrial users, and for the remainder, by intermediaries, the distributors, who deliver to the industries in small quantities. The share of direct sales is estimated to be at least 95%. The company Brenntag estimated it at 97% during the session, without the company Gaches disputing this figure. These distributors resell the commodities in the form of complete ranges, either directly from the producer to the end customer, or by adding a number of services such as transport, storage, mixing and dilution, packaging, and delivery to the customer from an industrial site (the depot).  </w:t>
        <w:br/>
        <w:t xml:space="preserve">3. This sector has become increasingly competitive with heightened quality requirements. The storage of chemical products, necessary for the activity of distributors, is rigorously regulated, and they must comply with very strict regulations for their industrial sites (special authorizations for these establishments and classification for some as Seveso "high threshold" sites for particularly dangerous sites).  </w:t>
        <w:br/>
        <w:t xml:space="preserve">4. Due to these requirements that necessitate heavy investments by distributors and constant updates, significant barriers to entry exist in the distribution of chemical products, which makes the sector quite inaccessible to new operators. Furthermore, in recent years, the distribution of commodities has become increasingly concentrated with significant disparities between the market shares of distributors.  </w:t>
        <w:br/>
        <w:t xml:space="preserve">5. The area in which the alleged practices were committed is the Midi-Pyrénées region.  </w:t>
        <w:br/>
        <w:t xml:space="preserve">6. The distributor company in question is Brenntag, the French subsidiary of the German group Brenntag, which belongs to the American investment fund Bain Capital. In 2004, this group achieved: "a turnover of €4.6 billion with 8,800 employees spread across approximately 300 sites worldwide."  </w:t>
        <w:br/>
        <w:t>7. Aside from the other international group, Univar, resulting from the merger in January 2003 of the three French companies Lambert Rivière, Quarrechim, and Vaissière Favre, and which does not have integrated logistics, other distributors in France have a significantly lower turnover.</w:t>
      </w:r>
    </w:p>
    <w:p>
      <w:r>
        <w:t xml:space="preserve">8. The turnover of the company Brenntag amounted to the sum of €416 million in 2003, compared to €310 million for the company Univar, and €70 million for the third, Solvadis, in a market of just over one billion euros.  </w:t>
        <w:br/>
        <w:t xml:space="preserve">9. The complainant company, Gaches, established in the Southwest, also engages in the distribution of chemical products for industrial use (basic chemistry and associated specialties). In 2003, its turnover (all distribution activities combined) amounted to the sum of €60.3 million (including €24.7 million for the distribution of commodities).  </w:t>
        <w:br/>
        <w:t>10. For each product or range of commodities resulting from a manufacturing sector, the significant producers are limited in number but belong to very large global groups, such as the companies Exxonmobil Chemical France (Exxon), BP, Atofina, Solvay, Lyondell, Bayer Chemicals, BSF, Sassol, Rhodia, Shell, Cerestar/Cargill, and Budenheim.</w:t>
      </w:r>
    </w:p>
    <w:p>
      <w:r>
        <w:t xml:space="preserve">B. THE ALLEGED PRACTICES  </w:t>
        <w:br/>
        <w:t xml:space="preserve">11. In its complaint, the company Gaches accused the company Brenntag of a number of practices concerning: "the policy of the company Brenntag towards the suppliers of Gaches Chimie"; "the behavior of the company Brenntag towards customers in the Southwest region" and "the behavior of the company Brenntag towards the company Gaches Chimie itself."  </w:t>
        <w:br/>
        <w:t xml:space="preserve">12. More specifically, the applicant company considered that the company Brenntag had abused its dominant position in the national market for the distribution of commodities by pressuring several of its suppliers to cease their commercial relations with it, exerting pressure to obtain exclusivity in the distribution of certain commodities, and refusing to sell to the applicant products for which the company Brenntag had obtained exclusivity.  </w:t>
        <w:br/>
        <w:t xml:space="preserve">13. The complainant company also argued that the company Brenntag had abused its dominant position towards the customers of the company Gaches, by practicing discriminatory pricing in the Southwest, notably by not charging, in this area, technical fees and instructions and by committing acts of disparagement towards customers of the company Gaches. It would also have practiced predatory pricing in the Midi-Pyrénées region to oust the company Gaches from this area.  </w:t>
        <w:br/>
        <w:t>14. Finally, the company Gaches considered that the company Brenntag had abused its dominant position by attempting to instrumentalize the French Union of Chemical Trade (l’UFCC), a professional organization representing the chemical trade, regarding fees to be charged.</w:t>
      </w:r>
    </w:p>
    <w:p>
      <w:r>
        <w:t xml:space="preserve">C. THE NOTIFIED GRIEVANCES  </w:t>
        <w:br/>
        <w:t>15. In this case, two grievances of abuse of dominant position resulting from a practice of predatory pricing and a practice of discriminatory pricing were notified to the company Brenntag. A grievance of abuse of dominant position resulting from the commercial policy pursued by this company during the period from 1998 to 2003 was also notified.</w:t>
      </w:r>
    </w:p>
    <w:p>
      <w:r>
        <w:rPr>
          <w:b/>
        </w:rPr>
        <w:t>[Pages 4–6]</w:t>
      </w:r>
    </w:p>
    <w:p>
      <w:r>
        <w:t>16. These grievances were notified on the basis of Article L. 420-2 of the Commercial Code and Article 82 of the EC Treaty.</w:t>
      </w:r>
    </w:p>
    <w:p>
      <w:r>
        <w:t>II. Discussion</w:t>
      </w:r>
    </w:p>
    <w:p>
      <w:r>
        <w:t>1. REGARDING THE RELEVANT MARKET</w:t>
      </w:r>
    </w:p>
    <w:p>
      <w:r>
        <w:t>17. The material dimension of the relevant market, namely the downstream wholesale distribution market for commodities, confronting the supply from distributors and the demand from manufacturers, is not contested by the parties, even though the company Brenntag marginally argues that iron oxides and starches do not constitute commodities. This exclusion, which is not corroborated by any document in the file, in any case, changes little in the material scope of the market.</w:t>
      </w:r>
    </w:p>
    <w:p>
      <w:r>
        <w:t>18. Still concerning the material dimension of the market, the market encompasses all commodities and there are not as many markets as there are types of commodities, taken one by one. Indeed, while the types of commodities each meet specific needs of manufacturers and are not substitutable with each other, distributors must offer their clients a complete assortment of commodities. Applying the criterion of substitutability to each type of commodities taken individually could lead to excessive fragmentation of the market, as the Paris Court of Appeal pointed out in a judgment of May 17, 1994, concerning the hand tools sector. Similarly, when examining a case related to the competitive situation in the record sector (decision no. 98-D-76 of December 9, 1998), the Competition Council held: "While some producers specialize in certain musical genres, the publishers generating the majority of the turnover in phonographic publishing offer their clients catalogs that represent all genres (...), each of these genres can itself be subdivided into several specialties, which distributors aim to offer for sale a wide assortment of products, covering the different genres as well as the various categories of works and performers, in order to meet consumer expectations, the meeting of this supply and demand characterizes a global market for record supply, without the need to make distinctions between the different genres or between the different categories of works or performers."</w:t>
      </w:r>
    </w:p>
    <w:p>
      <w:r>
        <w:t>19. Finally, the wholesale distribution of commodities is distinct from the direct sale made by producers of commodities to manufacturers, as described in paragraph 2 of the decision, the services rendered to end customers being different (value-added services; deliveries by complete ranges and in smaller quantities). Less than 5% of the commodity market thus falls under the analysis of the present case.</w:t>
      </w:r>
    </w:p>
    <w:p>
      <w:r>
        <w:t>20. The geographical dimension of the relevant market is the subject of discussions.</w:t>
      </w:r>
    </w:p>
    <w:p>
      <w:r>
        <w:t>21. While the coexistence of a national downstream wholesale distribution market for commodities, on which the company Brenntag would be in a dominant position, and a regional market, limited to the Midi Pyrénées area, on which the abuses of dominant position by this company would have been committed against the company Gaches, was noted at the stage of the notification of grievances, the company Brenntag argues that the relevant markets in this case would be of regional dimension, and emphasizes that in the regional Midi Pyrénées market, it is not in a dominant position.</w:t>
      </w:r>
    </w:p>
    <w:p>
      <w:r>
        <w:t>22. The elements of the file make the existence of relevant regional markets plausible but have not demonstrated that the market resulting from the national aggregation of these regional markets retained its relevant character. Indeed, some indicators tend to characterize a national market, or even a European one: thus, large account manufacturers are managed at the national headquarters of distributors; numerous exchanges exceed the purely regional framework; finally, large producers of commodities have a European or global dimension and prefer to deal with distributors of national or even European dimension. But conversely, the purely regional delimitation of the relevant market is supported by the geographical radius within which the majority of the demand from manufacturers occurs, namely a radius of less than 200 kilometers around the warehouses, transport costs accounting for about 10% of the selling price of commodities, which makes it unlikely that offers from different regions are substitutable to meet the same demand.</w:t>
      </w:r>
    </w:p>
    <w:p>
      <w:r>
        <w:t>23. All these elements therefore lead to questioning the existence of a relevant market for the distribution of commodities of national dimension.</w:t>
      </w:r>
    </w:p>
    <w:p>
      <w:r>
        <w:t>2. REGARDING THE DOMINANT POSITION</w:t>
      </w:r>
    </w:p>
    <w:p>
      <w:r>
        <w:t>24. According to the case law of the Court of Justice of the European Communities, and in particular, its judgments in United Brands of February 14, 1978, and Hoffmann Laroche of February 13, 1979, the dominant position "concerns a position of economic power held by a company that gives it the ability to impede the maintenance of effective competition in the relevant market by providing it with the possibility of independent behavior to a significant extent with respect to its competitors, its customers, and ultimately consumers. Such a position, unlike a monopoly or quasi-monopoly situation, does not exclude the existence of some competition but places the firm benefiting from it in a position, if not to decide, at least to significantly influence the conditions under which this competition will develop and, in any case, to behave to a large extent without having to take it into account and without this attitude being detrimental to it."</w:t>
      </w:r>
    </w:p>
    <w:p>
      <w:r>
        <w:t>25. The Competition Council frequently recalls that the dominant position is the situation in which a company is likely to detach itself from market conditions and can act, to a large extent, without regard to the behavior and reaction of its competitors. It may result "from several factors that, taken in isolation, would not necessarily be decisive, but (...) among these factors, the existence of large market shares is highly significant. (...)" (Hoffmann Laroche § 39). These criteria include the market share held by the company in a dominant position, the market share of its competitors, barriers to entry, actual and potential competition, and the market power of buyers or sellers.</w:t>
      </w:r>
    </w:p>
    <w:p>
      <w:r>
        <w:t>26. Regarding the assessment of dominance based on the observation of market shares, the Competition Council and the community competition authorities have considered, in certain cases, that large market shares, while constituting a significant indicator of the existence of a dominant position, are not necessarily, taken in isolation, a determining factor (Court of Justice of the European Communities, October 5, 1988, Alsatel/Novasam 247/86). But more often, they consider that, except in exceptional circumstances, "extremely large" market shares constitute by themselves proof of the existence of a dominant position. Conversely, very low market shares exclude by themselves such existence.</w:t>
      </w:r>
    </w:p>
    <w:p>
      <w:r>
        <w:t>27. Regarding the market share of the company Brenntag, as it can be assessed by referring to the turnover of the main companies present in the sector, which do not distinguish the share related to the distribution of commodities from that related to the distribution of chemical specialties, it appears from the numerical elements collected during the investigation that the company Brenntag held, at the time of the facts, 14.4% market share in the Midi Pyrénées area, with the company Gaches holding 42%.</w:t>
      </w:r>
    </w:p>
    <w:p>
      <w:r>
        <w:t>28. It follows that, in the Midi Pyrénées area, the company Brenntag did not have a dominant position.</w:t>
      </w:r>
    </w:p>
    <w:p>
      <w:r>
        <w:t>29. Assuming that the relevant market would be of national dimension, the share of the company Brenntag in this market is estimated in the report at about 40%. But this share is, in reality, even lower when taking into account the share of the company Districhimie (now Quaron) in the relevant market, wrongly excluded by the report from the number of competing distributors of Brenntag and the share of a number of distributors whose turnover is below €12 million, such as Metausel and SAD.</w:t>
      </w:r>
    </w:p>
    <w:p>
      <w:r>
        <w:t>30. Based on these elements, the company Brenntag achieved a turnover of €416 million in 2003, followed by the companies Univar (€310 million), Solvadis (€69.6 million), Gaches (€60.3 million), APC (€52.7 million), Charbonneau Brabant (€43.6 million), CPC (€23.4 million), and Holvoet Chimie (€23.11 million). Seven distributors then achieved a turnover between €10 and €18 million (in order of magnitude, Ciron, Beauseigneur, Caldic Est, Auguel, SAD, and Metausel), the rest of the market being divided among small distributors with a turnover of less than €10 million.</w:t>
      </w:r>
    </w:p>
    <w:p>
      <w:r>
        <w:t>31. The closest competitor of Brenntag, Univar, thus holds a market share of about 30%, with other competitors having market shares below 10%. The share of the company Brenntag is therefore significantly less than half of the market, its first competitor having a still very significant share. As the Council noted in decision no. 05-D-50 of September 21, 2005, "the existence of a competitor of equivalent power to its own does not allow (the company) to adopt the independent behavior characteristic of a dominant position."</w:t>
      </w:r>
    </w:p>
    <w:p>
      <w:r>
        <w:t>32. The company Univar is, like Brenntag, a group of international scope, occupying the leading global position for the distribution of chemical products, with 8 Seveso High Threshold sites (compared to 14 for Brenntag). It therefore holds, on national territory, a power comparable to that of Brenntag.</w:t>
      </w:r>
    </w:p>
    <w:p>
      <w:r>
        <w:t>33. Regarding barriers to entry into the market, it is true that the possession of warehouses, and in particular Seveso classified warehouses, constitutes a notable competitive advantage for established distributors and requires significant investment costs for new entrants. However, there is no proportionality relationship between the turnover achieved in the relevant market and the number of sites owned, as the case of Univar demonstrates: with 8 sites, compared to 14 for Brenntag, this company achieves a similar turnover (€310 million compared to €416 million).</w:t>
      </w:r>
    </w:p>
    <w:p>
      <w:r>
        <w:t>34. The competitive pressure exerted by competitors is real, as the company Gaches acknowledged in the session, the prices charged by the company Brenntag in a...</w:t>
      </w:r>
    </w:p>
    <w:p>
      <w:r>
        <w:rPr>
          <w:b/>
        </w:rPr>
        <w:t>[Pages 7–7]</w:t>
      </w:r>
    </w:p>
    <w:p>
      <w:r>
        <w:t>zone où elle est fortement concurrencée par la société Gaches sont moins élevés que dans d'autres zones où la pression concurrentielle est plus légère.</w:t>
      </w:r>
    </w:p>
    <w:p>
      <w:r>
        <w:t>35. Finally, the market power of commodity sellers, the large international chemical product groups (Exxon, Shell, BP, Lyondell, Solvay, Rhodia, Atochem, BASF, Bayer...), counterbalances the power of Brenntag. Commodity distributors, just like Brenntag, try to enter into exclusive agreements with these producers. Brenntag, having become the exclusive distributor of Nappar 10 and Isopar, commodities produced solely by Exxon, could not refuse for more than a week to supply the company Gaches, which wanted to purchase these commodities, which clearly demonstrates the impossibility for this company to detach itself from competition.</w:t>
      </w:r>
    </w:p>
    <w:p>
      <w:r>
        <w:t>36. Finally, the final purchasing manufacturers have two sources of supply: direct sales by producers in the case of bulk purchases (over 95% of the total) and sales through distributors for small quantities (less than 5%). Even if these offers are not substitutable to the point of constituting a single market, the disproportion in the size of these two markets suggests that a strong position in the smaller of these markets could be contested at the boundaries of the larger one before becoming dominant.</w:t>
      </w:r>
    </w:p>
    <w:p>
      <w:r>
        <w:t>37. It follows from the above that the dominant position of the company Brenntag is not demonstrated. Without the need to rule on the abusive nature of the practices, the alleged abuses of dominant position are therefore not established.</w:t>
      </w:r>
    </w:p>
    <w:p>
      <w:r>
        <w:t>DECISION</w:t>
      </w:r>
    </w:p>
    <w:p>
      <w:r>
        <w:t>Single Article. – The practices of abuse of dominant position by the company Brenntag SA are not established.</w:t>
      </w:r>
    </w:p>
    <w:p>
      <w:r>
        <w:t>Deliberated on the oral report of Ms. Cramesnil de Laleu, by Mr. Nasse, Vice-President, presiding over the session, Ms. Pinot, Messrs. Piot and Bidaud, members.</w:t>
      </w:r>
    </w:p>
    <w:p>
      <w:r>
        <w:t>The session secretary, The Vice-President,</w:t>
      </w:r>
    </w:p>
    <w:p>
      <w:r>
        <w:t>Catherine Duparcq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