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https://www.autoritedelaconcurrence.fr/fr/decision/relative-des-pratiques-mises-en-oeuvre-dans-le-secteur-de-la-distribution-de-contrats</w:t>
      </w:r>
    </w:p>
    <w:p>
      <w:r>
        <w:t>Pages translated : 5</w:t>
      </w:r>
    </w:p>
    <w:p/>
    <w:p>
      <w:r>
        <w:rPr>
          <w:b/>
        </w:rPr>
        <w:t>[Pages 1–3]</w:t>
      </w:r>
    </w:p>
    <w:p>
      <w:r>
        <w:t xml:space="preserve">FRENCH REPUBLIC  </w:t>
        <w:br/>
        <w:t xml:space="preserve">Decision No. 16-D-22 of October 20, 2016  </w:t>
        <w:br/>
        <w:t xml:space="preserve">regarding practices implemented in the sector  </w:t>
        <w:br/>
        <w:t xml:space="preserve">of distributing life insurance contracts on the Internet  </w:t>
        <w:br/>
        <w:t xml:space="preserve">The Competition Authority (single judge);  </w:t>
        <w:br/>
        <w:t xml:space="preserve">Considering the letter, registered on February 2, 2007, under number 07/0010 F, by which the Minister of Economy, Finance, and Industry referred to the Competition Council practices implemented by the economic interest group AFER and by the company AXA France in the sector of distributing life insurance contracts on the Internet;  </w:t>
        <w:br/>
        <w:t xml:space="preserve">Considering Article 101 of the Treaty on the Functioning of the European Union;  </w:t>
        <w:br/>
        <w:t xml:space="preserve">Considering Book IV of the amended Commercial Code;  </w:t>
        <w:br/>
        <w:t xml:space="preserve">Considering the business secrecy decisions No. 08-DSA-113 of July 22, 2008, No. 08-DSA-114 of July 22, 2008, No. 08-DSA-115 of July 22, 2008, No. 08-DSA-116 of July 22, 2008, No. 08-DSA-117 of July 22, 2008, No. 08-DSA-118 of July 22, 2008, No. 08-DSA-119 of July 22, 2008, No. 08-DSA-121 of July 23, 2008, No. 08-DSADEC-55 of July 23, 2008, No. 08-DSADEC-56 of July 23, 2008, No. 08-DSADEC-57 of July 28, 2008, No. 10-DSA-39 of February 17, 2010;  </w:t>
        <w:br/>
        <w:t xml:space="preserve">Considering Decision No. 16-JU-05 of September 21, 2016, regarding the appointment of a vice-president enabling it to adopt a decision alone as provided for in Article L. 462-8 of the Commercial Code;  </w:t>
        <w:br/>
        <w:t xml:space="preserve">Considering the other documents in the file;  </w:t>
        <w:br/>
        <w:t xml:space="preserve">The rapporteur and the Government Commissioner heard during the session of the Competition Authority on October 13, 2016.  </w:t>
        <w:br/>
        <w:t>Adopts the following decision:</w:t>
      </w:r>
    </w:p>
    <w:p>
      <w:r>
        <w:t xml:space="preserve">I. Findings  </w:t>
        <w:br/>
        <w:t xml:space="preserve">1. Will be presented successively:  </w:t>
        <w:br/>
        <w:t xml:space="preserve">- the referral (A);  </w:t>
        <w:br/>
        <w:t xml:space="preserve">- the procedure's progress (B);  </w:t>
        <w:br/>
        <w:t xml:space="preserve">- the legislative and regulatory environment of insurance intermediaries (C);  </w:t>
        <w:br/>
        <w:t xml:space="preserve">A. THE REFERRAL  </w:t>
        <w:br/>
        <w:t xml:space="preserve">2. By letter registered on February 2, 2007, the Minister of Economy, Finance, and Industry referred to the Competition Council (now "Competition Authority") practices implemented by the economic interest group AFER and by the company AXA France in the sector of distributing life insurance contracts on the Internet.  </w:t>
        <w:br/>
        <w:t xml:space="preserve">3. The minister argued, in his referral, that the economic interest group AFER and the company AXA France could be accused of having established a price policing system within their distribution network of life insurance products to the detriment of online brokerage firms offering reduced fees. Some of these practices could be analyzed as imposed prices and would have the object and effect of distorting competition in the concerned sector.  </w:t>
        <w:br/>
        <w:t xml:space="preserve">4. The referral specified that beyond the practices identified in the context of the investigation concerning the online brokerage firms Placement Direct and SDC Investissement, the practice of insurance companies imposing a fixed commission rate on independent brokers when subscribing to life insurance contracts would be widespread.  </w:t>
        <w:br/>
        <w:t xml:space="preserve">B. THE PROCEDURE'S PROGRESS  </w:t>
        <w:br/>
        <w:t xml:space="preserve">1. THE FIRST REFERRAL TO INSTRUCTION  </w:t>
        <w:br/>
        <w:t xml:space="preserve">5. The investigation services established a first proposal for dismissal on August 1, 2008.  </w:t>
        <w:br/>
        <w:t xml:space="preserve">6. By Decision No. 09-S-01 dated January 28, 2009, the Competition Council referred the file back to instruction.  </w:t>
        <w:br/>
        <w:t xml:space="preserve">7. The motivation for this referral to instruction was primarily based on the interpretation and scope of Article R. 511-3 of the Insurance Code. The Competition Council noted the position of the Government Commissioner presented in session and confirmed by the parties, according to which this provision aimed to prohibit only retrocessions in favor of unauthorized intermediaries and did not target retrocessions of commissions from intermediaries in favor of subscribers.  </w:t>
        <w:br/>
        <w:t xml:space="preserve">8. Secondly, the Competition Council specified that: "(...) these practices, which consist, for insurers, either in prohibiting brokers from reducing fees related to life insurance contracts, or in allowing them to do so, within a certain limit, but opposing them displaying these reductions, are likely to be considered contrary to Article L. 420-1 of the Commercial Code (...) unless the intermediaries concerned are considered as mere agents of the insurers, they must in principle have autonomy to define the conditions for marketing the products they distribute, at least concerning the portion of the costs corresponding to their own remuneration. Otherwise, their freedom of behavior as independent businesses is hindered in a way that could distort competition. In this case, it could be considered that the insurers in question have implemented a system of imposed prices on independent distributors."  </w:t>
        <w:br/>
        <w:t xml:space="preserve">9. However, the Competition Council had considered that the investigation of the case was insufficient to assess the question of whether brokers should be considered as independent businesses or, on the contrary, as mere agents of insurance companies with regard to the criteria established by the European Commission in its guidelines on vertical restrictions (OJCE 2000, C 291, points 12 and following).  </w:t>
        <w:br/>
        <w:t xml:space="preserve">2. THE SECOND REFERRAL TO INSTRUCTION  </w:t>
        <w:br/>
        <w:t xml:space="preserve">10. In the context of the supplementary instruction following Decision No. 09-S-01 of January 28, 2009, the investigation services conducted a quantitative assessment of the risks actually borne by brokers within a selection of partners from the AXA and AFER networks.  </w:t>
        <w:br/>
        <w:t xml:space="preserve">11. At the end of this analysis, considering that these risks were negligible, the investigation services qualified the relationship between brokers and insurance companies as an agency relationship under competition law.  </w:t>
        <w:br/>
        <w:t xml:space="preserve">12. Drawing the consequences of the absence of economic autonomy of brokers in relation to insurance companies, the investigation services considered that the practices fell outside the provisions of Articles 101 § 1 of the TFEU and L. 420-1 of the Commercial Code and therefore proposed a dismissal of the procedure.  </w:t>
        <w:br/>
        <w:t xml:space="preserve">13. By Decision No. 11-S-01 dated May 9, 2011, the Competition Authority referred the file back to instruction, considering that the requalification of the relationship between brokers and insurance companies as an agency relationship under competition law was not sufficiently substantiated.  </w:t>
        <w:br/>
        <w:t xml:space="preserve">14. No investigative act was carried out following this decision to refer to instruction.  </w:t>
        <w:br/>
        <w:t xml:space="preserve">C. THE LEGISLATIVE AND REGULATORY ENVIRONMENT OF INSURANCE INTERMEDIARIES  </w:t>
        <w:br/>
        <w:t xml:space="preserve">15. Regarding the applicable legal framework, it has undergone recent developments concerning the communication of advertising documents.  </w:t>
        <w:br/>
        <w:t xml:space="preserve">16. Ordinance No. 2008-1271 of December 5, 2008, relating to the establishment of codes of conduct and agreements governing the relationships between producers and distributors in the marketing of financial instruments, savings products, and life insurance, resulting from the LME, indeed established a system aimed at holding producers and distributors accountable in the preparation of advertising documents related to financial instruments and insurance products, in order to better protect the consumer.  </w:t>
        <w:br/>
        <w:t xml:space="preserve">17. However, the entry into force of this system was suspended pending the publication of an implementing decree that would specify:  </w:t>
        <w:br/>
        <w:t>- on the one hand, its scope, and in particular the distributors and financial instruments concerned;</w:t>
      </w:r>
    </w:p>
    <w:p>
      <w:r>
        <w:rPr>
          <w:b/>
        </w:rPr>
        <w:t>[Pages 4–5]</w:t>
      </w:r>
    </w:p>
    <w:p>
      <w:r>
        <w:t>- on the other hand, the minimum obligations incumbent upon distributors and portfolio management companies.</w:t>
      </w:r>
    </w:p>
    <w:p>
      <w:r>
        <w:t>18. Decree No. 2010-40 of January 11, 2010, was enacted pursuant to Ordinance No. 2008-1271 of December 5, 2008.</w:t>
      </w:r>
    </w:p>
    <w:p>
      <w:r>
        <w:t>19. The Insurance Code now provides for the obligation, incumbent upon insurance intermediaries, to submit all advertising documents they prepare for prior approval (new Articles L. 132-28 and R. 132-5-1 of the Insurance Code).</w:t>
      </w:r>
    </w:p>
    <w:p>
      <w:r>
        <w:t>20. The Prudential Supervision and Resolution Authority (ACPR), the administrative authority responsible for supervising insurance entities, has adopted several recommendations regarding advertising communications concerning life insurance contracts (see the recommendations of June 3, 2008, on the advertising of financial products, July 3, 2014, on agreements concerning the distribution of life insurance contracts, and February 12, 2015, on advertising communications of life insurance contracts).</w:t>
      </w:r>
    </w:p>
    <w:p>
      <w:r>
        <w:t>21. The evolution of this legal framework has put an end to the practices related to the communication of advertising documents on the Internet denounced in the referral.</w:t>
      </w:r>
    </w:p>
    <w:p>
      <w:r>
        <w:t>II. Discussion</w:t>
      </w:r>
    </w:p>
    <w:p>
      <w:r>
        <w:t>22. Article L. 462-8 of the Commercial Code states that: "The Competition Authority may declare, by reasoned decision, the referral inadmissible for lack of interest or standing of the author thereof, or if the facts are time-barred within the meaning of Article L. 462-7, or if it considers that the facts invoked do not fall within its jurisdiction. It may also reject the referral by reasoned decision when it considers that the facts invoked are not supported by sufficiently probative elements."</w:t>
      </w:r>
    </w:p>
    <w:p>
      <w:r>
        <w:t>23. Article L. 462-7 of the Commercial Code also provides that "[t]he Authority cannot be seized of facts dating back more than five years if no act has been taken to seek, establish, or sanction them."</w:t>
      </w:r>
    </w:p>
    <w:p>
      <w:r>
        <w:t>24. In this case, more than five years have elapsed since May 9, 2011, the last act aimed at seeking, establishing, or sanctioning the considered facts. To the knowledge of the Authority, the practices have not continued after this date. Indeed, concerning the GIE AFER, the alleged practices against the company Placement Direct were no longer in effect as of December 31, 2007, according to a letter from the manager of this company registered on that date (reference No. 5391):</w:t>
        <w:br/>
        <w:t>" In May 2007, AFER announced at its General Assembly that it would reduce the fees of its contract effective from 01/06/2007. [Its] Loyalty Program is no longer justified. [It] is abolishing it (document NOG), [it] is respecting the standard pricing and negotiating a permanent fee of 1% for all [its] clients (document No. 7).</w:t>
        <w:br/>
        <w:t>This second power struggle with AFER is therefore over. I do not regret having held firm."</w:t>
      </w:r>
    </w:p>
    <w:p>
      <w:r>
        <w:t>25. Consequently, the limitation period has been completed since May 9, 2016, and the referral must be declared inadmissible.</w:t>
      </w:r>
    </w:p>
    <w:p>
      <w:r>
        <w:t>DECISION</w:t>
      </w:r>
    </w:p>
    <w:p>
      <w:r>
        <w:t>Sole Article: the referral registered under number 07/0010 F is declared inadmissible.</w:t>
      </w:r>
    </w:p>
    <w:p>
      <w:r>
        <w:t>Deliberated on the oral report of Mr. Julien Neto, rapporteur in the presence of Ms. Juliette Théry-Schultz, deputy general rapporteur, by Ms. Claire Favre, session president.</w:t>
      </w:r>
    </w:p>
    <w:p>
      <w:r>
        <w:t>The session secretary, The session president,</w:t>
        <w:br/>
        <w:t>Claire Villeval 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