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https://www.autoritedelaconcurrence.fr/fr/decision/relative-des-pratiques-mises-en-oeuvre-dans-le-secteur-de-la-distribution-de-gadgets-et</w:t>
      </w:r>
    </w:p>
    <w:p>
      <w:r>
        <w:t>Pages translated : 28</w:t>
      </w:r>
    </w:p>
    <w:p/>
    <w:p>
      <w:r>
        <w:rPr>
          <w:b/>
        </w:rPr>
        <w:t>[Pages 1–3]</w:t>
      </w:r>
    </w:p>
    <w:p>
      <w:r>
        <w:t>FRENCH REPUBLIC</w:t>
        <w:br/>
        <w:t>Decision No. 11-D-19 of December 15, 2011</w:t>
        <w:br/>
        <w:t>regarding practices implemented in the sector of</w:t>
        <w:br/>
        <w:t>distribution of gadgets and novelty items</w:t>
        <w:br/>
        <w:t>The Competition Authority (section IV);</w:t>
      </w:r>
    </w:p>
    <w:p>
      <w:r>
        <w:t>Considering the letter registered on April 7, 2008 under number 08/0037 F by which the Minister of Economy, Industry and Employment referred to the Competition Council practices implemented in the sector of distribution of gadgets and novelty items;</w:t>
      </w:r>
    </w:p>
    <w:p>
      <w:r>
        <w:t>Considering Article 101 of the Treaty on the Functioning of the European Union;</w:t>
      </w:r>
    </w:p>
    <w:p>
      <w:r>
        <w:t>Considering Book IV of the Commercial Code;</w:t>
      </w:r>
    </w:p>
    <w:p>
      <w:r>
        <w:t>Considering the observations presented by the company Kontiki SAS and the Government Commissioner;</w:t>
      </w:r>
    </w:p>
    <w:p>
      <w:r>
        <w:t>Considering the other documents in the file;</w:t>
      </w:r>
    </w:p>
    <w:p>
      <w:r>
        <w:t>The rapporteur, the deputy rapporteur general, the Government Commissioner, and the representatives of the company Kontiki SAS heard during the session of the Competition Authority on October 12, 2011;</w:t>
      </w:r>
    </w:p>
    <w:p>
      <w:r>
        <w:t>Adopts the following decision:</w:t>
      </w:r>
    </w:p>
    <w:p>
      <w:r>
        <w:t>I. Findings</w:t>
        <w:br/>
        <w:t>1. By letter registered on April 7, 2008 under number 08/0037 F, the Minister of Economy, Industry and Employment referred to the Competition Council practices implemented by the company Kontiki SAS (hereinafter "Kontiki") and its distributors in the sector of distribution of gadgets and novelty items.</w:t>
      </w:r>
    </w:p>
    <w:p>
      <w:r>
        <w:t>2. According to the administrative investigation report submitted as an annex to the referral, Kontiki, exclusive distributor for France of Diddl brand products, allegedly colluded with its distributors to restrict their pricing freedom. The services of the Directorate General for Competition, Consumer Affairs and Fraud Control (DGCCRF) noted elements characterizing, in their view, a vertical agreement on the resale prices of Diddl products between Kontiki and its distributors.</w:t>
      </w:r>
    </w:p>
    <w:p>
      <w:r>
        <w:t>A. THE PRODUCTS AND THE COMPANY IN QUESTION</w:t>
        <w:br/>
        <w:t>1. THE PRODUCTS IN QUESTION</w:t>
        <w:br/>
        <w:t>3. Created in Germany in 1990, the character Diddl represents a mouse with large feet depicted on postcards. The range of products featuring Diddl has subsequently been expanded to include about thirty other figurines on various media at an average rate of three hundred new references per year. It has gradually enriched itself with plush toys, notepads, notebooks, glasses, school bags, and clothing.</w:t>
      </w:r>
    </w:p>
    <w:p>
      <w:r>
        <w:t>4. The license for the Diddl characters is held by the German company Depesche, which manufactures all Diddl-branded products sold in Europe.</w:t>
      </w:r>
    </w:p>
    <w:p>
      <w:r>
        <w:t>5. Products featuring the Diddl character enjoyed wide success in the market for gadgets and novelty items aimed at children and pre-teens during the second half of the 2000s, during which a true fashion phenomenon known as "Diddl-mania" developed.</w:t>
      </w:r>
    </w:p>
    <w:p>
      <w:r>
        <w:t>6. Unlike children's products featuring characters created by Walt Disney or figures like the character Babar, the Diddl character is not associated with any television or advertising support. It benefits from a positive image conveyed by the children themselves and is the subject of exchanges in schoolyards.</w:t>
      </w:r>
    </w:p>
    <w:p>
      <w:r>
        <w:t>2. THE COMPANY KONTIKI SAS</w:t>
        <w:br/>
        <w:t>7. Kontiki is the exclusive distributor of Diddl products in French territory. Its revenue from Diddl products represented between 97 and 100% of its total revenue during the years 2003 to 2007. Revenue experienced strong growth until 2005, the year in which it amounted to over 66 million euros. From the 2005–2006 fiscal year, it decreased by nearly 8 million euros and then plummeted starting in 2008, where it reached 28.5 million euros.</w:t>
      </w:r>
    </w:p>
    <w:p>
      <w:r>
        <w:t>The revenue generated by Kontiki during the 2010–2011 fiscal year amounts to 12.3 million euros.</w:t>
      </w:r>
    </w:p>
    <w:p>
      <w:r>
        <w:t>8. Kontiki also uses and manages the French Internet domain for Diddl under the name "Diddl.fr". Until the end of 2009, the site presented all the characters constituting the collection, the addresses of some of the stores distributing the products in question, and pricing grids showing the recommended prices under the mention "Ppubl. Conseil". As of the date of this decision, references to the distribution network and prices no longer appear on the Diddl.fr website, except for a hyperlink redirecting to the online store of the company Characters Online Shop allowing the purchase of Diddl items by mail.</w:t>
      </w:r>
    </w:p>
    <w:p>
      <w:r>
        <w:t>3. RETAIL DISTRIBUTION OF THE PRODUCTS IN QUESTION</w:t>
        <w:br/>
        <w:t>9. The organization of the retail distribution of Diddl products in France has followed the developments of the product range itself. The Diddl character first appeared on postcards starting in 1994, before being gradually depicted on more diversified media such as plush toys. The network of points of sale then developed to include, in addition to stores selling postcards, gift shops, department stores, and toy stores. This network included nearly 1,700 points of sale in 2007.</w:t>
      </w:r>
    </w:p>
    <w:p>
      <w:r>
        <w:t>10. Kontiki's commercial policy is based on a team of sales representatives with defined geographical areas. Their role consists of regularly visiting resellers to promote new products in the range and to take orders. The sales representatives are also responsible for transferring the volumes of orders collected from merchants to the company Depesche. The delivery of products is ensured directly by the company Depesche to the distributors. On this occasion, it provides them with a delivery note indicating the selling price to merchants set by Kontiki.</w:t>
      </w:r>
    </w:p>
    <w:p>
      <w:r>
        <w:t>11. Kontiki initially pursued a strategy of scarcity in the distribution of Diddl products by limiting the number of its points of sale and not restocking sold references. However, since the decline of Diddl products, Kontiki has diversified its purchases and increased the number of its points of sale to more easily sell Diddl products.</w:t>
      </w:r>
    </w:p>
    <w:p>
      <w:r>
        <w:t>B. OBSERVED BEHAVIORS</w:t>
        <w:br/>
        <w:t>1. THE AGREEMENTS CONCLUDED BY KONTIKI WITH ITS DISTRIBUTORS</w:t>
        <w:br/>
        <w:t>12. The Diddl charter (also referred to as the "partnership charter" or "historical charter") constitutes the reference document for the commercial relationship between Kontiki and its resellers. Stores belonging to certain networks (notably Picwic and King Jouet) have signed documents titled "commercial agreements" whose content is identical to that of the Diddl charter regarding compliance with the recommended retail prices.</w:t>
      </w:r>
    </w:p>
    <w:p>
      <w:r>
        <w:rPr>
          <w:b/>
        </w:rPr>
        <w:t>[Pages 4–6]</w:t>
      </w:r>
    </w:p>
    <w:p>
      <w:r>
        <w:t>conseillés » par « prix publics conseillés » sur les bons de commande et de livraison à partir de 2007.</w:t>
      </w:r>
    </w:p>
    <w:p>
      <w:r>
        <w:t>33. Les bons de commande et de livraison contenaient également des informations sur les remises éventuelles accordées aux revendeurs, ce qui permettait à Kontiki de s'assurer que les prix pratiqués par les revendeurs restaient conformes aux prix publics conseillés.</w:t>
      </w:r>
    </w:p>
    <w:p>
      <w:r>
        <w:t>34. En résumé, Kontiki a mis en place un système de communication des prix de revente à ses distributeurs qui incluait des documents variés, des grilles tarifaires, des listes de prix sur son site Internet, ainsi que des bons de commande et de livraison, afin de garantir le respect des prix publics conseillés.</w:t>
      </w:r>
    </w:p>
    <w:p>
      <w:r>
        <w:rPr>
          <w:b/>
        </w:rPr>
        <w:t>[Pages 7–9]</w:t>
      </w:r>
    </w:p>
    <w:p>
      <w:r>
        <w:t>delivery communicated by retailers as part of the administrative inquiry. All the retailers interviewed confirmed that they became aware of the recommended retail prices by first referring to the delivery notes. The company Kontiki replaced the mention "recommended maximum prices" with "recommended selling prices" that appeared on the notes, following visits from the DGCCRF investigators, and then completely removed the references to the recommended retail prices starting in 2008.</w:t>
      </w:r>
    </w:p>
    <w:p>
      <w:r>
        <w:t>33. Until the year 2007, the recommended selling prices were also mentioned by sales representatives during their visits and were noted on the order forms. The 89 retailers interviewed during the inquiry all confirmed that the recommended retail prices, under the mention "RRP," appeared on the order forms.</w:t>
      </w:r>
    </w:p>
    <w:p>
      <w:r>
        <w:t>d) The pre-labeling of prices</w:t>
      </w:r>
    </w:p>
    <w:p>
      <w:r>
        <w:t>34. The company Kontiki stated, during the investigation, that it had pre-labeled the prices of certain of its references. The administrative inquiry revealed, during the price surveys conducted in 2006 and 2007, that 10 to 20% of the references present in the stores were subject to pre-labeling by Kontiki, either directly on the item or on the sales support. The prices thus pre-labeled corresponded to the prices recommended by Kontiki.</w:t>
      </w:r>
    </w:p>
    <w:p>
      <w:r>
        <w:t>35. Several retailers pointed out that some of the products delivered to them were pre-labeled, while others reported mentions of selling prices appearing directly on the advertising material at the point of sale provided by Kontiki, particularly on the card displays.</w:t>
      </w:r>
    </w:p>
    <w:p>
      <w:r>
        <w:t>36. On this point, the manager of Papeterie du Pont in Annonay stated: "The products arrive partly pre-labeled. It is up to me to affix the other labels based on the prices indicated on the order form as well as on the delivery note" (references 690-691).</w:t>
      </w:r>
    </w:p>
    <w:p>
      <w:r>
        <w:t>37. The manager of the Fantasio store in Villeurbanne specified: "In general, the store's policy is to follow the recommended retail prices set by the supplier to be in the same price range as other retailers but also for simplicity when they are pre-printed" (references 777-780).</w:t>
      </w:r>
    </w:p>
    <w:p>
      <w:r>
        <w:t>38. The manager of the Soho store in Montluçon stated: "In terms of pricing, we have 2 suppliers who practice pre-labeling of products: Kontiki and Nici. This pre-labeling thus shows recommended selling prices; the framework is more flexible with Nici than with Kontiki, the leading company in the market (with the Diddl range)" (references 1229-1230).</w:t>
      </w:r>
    </w:p>
    <w:p>
      <w:r>
        <w:t>39. The manager of the Libre Lecture store in Grenoble emphasized, during his hearing, that: "Some items are delivered pre-labeled with the recommended selling price, and for the others, I affix a price label myself. In addition, a display is provided by Kontiki to arrange the animated cards, binders, and collection pouches. This display is topped with a cardboard 'poster' featuring Diddl and mentioning the selling prices of the three previously named items, namely €1.50, €9.95, and €3.95" (reference 900).</w:t>
      </w:r>
    </w:p>
    <w:p>
      <w:r>
        <w:t>40. Finally, the manager of the Librairie Perle Jurassienne in Champagnole specified: "The recommended prices arrive on the delivery notes and are sometimes present on pre-labeled products or on the displays, such as for the collector cards" (references 355-357).</w:t>
      </w:r>
    </w:p>
    <w:p>
      <w:r>
        <w:t>3. ON THE NATURE OF THE PRICES RECOMMENDED BY KONTIKI AND THEIR APPLICATION BY DISTRIBUTORS</w:t>
      </w:r>
    </w:p>
    <w:p>
      <w:r>
        <w:t>41. The contractual stipulations, whether in the Diddl Charter or in the commercial agreements signed with the brands and major accounts, condition the listing of the reseller on the Diddl.fr website to compliance with the recommended retail prices.</w:t>
      </w:r>
    </w:p>
    <w:p>
      <w:r>
        <w:t>42. The director of Kontiki stated, in this regard, that "even if this wording did not explicitly mention that 'the recommended prices' were 'maximum recommended prices,' any ambiguity was dispelled by the wording of the price list that was distributed and prominently stated: 'the prices charged by partner resellers must not exceed the maximum recommended retail prices that appear on the site'" (reference 1965).</w:t>
      </w:r>
    </w:p>
    <w:p>
      <w:r>
        <w:t>43. According to Kontiki, until early 2007, when the prices charged by resellers exceeded the maximum recommended prices by Kontiki on the Diddl.fr website, the store's address was indeed removed from the site. In this regard, Kontiki's sales representatives produced a report listing the removals of store addresses (the last removal dates back to January 16, 2007) from the website as well as the reasons that led to this decision.</w:t>
      </w:r>
    </w:p>
    <w:p>
      <w:r>
        <w:t>44. Several store managers, on the contrary, emphasized that the prices indicated by Kontiki on the Diddl.fr website were floor prices and not ceiling prices.</w:t>
      </w:r>
    </w:p>
    <w:p>
      <w:r>
        <w:t>45. Thus, the manager of the Carterie Boule de Neige in Besançon notably specified: "I am aware of my obligations regarding the charter. We do not appear on the website because we did not take the card turnstiles that do not sell. I also know that we must practice the recommended retail prices (RRP). (...) We do not appear on the Diddl.fr site. Our establishment was listed at one time, but the representative noticed that we were not practicing the RRPs on the cards and decided that we should no longer be listed" (reference 382).</w:t>
      </w:r>
    </w:p>
    <w:p>
      <w:r>
        <w:t>46. Similarly, the managers of the Victoria company, Soho brand, informed the investigators that: "We benefit from interesting advantages with Kontiki if we respect the recommended prices, namely: listing of the store on the website and distribution of shopping bags. There is thus a fairly strong pricing framework with this supplier to respect the recommended selling prices, but it is not an imposition of limit prices" (reference 1230).</w:t>
      </w:r>
    </w:p>
    <w:p>
      <w:r>
        <w:t>47. The representative of Maison du Stylo in Auxerre stated: "The company Kontiki had us sign a partnership charter (...). They are the only suppliers of this range who had us sign a charter. We acknowledged it and found that it mainly emphasized compliance with selling prices and placements. I know that in case of non-compliance with the indicated prices, we risk no longer being listed on the internet. We regularly receive remarks from the representative, who pressures us with the risk of no longer being listed on the Internet or no longer having plastic bags" (reference 142).</w:t>
      </w:r>
    </w:p>
    <w:p>
      <w:r>
        <w:t>48. The operator of the Mathias Décor store in Ambérieu-en-Bugey stated that: "These are not minimum or maximum prices but the prices we must respect" (reference 624).</w:t>
      </w:r>
    </w:p>
    <w:p>
      <w:r>
        <w:t>49. The manager of Forum Espace Culture in Belfort specified: "We apply the recommended Diddl prices; we cannot sell below these prices, and we have not held sales on these products" (references 429-430).</w:t>
      </w:r>
    </w:p>
    <w:p>
      <w:r>
        <w:t>50. Only the manager of the La Parade store in Lons-le-Saunier emphasized: "The recommended selling prices are sent with the delivery notes. I perceive them as a maximum recommended selling price" (reference 333).</w:t>
      </w:r>
    </w:p>
    <w:p>
      <w:r>
        <w:t>4. THE MONITORING OF RETAIL PRICES</w:t>
      </w:r>
    </w:p>
    <w:p>
      <w:r>
        <w:t>51. The recommended prices practiced by the resellers of Diddl products have been subject to monitoring measures by Kontiki and by the distributors themselves, as described below.</w:t>
      </w:r>
    </w:p>
    <w:p>
      <w:r>
        <w:t>The monitoring of retail selling prices by Kontiki</w:t>
      </w:r>
    </w:p>
    <w:p>
      <w:r>
        <w:t>The regular visit of a Kontiki representative</w:t>
      </w:r>
    </w:p>
    <w:p>
      <w:r>
        <w:t>52. The director of Kontiki stated that the company's representatives could be led to carry out price surveys "for stores belonging to networks for which we have signed specific commercial conditions (...). No surveys are conducted with other retailers, and representatives rarely check prices" (reference 1694).</w:t>
      </w:r>
    </w:p>
    <w:p>
      <w:r>
        <w:t>53. Several retailers interviewed by the investigators, located in different regions, stated that the representative checked the prices they practiced during visits dedicated to taking new orders. Thus, the manager of the Cadoon’s store in Guilherand Granges stated: "The representative checks the selling prices by taking a survey, which he did yesterday" (reference 676).</w:t>
      </w:r>
    </w:p>
    <w:p>
      <w:r>
        <w:t>54. The operator of the Maroquinerie Charbois in Bessoncourt specified: "The representative comes once a month (Kontiki representative). He looks at the selling prices, presents new products" (reference 435).</w:t>
      </w:r>
    </w:p>
    <w:p>
      <w:r>
        <w:t>55. The manager of the La Papethèque store in Valence stated: "Kontiki representatives come about every 6 weeks and check prices and shelf placement" (reference 1147).</w:t>
      </w:r>
    </w:p>
    <w:p>
      <w:r>
        <w:t>56. The manager of the La Carterie store in Bourg-en-Bresse noted: "The Diddl representative (...) comes every month. Without checking prices, he looks at the level of prices practiced (...). Kontiki - Diddl is one of the only suppliers with a directive policy regarding prices. Other suppliers do not follow the prices practiced in the store" (reference 604).</w:t>
      </w:r>
    </w:p>
    <w:p>
      <w:r>
        <w:t>57. The manager of the Spirale bookstore in Oullins stated: "The representative's visit every month consists of checking prices and showcasing products as well as presenting new references" (reference 862).</w:t>
      </w:r>
    </w:p>
    <w:p>
      <w:r>
        <w:t>58. The manager of the King Jouet store in Lure stated: "The representative checks the labeled selling prices on the plush toys and cards to see if we are at the recommended selling prices" (reference 532).</w:t>
      </w:r>
    </w:p>
    <w:p>
      <w:r>
        <w:t>59. The manager of the Forum Espace Culture store in Belfort stated: "The representative comes every month and checks the selling prices" (reference 430).</w:t>
      </w:r>
    </w:p>
    <w:p>
      <w:r>
        <w:rPr>
          <w:b/>
        </w:rPr>
        <w:t>[Pages 10–12]</w:t>
      </w:r>
    </w:p>
    <w:p>
      <w:r>
        <w:t>60. The manager of the La Carterie store in Annecy stated: "A sales representative from Kontiki comes every four weeks at my request (...). During her visit, she looks at the presentation, the shelf layout, the prices, and the product offering" (reference 1065).</w:t>
      </w:r>
    </w:p>
    <w:p>
      <w:r>
        <w:t>61. The manager of the tobacco-press-lottery store in Dampierre sur Salon stated: "(...) a sector manager came to the store and noted some selling prices" (reference 441).</w:t>
      </w:r>
    </w:p>
    <w:p>
      <w:r>
        <w:t>62. The manager of the Papeterie du Pont in Annonay stated: "The representative comes every month (...). He looks at the stock and partially checks the application of selling prices" (reference 691).</w:t>
      </w:r>
    </w:p>
    <w:p>
      <w:r>
        <w:t>63. However, some distributors specified, conversely, that the Kontiki sales representative did not check the prices they practiced or, at the very least, did not discuss price compliance with them.</w:t>
      </w:r>
    </w:p>
    <w:p>
      <w:r>
        <w:t>64. The employee of the La Carterie store in Auxerre emphasized, regarding the Kontiki representative: "He does not look at the selling prices" (reference 161).</w:t>
      </w:r>
    </w:p>
    <w:p>
      <w:r>
        <w:t>65. The manager of the Maison de la Presse store in Saint-Apollinaire stated that the Kontiki representative "(...) does not give any advice regarding prices" (reference 172).</w:t>
      </w:r>
    </w:p>
    <w:p>
      <w:r>
        <w:t>66. The manager of the Joupi store in Besançon specified: "[the representative] looks at my shelves (...). He has never talked to me about the prices I practice" (reference 386).</w:t>
      </w:r>
    </w:p>
    <w:p>
      <w:r>
        <w:t>67. The operator of the Libre Lecture store in Grenoble emphasized: "A representative from Kontiki (...) comes to my point of sale, at my request only, about every three weeks. Her role is then exclusively to take my orders. She is not interested in the selling prices I practice" (reference 900).</w:t>
      </w:r>
    </w:p>
    <w:p>
      <w:r>
        <w:t>68. The CEO of SA Monde de l’enfant, which operates the Baby Toys store in Albertville, stated that the Kontiki representative "does not check the prices practiced in the store" (reference 1025).</w:t>
      </w:r>
    </w:p>
    <w:p>
      <w:r>
        <w:t>69. The manager of the Hall de la Presse store in Epagny stated: "the sales representative (...) does not check our prices but she can take back defective products" (reference 1048).</w:t>
      </w:r>
    </w:p>
    <w:p>
      <w:r>
        <w:t>The discounts granted by Kontiki to its major account distributors in exchange for the communication of sales statistics</w:t>
      </w:r>
    </w:p>
    <w:p>
      <w:r>
        <w:t>70. Kontiki granted discounts to its major account distributors (Virgin, Cadoon’s, Gac, Cultura, King Jouet, Picwic, Printemps, Toys’R’Us) in exchange for the communication of their sales statistics regarding the number of items sold and the revenue generated per item.</w:t>
      </w:r>
    </w:p>
    <w:p>
      <w:r>
        <w:t>71. The director of Kontiki stated on this point, during his hearing on November 6, 2007, that "there is also a 1% discount if the partner network communicates monthly or twice a month its statistics in terms of the number of items and revenue for Diddl at these points of sale. This is particularly the case for the commercial conditions signed with Cadoon’s in February 2007 but also for Cultura in 2007. This is a way for us to know which references sell the most and thus to establish our supply from Depesche accordingly" (reference 1499).</w:t>
      </w:r>
    </w:p>
    <w:p>
      <w:r>
        <w:t>The monitoring of prices by retailers: the incident with Auchan</w:t>
      </w:r>
    </w:p>
    <w:p>
      <w:r>
        <w:t>72. The company Auchan published, at the start of the 2006 school year, a catalog distributed throughout the territory, accompanied by radio advertisements, in which eleven references of Diddl products were listed at prices on average 16% lower than the prices recommended by Kontiki. This promotion led to strong reactions from many distributors of Diddl products. On this point, the director of Kontiki explained during his hearing on November 6, 2007: "Regarding the marketing of Diddl items in Auchan stores at the start of the 2006 school year, we were informed by a client asking why we had sold Diddl to Auchan. We were informed that there were notably agendas in French on the Auchan catalog project for the start of the school year, and this surprised us greatly because we could only be the sole possible distributor. I was informed in August 2006 by a call from the treasurer of GAC/La Carterie that there was Diddl everywhere in Auchan stores. We were alerted by a large number of clients from the very first day of the operation, in waves; they addressed themselves directly to the Kontiki headquarters, as the sales representatives were on vacation at the time. The sales representatives then contacted me indicating that there were also mass radio advertisements, that the advertisement for the Auchan start of the school year was organized solely around Diddl, and that there was a lot of Diddl POS material in the aisles (...). We then reacted very quickly and investigated, and we learned that our supplier had mistakenly sold a large number of agendas to a Spanish distributor who had passed them on to the Auchan central office. We wrote to our clients to explain the situation. The items marketed by Auchan stores were sold at prices lower than the recommended retail price. The damage in terms of image is, in my opinion, greater than the damage related to the non-sale of the agendas in particular" (reference 1501).</w:t>
      </w:r>
    </w:p>
    <w:p>
      <w:r>
        <w:t>73. Following these reactions, the director of Kontiki sent a letter to its resellers on August 25, 2006, in which it was stated: "we have informed you that we regret this situation and are doing everything possible to ensure that this type of operation does not happen again (...) we hope that this quick reaction will be a guarantee of our renewed trust" (reference 97).</w:t>
      </w:r>
    </w:p>
    <w:p>
      <w:r>
        <w:t>5. ON THE PRICES ACTUALLY PRACTICED BY DISTRIBUTORS</w:t>
      </w:r>
    </w:p>
    <w:p>
      <w:r>
        <w:t>74. The majority of distributors interviewed by the DGCCRF investigators stated that they apply the prices recommended by Kontiki.</w:t>
      </w:r>
    </w:p>
    <w:p>
      <w:r>
        <w:t>75. Only two distributors, among the 97 who were heard, expressly mentioned that they do not apply the recommended prices. Thus, the operator of the tobacco-press Ph. X… in Dampierre stated: "(...) I do not have a sufficiently significant turnover to comply with the recommended selling prices" (reference 442). Similarly, the manager of the Boule de Neige card store in Besançon stated: "We are no longer listed on the Diddl.fr site. Our establishment was there at one time, but the representative noticed that we were not practicing the recommended prices on the cards and decided that we should no longer be there."</w:t>
      </w:r>
    </w:p>
    <w:p>
      <w:r>
        <w:t>76. Furthermore, the price surveys conducted by the DGCCRF investigation services in January and February 2006, as well as in November 2006 and until June 2007, show a strong alignment of the prices actually practiced by resellers with the public prices recommended by Kontiki. The sample of resellers selected included 20 departments corresponding to four regions (Rhône-Alpes, Bourgogne, Franche Comté, and Auvergne). Prices were surveyed in 74 points of sale including independent establishments, franchises, or those belonging to an integrated network. The 2200 prices surveyed concerned nearly 500 distinct Diddl references across all marketed ranges, averaging more than 20 prices surveyed per point of sale.</w:t>
      </w:r>
    </w:p>
    <w:p>
      <w:r>
        <w:t xml:space="preserve">Number of Number of Number of Rate of Rate of </w:t>
        <w:br/>
        <w:t xml:space="preserve">prices surveyed identical prices rounded compliance with compliance with </w:t>
        <w:br/>
        <w:t xml:space="preserve">to the RRP1 at 0.05 RRP in % RRP in % </w:t>
        <w:br/>
        <w:t xml:space="preserve">above (excluding rounding) (including rounding) </w:t>
        <w:br/>
        <w:t>2208 1791 151 81.11 87.95</w:t>
      </w:r>
    </w:p>
    <w:p>
      <w:r>
        <w:t>77. Of all the prices surveyed, the percentage of prices identical to the recommended public prices is over 80% (over 88% if rounded prices to the nearest euro are included).</w:t>
      </w:r>
    </w:p>
    <w:p>
      <w:r>
        <w:t>6. ON THE EXISTENCE OF PRESSURES EXERTED BY KONTIKI ON RESELLERS TO DISSUADE THEM FROM PRACTICING PRICES LOWER THAN THE RECOMMENDED PUBLIC PRICES</w:t>
      </w:r>
    </w:p>
    <w:p>
      <w:r>
        <w:t>78. Several retailers report warnings or acts of pressure from Kontiki representatives when they deviated downwards from the recommended prices.</w:t>
      </w:r>
    </w:p>
    <w:p>
      <w:r>
        <w:t>79. On this point, the manager of the K’Do Cards store in Moulins stated: "The brand representatives informed us that we were required to apply the recommended prices, specifying that the representatives check the effective application of prices in the store. For illustration, I specify that this supplier does not willingly accept discounts, sales, and promotions on these products. We were warned that we would not be supplied if we practiced prices lower than the recommended prices" (reference 1205).</w:t>
      </w:r>
    </w:p>
    <w:p>
      <w:r>
        <w:t>80. The representative of the La Carterie store in Vichy indicated: "There is a pricing framework system akin to imposed prices with pre-labeling on certain items, the indication of recommended selling prices on the delivery slip, a directive commercial practice: no possibility of advertising, no sales/promotions, prohibition of loyalty cards. I specify that I apply the prices indicated by the supplier" (references 1215-1216).</w:t>
      </w:r>
    </w:p>
    <w:p>
      <w:r>
        <w:t>81. The purchasing and sales manager of the Zola Décines Presse store in Décines-Chapieu also specified: "I had never noticed the presence of a maximum recommended public price on the delivery slips; this must be an error insofar as Kontiki insists that we do not make promotions or lower prices" (reference 817).</w:t>
      </w:r>
    </w:p>
    <w:p>
      <w:r>
        <w:rPr>
          <w:b/>
        </w:rPr>
        <w:t>[Pages 13–15]</w:t>
      </w:r>
    </w:p>
    <w:p>
      <w:r>
        <w:t>82. The manager of Sarl Rolland and Garcia Avenue of the Stars in Vichy stated: "With Diddl, it is not conceivable to do promotions or sales knowing that it could result in commercial difficulties with this supplier" (reference 1169).</w:t>
      </w:r>
    </w:p>
    <w:p>
      <w:r>
        <w:t>83. The manager of Papeterie du Pont in Annonay stated: "The retail prices to consumers are listed on the order form under the heading PPC (recommended retail price). I was advised to apply them. The representative explained to me that if these prices were not respected, I would no longer be a privileged partner and would no longer benefit from favorable conditions" (reference 691).</w:t>
      </w:r>
    </w:p>
    <w:p>
      <w:r>
        <w:t>84. The manager of the Spirale bookstore in Oullins explained: "Kontiki is not very keen on seeing promotions on its products. For example, last year at the same time, we received remarks from the representative about ongoing promotions and we were asked to stop them, as this is not Kontiki's policy (...). The promotions we are currently running (mainly bed linens) will be stopped before the representative's visit" (reference 861).</w:t>
      </w:r>
    </w:p>
    <w:p>
      <w:r>
        <w:t>85. The representative of the Instants magiques store in Lamastre, which sells Diddl items by sourcing from Germany or through retrocession from a Kontiki reseller, told investigators: "I set the selling prices myself, avoiding too much deviation from the prices practiced in France that I know through Fantasia or by a price survey at Cadoons. On the other hand, I can afford to have sales whereas for Fantasia, for example, this is strictly prohibited by Kontiki (even if some still do it, especially if they are open on Sundays, to avoid a check from the representative)" (reference 723).</w:t>
      </w:r>
    </w:p>
    <w:p>
      <w:r>
        <w:t>86. The co-manager of the Fran’Jeux tobacco and press shop in Francheville specified that, during the control of the prices actually practiced, the Kontiki representative only made a remark about the prices on one occasion "(...) related to the fact that the promotion was displayed and clearly visible. On this occasion, given the overstock I had and the explanations I provided, the representative was sensitive to my situation and allowed us to continue, by mutual agreement and exceptionally, the price reduction for a few days if I removed the promotional banner from the window" (reference 867).</w:t>
      </w:r>
    </w:p>
    <w:p>
      <w:r>
        <w:t>87. The manager of La Carterie in Belfort specified: "We are obliged to apply the recommended retail prices; it is a constraint. [The representative] knows that I practice these recommended retail prices. We cannot do promotional operations, but we have had permission to discount a few textile items (old collection)" (references 399–400).</w:t>
      </w:r>
    </w:p>
    <w:p>
      <w:r>
        <w:t>88. Some distributors stated that they conduct promotions without seeking prior authorization from Kontiki representatives. These promotions mainly concerned seasonal products, discounted at the end of the season. The operator of the Libre Lecture bookstore in Grenoble stated: "I occasionally practice prices lower than the recommended prices. Right now, for example, during the sales period, I am applying a 30% discount on the selling prices of 'outdated' items (textbooks, agendas 2006/2007)" (reference 900).</w:t>
      </w:r>
    </w:p>
    <w:p>
      <w:r>
        <w:t>89. Similarly, the operator of the L’Enchanté store in Riom-ès-Montagnes stated: "I occasionally do a promotion on an item to sell it better (calendar)" (reference 1253). Likewise, the representative of the Passe Temps bookstore in Tarare specified: "For the promotion of the pouches (...) from a previous collection, there will be an exceptional discount of one or two euros. We do not plan to inform the Kontiki representative about such small discounts" (reference 800).</w:t>
      </w:r>
    </w:p>
    <w:p>
      <w:r>
        <w:t>C. THE NOTIFIED GRIEVANCE</w:t>
      </w:r>
    </w:p>
    <w:p>
      <w:r>
        <w:t>90. By letter dated May 31, 2010, the general rapporteur of the Authority notified Kontiki of the following grievance: "Kontiki SAS is accused of having colluded from 2003 to 2007 with all its distributors to set a resale price to consumers for Diddl items. This practice is contrary to Articles L.420-1 of the Commercial Code and 101 paragraph 1 TFEU."</w:t>
      </w:r>
    </w:p>
    <w:p>
      <w:r>
        <w:t>II. Discussion</w:t>
      </w:r>
    </w:p>
    <w:p>
      <w:r>
        <w:t>A. ON THE MERITS</w:t>
      </w:r>
    </w:p>
    <w:p>
      <w:r>
        <w:t>1. ON THE APPLICABILITY OF UNION LAW</w:t>
      </w:r>
    </w:p>
    <w:p>
      <w:r>
        <w:t>91. Kontiki argues that Article 101 of the TFEU cannot be applied in this case. It claims that it cannot be concluded that a practice was implemented throughout the entire national territory since the investigation focused on contiguous departments and not on all French departments. It further argues that the conditions recalled by Communication No. 2004/C 101/07 of the European Commission of April 27, 2004, concerning guidelines related to the notion of affecting trade as set out in Articles 81 and 82 of the Treaty (OJ 2004 C 101, p. 81, hereinafter the "guidelines") have not been established with sufficient precision in this case.</w:t>
      </w:r>
    </w:p>
    <w:p>
      <w:r>
        <w:t>92. Article 101(1) of the TFEU prohibits horizontal or vertical agreements that have as their object or effect the restriction of competition and that are capable of affecting trade between Member States. Based on European case law and in light of the guidelines, the Authority consistently considers that three elements must be demonstrated to establish that practices are likely to significantly affect trade between Member States: the existence of exchanges between Member States concerning the products or services subject to the practice, the existence of practices likely to affect these exchanges, and the significant nature of this possible effect.</w:t>
      </w:r>
    </w:p>
    <w:p>
      <w:r>
        <w:t>93. In cases of agreements extending to the entirety or vast majority of the territory of a Member State, the Court of First Instance of the European Communities (now the Court of the European Union, hereinafter the "Court"), in a judgment of December 14, 2006, Raiffeisen Zentralbank Österreich e.a./Commission (T-259/02 to T–264/02 and 271–02, Rec. p. II-5169, paragraph 181), ruled "that there is, at the very least, a strong presumption that a restrictive competition practice applied throughout the territory of a Member State is likely to contribute to market partitioning and affect intra-community trade. This presumption can only be rebutted if the analysis of the characteristics of the agreement and the economic context in which it is situated demonstrates otherwise." On appeal, the Court of Justice clarified in a judgment of September 24, 2009, Erste Group Bank/Commission (C-125/07 P, C-133/07 P, C-135/07 P and C-137/07 P, Rec. p. I-8681, paragraph 38), that: "(...) the fact that an agreement only concerns the marketing of products in a single Member State is not sufficient to exclude that trade between Member States may be affected. Indeed, an agreement extending throughout the territory of a Member State has, by its very nature, the effect of consolidating national partitioning, thereby hindering the economic interpenetration intended by the EC Treaty."</w:t>
      </w:r>
    </w:p>
    <w:p>
      <w:r>
        <w:t>94. In this case, the practice at issue consisted, for Kontiki, of entering into a set of contracts for the distribution of Diddl products with resellers located in various parts of the national territory. This set of agreements, inasmuch as it concerns the marketing and particularly the retail prices of the products in question, as well as certain terms of entry or exit of resellers into Kontiki's network of commercial partners in France, is, given its nature, geographical scope, and economic impact, likely to affect trade between Member States. None of the characteristics of the agreement or the economic context in which it is situated, among those invoked by Kontiki, allows for the rebuttal of this presumption.</w:t>
      </w:r>
    </w:p>
    <w:p>
      <w:r>
        <w:t>95. In particular, the fact that the investigation was conducted in only certain departments and not throughout the entire territory cannot overturn this presumption. It is indeed not necessary for Union law to be applicable to a vertical agreement to demonstrate that the distributors it concerns are established in all parts of the national territory. It should, however, be noted that Kontiki's commercial policy, as it appears from the successive versions of the contractual documents distributed to distributors, concerns a range of products likely to be sold by Kontiki throughout the territory and aims to govern the relationships of this company with the majority of its resellers, regardless of their exact geographical location. Furthermore, the practice at issue notably involved the use of a website, which is not claimed to be inaccessible anywhere in the territory. In other words, the practice at issue and the commercial policy that underpins it were clearly not designed within a departmental or regional framework but aimed to apply throughout the national territory in the sense of the aforementioned case law.</w:t>
      </w:r>
    </w:p>
    <w:p>
      <w:r>
        <w:t>96. It is also irrelevant that the supply and demand for Diddl products are strictly national. Indeed, while Kontiki is the exclusive distributor of Diddl products imported from Germany, this territorial exclusivity is not absolute. The investigation revealed the existence of at least one reseller marketing Diddl products acquired directly from a German company (reference 723). Furthermore, the Auchan brand was able to market Diddl items that had been retroceded to it by a Spanish distributor in order to carry out a promotional campaign during the 2006 school year. Finally, and most importantly, the argument itself is based on the observation that Diddl products are imported from Germany, a factual element that confirms, rather than refutes, the idea that the practice at issue may be likely to consolidate a certain partitioning of the French market in the sense of the aforementioned case law.</w:t>
      </w:r>
    </w:p>
    <w:p>
      <w:r>
        <w:rPr>
          <w:b/>
        </w:rPr>
        <w:t>[Pages 16–18]</w:t>
      </w:r>
    </w:p>
    <w:p>
      <w:r>
        <w:t>97. It follows from the above that the practices in question are likely to significantly affect trade between Member States and must therefore be examined in light of Article 101 TFEU.</w:t>
      </w:r>
    </w:p>
    <w:p>
      <w:r>
        <w:t>2. ON THE DEFINITION OF THE RELEVANT MARKET</w:t>
      </w:r>
    </w:p>
    <w:p>
      <w:r>
        <w:t>98. It follows from consistent case law of the Union courts that the obligation to delineate the relevant market in a decision adopted under Article 101 TFEU applies to competition authorities only when, without such delineation, it is not possible to determine whether the agreement, the decision of association of undertakings, or the concerted practice in question has as its object or effect the prevention, restriction, or distortion of competition within the internal market (judgment of the Court of First Instance of September 12, 2007, William Prym/Commission, T-30/05, Rec. p. II-107, paragraph 86, citing the judgments of the Court of First Instance of September 15, 1998, European Night Services e.a./Commission, T-374/94, T–375/94, T–384/94 and T–388/94, Rec. p. II-3141, paragraphs 93 to 95 and 103, and of March 19, 2003, CMA CGM e.a./Commission, T–213/00, Rec. p. II-913, paragraph 206).</w:t>
      </w:r>
    </w:p>
    <w:p>
      <w:r>
        <w:t>99. Under domestic law, the Authority similarly considers that when the practices that are the subject of the statement of objections are examined under the prohibition of agreements, it is not necessary to define the market with the same precision as in cases of abuse of a dominant position. It is sufficient that the sector is defined with enough precision to allow for an assessment of the impact of the practices in question on competition (see in this regard particularly decision No. 10–D–04 of January 26, 2010, concerning practices implemented in the operating tables sector, paragraph 108).</w:t>
      </w:r>
    </w:p>
    <w:p>
      <w:r>
        <w:t>100. In this case, Diddl-branded products are characterized by their variety (postcards, figurines, school supplies, etc.) and by the frequency of their renewal (nearly 300 references per year on average). The Diddl character cannot thus be associated with a particular type of product, as these serve only as a vector for the brand. In this context, it seems relevant to consider the practice within a broader sector, which is that of novelty items and gadgets.</w:t>
      </w:r>
    </w:p>
    <w:p>
      <w:r>
        <w:t>101. Diddl-branded products have had, in this context, a genuine market power. Indeed, these products stand out from other novelty items due to their specific characteristics, mentioned in the previous paragraph, and the fact that they have given rise to an unprecedented fashion phenomenon. On this point, the director of Kontiki emphasized during his hearing on October 27, 2007: "As of today, I do not see any real competitor to Diddl. In the emotional character niche, we find Hello Kitty and Pucca, which are small competitors in terms of volumes and revenue in France. (...) Titeuf and Babar are not considered real competitors due to the low volume generated by the derivative products" (reference 1690). This market power was particularly notable during the years 2005–2006, during which the phenomenon of "Diddl-mania" reached its peak.</w:t>
      </w:r>
    </w:p>
    <w:p>
      <w:r>
        <w:t>102. Regarding the geographical dimension to be considered for understanding the practice, it should be recalled that, as indicated above, it has tended to govern the commercial relations of Kontiki and its resellers throughout the national territory, regardless of the location of the latter. This national dimension does not naturally exclude that, given the specific characteristics inherent to the retail distribution of products such as those at issue in this case, the existence of local catchment areas may play a role in the analysis.</w:t>
      </w:r>
    </w:p>
    <w:p>
      <w:r>
        <w:t>3. ON THE GRIEVANCES</w:t>
      </w:r>
    </w:p>
    <w:p>
      <w:r>
        <w:t>a) On the existence of a restriction of competition by object</w:t>
      </w:r>
    </w:p>
    <w:p>
      <w:r>
        <w:t>103. Articles 101(1) TFEU and L. 420-1 of the Commercial Code prohibit, in particular, any agreement between suppliers and distributors that has as its object or effect the prevention, distortion, or restriction of price setting for consumers by the free play of competition.</w:t>
      </w:r>
    </w:p>
    <w:p>
      <w:r>
        <w:t>104. The Court of Justice stated, in its judgment of June 4, 2009, T-Mobile (C–8/08, Rec. 2009, p. I-4529), that a concerted practice has an anti-competitive object "when, by reason of its content as well as its purpose and taking into account the legal and economic context in which it is situated, it is concretely capable of preventing, restricting, or distorting competition within the internal market. It is not necessary for competition to be actually prevented, restricted, or distorted, nor for there to be a direct link between this concerted practice and consumer prices" (paragraph 43). The Union courts and domestic courts have also considered practices of imposed prices, taking various forms, as restrictions of competition by their very object (see in this regard, in particular, the judgment of the Court of First Instance of January 13, 2004, JCB/Commission, T-67/01, Rec. p. II-49, paragraph 121, and the judgment of the Paris Court of Appeal of January 28, 2009, Epsé Joué Club).</w:t>
      </w:r>
    </w:p>
    <w:p>
      <w:r>
        <w:t>105. To assess the anti-competitive object of a contractual clause, the Court of Justice also recalled, in its judgment of October 13, 2011, Pierre Fabre Dermo-Cosmétique (C-439/09, not yet published in the reports), that "it is necessary to focus on the content of [this] clause, the objectives it aims to achieve, as well as the economic and legal context in which it is situated" (paragraph 35).</w:t>
      </w:r>
    </w:p>
    <w:p>
      <w:r>
        <w:t>b) On the standard of proof of a vertical agreement</w:t>
      </w:r>
    </w:p>
    <w:p>
      <w:r>
        <w:t>106. It follows from consistent case law that the proof of a vertical agreement requires the demonstration of the agreement of the parties to the agreement. The Union courts consistently hold that, for there to be an agreement, "it is sufficient that at least two companies have expressed their common intention to behave on the market in a certain manner" (judgments of the Court of Justice of July 15, 1970, ACF Chemiefarma/Commission, 41/69, Rec. p. 661, paragraph 112, of January 11, 1990, Sandoz Prodotti Farmaceutici/Commission, C-277/87, Rec. p. I-45, paragraph 13, and of the Court of First Instance of October 26, 2000, Bayer/Commission, T-41/96, Rec. p. II-3383, paragraph 67). The Paris Court of Appeal has similarly recalled that the agreement of intentions is demonstrated when the invitation of one party to the agreement to implement a practice and the acquiescence of at least one other party to this invitation are established (Paris Court of Appeal, January 28, 2009, Epsé Joué Club).</w:t>
      </w:r>
    </w:p>
    <w:p>
      <w:r>
        <w:t>107. The proof of the agreement of intentions between the parties can be established based on elements of any nature. The Court has stated in this regard that: "(...) the notion of agreement within the meaning of Article [101(1)] of the Treaty, as interpreted by case law, is focused on the existence of a concordance of intentions between at least two parties, the form of manifestation of which is not important as long as it constitutes a faithful expression of those intentions" (judgment Bayer/Commission cited above, paragraph 69). In the same case, the Court specified that "the proof of an agreement between companies within the meaning of [101(1)] of the Treaty must rest on the direct or indirect observation of the subjective element that characterizes the very notion of agreement, that is to say, a concordance of intentions between economic operators on the implementation of a policy, the pursuit of an objective, or the adoption of a specific behavior on the market, irrespective of how the parties' intention to behave on the market in accordance with the terms of that agreement is expressed" (judgment Bayer/Commission cited above, paragraph 173).</w:t>
      </w:r>
    </w:p>
    <w:p>
      <w:r>
        <w:t>108. The Court also recalled, in its judgment of September 27, 2006, GlaxoSmithKline Services/Commission (T-168/01, Rec. p. II-2969, paragraph 83, not challenged by the judgment of the Court of Justice of October 6, 2009, GlaxoSmithKline Services/Commission, C-501/06 P, C-513/06 P, C–515/06 P and C-519/06 P, Rec. p. I-9291), that in the presence of documentary or contractual evidence, there is no need to resort, furthermore, to the study of behavioral evidence. The Court thus specified: "[the elements demonstrating the existence of the facts constituting the infringements] can constitute direct evidence, taking for example the form of a written document (judgment of the Court of First Instance of March 15, 2000, Cimenteries CBR e.a./Commission, T-25/95, T-26/95, T-30/95 to T-32/95, T-34/95 to T-39/95, T-42/95 to T-46/95, T-48/95, T-50/95 to T-65/95, T-68/95 to T-71/95, T-87/95, T-88/95, T-103/95 and T-104/95, Rec. p. II-491, paragraph 862, and, on appeal, judgment Aalborg Portland e.a./Commission, paragraph 55 above, paragraph 237), or, failing that, indirect evidence, materialized for example by behavior (judgment Bayer/Commission, paragraph 47 above, paragraph 73, and, on appeal, judgment BAI and Commission/Bayer, paragraph 82 above, paragraph 100)".</w:t>
      </w:r>
    </w:p>
    <w:p>
      <w:r>
        <w:t>109. Similarly, the Paris Court of Appeal, in its judgment Epsé Joué Club cited above, emphasized that "in the case of a price agreement, [the demonstration of the agreement of intentions] results either from the signing of clear contractual clauses, or from the gathering of a set of precise, serious, and consistent indications, generally constituted by the mention, between suppliers and distributors, of resale prices to the public, the implementation of a policy or at least a monitoring of prices, and the observation that the prices mentioned have been effectively applied, the proof of each of these indications being itself free and capable of being established by any means".</w:t>
      </w:r>
    </w:p>
    <w:p>
      <w:r>
        <w:t>110. Finally, in decision No. 07–D–06 of February 28, 2007, concerning practices implemented in the video game console and video game sector, the Competition Council itself recalled that "[the acquiescence of the parties to the agreement] can result from any means by which a company can express its intention, either expressly or tacitly: the signing of a contract, explicitly providing that the retailer will communicate on a specific price or will practice such a price, constitutes the most obvious of these means".</w:t>
      </w:r>
    </w:p>
    <w:p>
      <w:r>
        <w:t>111. Lastly, in decision No. 07–D–50 of December 20, 2007, concerning practices implemented in the toy distribution sector, the Competition Council recalled that the signing of a distribution contract involving compliance with the commercial policy or communication policy of the manufacturer</w:t>
      </w:r>
    </w:p>
    <w:p>
      <w:r>
        <w:rPr>
          <w:b/>
        </w:rPr>
        <w:t>[Pages 19–21]</w:t>
      </w:r>
    </w:p>
    <w:p>
      <w:r>
        <w:t>by the resellers demonstrates, sufficiently, the existence of an agreement on resale prices.</w:t>
      </w:r>
    </w:p>
    <w:p>
      <w:r>
        <w:t>c) The assessment in the case at hand</w:t>
      </w:r>
    </w:p>
    <w:p>
      <w:r>
        <w:t>112. Kontiki contests the existence of an agreement with an anti-competitive object between itself and its distributors in this case. It particularly denies that the term "recommended prices" referred to in the Diddl charter and various other commercial documents could have aimed at prices that resellers were required to adhere to and argues that these were, in reality, maximum prices. In support of this argument, Kontiki invokes the existence of a document titled "Become a Diddl Partner on the Internet," which included the mention "maximum price," as well as a letter signed by the departmental director of the departmental directorate for competition, consumption, and fraud prevention (DDCCRF) of Cher (reference 1876) which recalls that the communication of maximum prices is not illegal as such.</w:t>
      </w:r>
    </w:p>
    <w:p>
      <w:r>
        <w:t>113. The European Commission's guidelines No. 2010/C 130/01 of May 19, 2010, on vertical restrictions (OJ C 130/1), which can be considered as a useful analytical guide in this regard, indicate in particular that "a resale price may also be imposed by indirect means. For example, one could cite (...) an agreement that makes the granting of discounts or reimbursement of promotional costs by the supplier conditional on adherence to a certain price level, (...) as well as threats, intimidation, warnings, sanctions, delays or suspensions of delivery, or termination of the agreement in case of non-compliance with a given price level. The effectiveness of direct or indirect means of price fixing may be enhanced if these means are combined with measures aimed at detecting distributors who sell at low prices (such as the implementation of a price monitoring system or the obligation for the retailer to report other members of the distribution network who deviate from the standard price level). Similarly, direct or indirect price fixing may be made more effective if these means are combined with measures likely to deter the buyer from lowering the selling price (for example, when the supplier prints a recommended selling price on the product or requires the buyer to apply a "most favored customer" clause). The same indirect means and accompanying measures may be used to make a maximum or recommended price equivalent to an imposed selling price" (point 48).</w:t>
      </w:r>
    </w:p>
    <w:p>
      <w:r>
        <w:t>114. In this case, it follows from the preceding findings that, between 2003 and the first quarter of 2007, Kontiki conditioned, in the Diddl charter, the listing of its distributors on the Diddl.fr website on their adherence to the resale prices communicated to them under the guise of "recommended retail prices" or "maximum prices." By conditioning this advantage on adherence to the communicated prices and thereby limiting competition on prices, Kontiki conferred an anti-competitive object to this agreement. It also follows from the stipulations of Articles 6 and 10 of the Diddl charters and Articles 6 and 12 of the commercial agreements of Kontiki, signed by its distributors between 2003 and the first quarter of 2007, and described in points 14 and following above, that Kontiki and its distributors agreed to confer to the prices communicated to them the character of imposed prices, regardless of the designation that Kontiki may have given them. By signing the contractual documents in which these clauses appeared, the Diddl product resellers expressed their agreement with a policy of imposed prices.</w:t>
      </w:r>
    </w:p>
    <w:p>
      <w:r>
        <w:t>115. If, as indicated by the DDCCRF of Cher in a letter addressed to a Diddl product reseller, "the legislation does not prohibit the practice of recommended pricing," this is only to the extent that the prices referred to as "recommended prices" do not actually play, given the economy of the commercial relationships in which they are inserted, and notably their proximity to other contractual stipulations, as well as the manner in which they are implemented, as imposed prices that the distributors agree to practice, regardless of the form of this acceptance.</w:t>
      </w:r>
    </w:p>
    <w:p>
      <w:r>
        <w:t>116. In this case, it has been established that representatives of Kontiki, as well as various resellers of Diddl products, understood the recommended prices from Kontiki as prices that were actually to be adhered to (paragraphs 44 to 49 above). Several retailers also reported warnings or explicit pressure acts from Kontiki representatives when they applied resale prices lower than the prices recommended by the supplier (paragraphs 78 to 89 above).</w:t>
      </w:r>
    </w:p>
    <w:p>
      <w:r>
        <w:t>117. It is also established that Diddl product resellers significantly applied the prices communicated by Kontiki (paragraphs 74 to 77 above), only practicing prices lower than these in exceptional cases on a limited range of products, when they were authorized by Kontiki, or at least when they were not discouraged from doing so. In these conditions, the fact that Kontiki did not systematically delist the Diddl.fr website of all resellers who actually practiced resale prices lower than the recommended prices is irrelevant, since the effective implementation of this procedure was not, in general, necessary for the adherence to the prices expected by Kontiki from the resellers.</w:t>
      </w:r>
    </w:p>
    <w:p>
      <w:r>
        <w:t>118. Finally, contrary to what Kontiki argues, the stipulations regarding resale prices in other documents signed by the resellers, alongside the Diddl charter, are not likely to undermine the common understanding of the parties as described above. Indeed, the document "Become a Diddl Partner on the Internet," disseminated by Kontiki alongside the Diddl charter until 2007, which provides that: "to optimize this partnership in our common interest and in the interest of your clients, two concerns must inhabit us: (...) the prices practiced by partner resellers must not exceed the maximum recommended public prices appearing on the site," contains no stipulation explicitly undermining, in an unequivocal manner, the obligation to adhere to the recommended public prices resulting from the combined reading of Articles 6 and 12 of the Diddl charter mentioned in paragraph 114 above. Nothing in these documents informs the distributors that their clauses fully replace those of the Diddl charter and the commercial agreements. Furthermore, this contract was only concluded by Kontiki with a portion of its resellers and could not be produced by any of them during the investigation – unlike the Diddl charter which was systematically signed upon the installation of each new reseller from 2003.</w:t>
      </w:r>
    </w:p>
    <w:p>
      <w:r>
        <w:t>119. It follows from the above that, during the period 2003/2007, the evidence of the parties' consent to the agreement results from the existence of the Diddl charter and the commercial agreements signed by the parties, in the context in which these documents were entered into. This consent is confirmed by the behaviors of Kontiki and the distributors which demonstrate that the "recommended" or "maximum" prices were indeed understood, on both sides, as imposed prices. The formal appearance of the clauses and the terminology used by the parties is therefore incapable of undermining the qualification of imposed resale prices, a price presented as "maximum" or "recommended" can, through the actual behavior of the parties or other contractual clauses, tend to function equivalently to an imposed resale price.</w:t>
      </w:r>
    </w:p>
    <w:p>
      <w:r>
        <w:t>120. It is therefore not necessary to establish that the discounts that Kontiki conditioned on adherence to the recommended prices, or the advertising advantage resulting from the mention of the store on the Diddl.fr website, appeared as sufficiently attractive to ensure adherence to the price desired by the supplier. Finally, as recalled by the Competition Council in its decision No. 07–D–06 of February 28, 2007, regarding practices implemented in the video game console and video game sector, it is also not necessary, since the proof of the agreement of wills between the parties to the agreement has been established based on documentary or contractual elements, to demonstrate that the distributors actually adhered to this commitment or that an abnormal proportion of the prices actually communicated or practiced during the relevant period is aligned with the prices recommended by the supplier.</w:t>
      </w:r>
    </w:p>
    <w:p>
      <w:r>
        <w:t>121. Under consistent case law, once the anti-competitive object of an agreement is demonstrated, it is not necessary to establish the existence of the effects it may generate. In this regard, the Court of Justice recalled, in its judgment in T-Mobile, that "(...) the object and the anti-competitive effect are not cumulative conditions, but alternative conditions for assessing whether a practice falls under the prohibition set out in Article 81(1) EC" (point 28). In the same case, the Court of Justice also specified that "(...) it is not necessary to examine the effects of a concerted practice once its anti-competitive object is established" (point 30). It follows that it is not necessary, in this case, to establish the existence of actual or potential effects that the agreement between Kontiki and its distributors may have produced.</w:t>
      </w:r>
    </w:p>
    <w:p>
      <w:r>
        <w:t>122. It follows from all the considerations above that Kontiki has conspired with its distributors, over a period from the beginning of 2003 to the first quarter of 2007, on the resale prices of Diddl products.</w:t>
      </w:r>
    </w:p>
    <w:p>
      <w:r>
        <w:t>123. It should be added that practices of imposed prices are not likely to benefit from the block exemption provided by Regulation (EU) No. 330/2010 of the European Commission of April 20, 2010, concerning the application of Article 101(3) of the Treaty to categories of vertical agreements and concerted practices (OJ L 102/1), as clarified by the aforementioned guidelines of May 19, 2010, which consider these practices as "characterized restrictions."</w:t>
      </w:r>
    </w:p>
    <w:p>
      <w:r>
        <w:t>124. Furthermore, as no request has been made in this regard by Kontiki, there is no need to examine whether the practice could possibly be justified on the basis of Articles 101(3) TFEU and L. 420-4 of the Commercial Code.</w:t>
      </w:r>
    </w:p>
    <w:p>
      <w:r>
        <w:rPr>
          <w:b/>
        </w:rPr>
        <w:t>[Pages 22–24]</w:t>
      </w:r>
    </w:p>
    <w:p>
      <w:r>
        <w:t>B. ON THE SANCTION</w:t>
      </w:r>
    </w:p>
    <w:p>
      <w:r>
        <w:t>125. Paragraph I of Article L. 464-2 of the Commercial Code and Article 5 of Council Regulation (EC) No. 1/2003 of December 16, 2002, concerning the implementation of the competition rules provided for in Articles 81 and 82 of the Treaty empower the Authority to impose monetary sanctions on companies and organizations engaging in anti-competitive practices prohibited by Articles L. 420-1 of the Commercial Code and 101 of the TFEU.</w:t>
      </w:r>
    </w:p>
    <w:p>
      <w:r>
        <w:t>126. According to the fourth paragraph of I of Article L. 464-2 of the Commercial Code, the maximum monetary sanction that can be imposed on a company is "10% of the highest amount of worldwide turnover excluding taxes achieved during one of the financial years closed since the financial year preceding that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127. The third paragraph of I of Article L. 464-2 of the Commercial Code provides that "monetary sanctions are proportionate to the seriousness of the facts alleged, to the importance of the damage caused to the economy, to the individual situation of the sanctioned organization or company or the group to which the company belongs, and to any possible repetition of practices prohibited by [Title VI of Book IV of the Commercial Code]. They are determined individually for each sanctioned company or organization and reasoned for each sanction."</w:t>
      </w:r>
    </w:p>
    <w:p>
      <w:r>
        <w:t>128. In this case, the Authority will assess these legal criteria according to the practical modalities described in its press release of May 16, 2011, concerning the method of determining monetary sanctions.</w:t>
      </w:r>
    </w:p>
    <w:p>
      <w:r>
        <w:t>129. Kontiki was given the opportunity to make observations on the main elements of law and fact of the case that could, according to the investigation services, influence the determination of the sanction that could be imposed on it, following the receipt of the notification of grievances, the report, and a supplementary report of March 29, 2011, recalling these various elements. The presentation of these various elements by the investigation services does not prejudge the assessment of the board on the determinants of the sanction, which is solely within the deliberation.</w:t>
      </w:r>
    </w:p>
    <w:p>
      <w:r>
        <w:t>1. ON THE VALUE OF SALES</w:t>
      </w:r>
    </w:p>
    <w:p>
      <w:r>
        <w:t>130. The value of sales of all categories of products related to the infringement made in France by the company in question, during its last complete accounting year of participation in this infringement, may be usefully retained as the basis for its sanction. Certainly, the Commercial Code does not require the Authority to proceed in this manner (judgment of the Court of Cassation of May 13, 1997, Société française de transports Gondrand frères). Nevertheless, this parameter can be considered as an appropriate and objective reference to proportion the basis of the individual sanction to the economic magnitude of the infringement in question, on the one hand, and to the relative weight on the concerned sector of each company that participated, on the other hand, in light of consistent case law from the Union courts (judgments of the Court of Justice of June 7, 1983, Musique diffusion française/Commission, 100/80, Rec. p. 1825, points 119 to 121, and of September 3, 2009, Papierfabrik August Koehler e.a./Commission, C-322/07P, C-327/07P and C-338/07P, Rec. p. I-7191, point 314).</w:t>
      </w:r>
    </w:p>
    <w:p>
      <w:r>
        <w:t>131. This case law, even if not directly applicable, nonetheless constitutes a useful reference point for the concrete exercise of the discretionary power that the Authority has in determining sanctions, within the framework provided by I of Article L. 464-2 of the Commercial Code and in compliance with the general principles of law, insofar as the sanctions imposed in this case by the Authority relate to an infringement of both Article L. 420-1 of the Commercial Code and Article 101 of the TFEU.</w:t>
      </w:r>
    </w:p>
    <w:p>
      <w:r>
        <w:t>132. The Authority has therefore committed to determining the base amount of the sanctions it imposes in cases of violations of Articles L. 420-1 and L. 420-2 of the Commercial Code and Articles 101 and 102 of the TFEU by referring to this notion as the basis.</w:t>
      </w:r>
    </w:p>
    <w:p>
      <w:r>
        <w:t>133. The categories of products to be considered for this purpose are those subject to the practice, as described in the part of this decision dedicated to the qualification of the infringement (paragraph 100 above).</w:t>
      </w:r>
    </w:p>
    <w:p>
      <w:r>
        <w:t>134. In this case, the practice implemented by Kontiki and its distributors concerned all sales of Diddl products on national territory between January 1, 2003, and the first quarter of 2007.</w:t>
      </w:r>
    </w:p>
    <w:p>
      <w:r>
        <w:t>135. The sales of Diddl products made by Kontiki during the last complete accounting year of participation in the infringement – from July 1, 2005, to June 30, 2006 – amount to 58 million euros.</w:t>
      </w:r>
    </w:p>
    <w:p>
      <w:r>
        <w:t>2. ON THE DETERMINATION OF THE BASE AMOUNT</w:t>
      </w:r>
    </w:p>
    <w:p>
      <w:r>
        <w:t>136. Pursuant to I of Article L. 464-2 of the Commercial Code, the base amount of the sanction for each company is determined based on the seriousness of the facts and the importance of the damage caused to the economy, criteria that both relate to the infringement in question. The Authority's assessments in this regard find a numerical translation in the choice of a proportion, determined on a case-by-case basis, of the value of sales retained for the company or companies involved, a criterion that, as indicated above, allows for the proportionality of the basis of the sanction to the economic magnitude of the infringement committed, on the one hand, and to the relative weight on the concerned sector of each company that participated, on the other hand. Other relevant individualization elements relating to the situation and behavior of the company in question are taken into consideration at a later stage.</w:t>
      </w:r>
    </w:p>
    <w:p>
      <w:r>
        <w:t>137. The duration of the practices is an element that has a significant impact both on the seriousness of the facts (see, in this sense, judgments of the Court of Cassation of June 28, 2003, Domoservices maintenance, and of June 28, 2005, Novartis Pharma) and on the importance of the damage caused to the economy (judgment of the Court of Cassation of July 12, 2011, Lafarge ciments e.a). It is therefore taken into account from this dual perspective, according to the practical modalities described in the aforementioned press release of May 16, 2011.</w:t>
      </w:r>
    </w:p>
    <w:p>
      <w:r>
        <w:t>a) On the proportion of the value of sales</w:t>
      </w:r>
    </w:p>
    <w:p>
      <w:r>
        <w:t>On the seriousness of the facts</w:t>
      </w:r>
    </w:p>
    <w:p>
      <w:r>
        <w:t>138. The Court of Appeal of Paris recalled, in its judgment Epsé Joué Club cited above, that vertical agreements on prices, while not regarded with as much severity as horizontal agreements, are among the most serious anti-competitive practices.</w:t>
      </w:r>
    </w:p>
    <w:p>
      <w:r>
        <w:t>139. In this case, it should also be noted, first, that the agreement pursued by Kontiki and its distributors was implemented through the document that served as the basis for commercial relations with its distributors. The contractual nature of the practice thus allowed Kontiki to generalize the system of the agreement to all Diddl product resellers, whether independent or branded, and to seal the acquiescence of the distributors in a binding document.</w:t>
      </w:r>
    </w:p>
    <w:p>
      <w:r>
        <w:t>140. Secondly, the agreement concerned products intended for a clientele composed of children and pre-adolescents. Contrary to what Kontiki claims, the fact that parents, who make the purchase, do not themselves constitute a particularly vulnerable clientele is irrelevant. Indeed, as noted by the Competition Council in its decision No. 99–D–45 of June 30, 1999, regarding practices observed in the toy sector, children play a prescriptive role with their parents in the purchase of such products, often choosing themselves or swaying the buyer's decision in the direction they desire.</w:t>
      </w:r>
    </w:p>
    <w:p>
      <w:r>
        <w:t>141. Nevertheless, it must be noted that, while Kontiki's sales representatives monitored the resale prices actually practiced by retailers and issued warnings to them when they deviated from the imposed prices, this policy did not rely on the implementation of coercive measures. In this regard, it has not been established that Kontiki effectively proceeded to delist the websites of distributors who practiced prices lower than the imposed prices.</w:t>
      </w:r>
    </w:p>
    <w:p>
      <w:r>
        <w:t>142. In light of all the preceding considerations, it should be considered that, while the practice implemented by Kontiki and its distributors can be regarded as undeniably serious given its nature, it is less so than a horizontal agreement between competitors, and its concrete modalities lead in this case to tempering its seriousness.</w:t>
      </w:r>
    </w:p>
    <w:p>
      <w:r>
        <w:t>On the importance of the damage caused to the economy</w:t>
      </w:r>
    </w:p>
    <w:p>
      <w:r>
        <w:t>143. The damage to the economy is not to be confused with the harm suffered by the victims of the practices in question, but is assessed based on the general disruption brought about by these practices to the economy (see, for example, judgment of the Court of Appeal of Paris of October 8, 2008, SNEF).</w:t>
      </w:r>
    </w:p>
    <w:p>
      <w:r>
        <w:t>144. The Authority, which is not required to precisely quantify the damage caused to the economy, must assess its existence and importance, based on as complete an analysis as possible of the elements of the case and by seeking the various aspects of the general disruption of the normal functioning of the economy engendered by the practices in question (judgment of the Court of Appeal of Paris of June 30, 2011, Orange France). The existence of damage to the economy does not</w:t>
      </w:r>
    </w:p>
    <w:p>
      <w:r>
        <w:rPr>
          <w:b/>
        </w:rPr>
        <w:t>[Pages 25–27]</w:t>
      </w:r>
    </w:p>
    <w:p>
      <w:r>
        <w:t>could not therefore be presumed, including in the case of an agreement (judgment of the Court of Cassation of April 7, 2010, Orange France).</w:t>
      </w:r>
    </w:p>
    <w:p>
      <w:r>
        <w:t>145. Based on established case law, the Authority takes into account, in assessing the significance of the damage caused to the economy, the extent of the infringement, characterized among other things by its geographical coverage or by the market share of the party or parties in the relevant sector, its duration, its conjunctural or structural consequences, as well as the relevant economic characteristics of the sector concerned (see, for example, the judgment of the Court of Appeal of Paris, Orange France, cited above). Both proven and potential effects of the practice may be taken into consideration in this regard (see, in this sense, the judgment of the Court of Cassation, Novartis Pharma cited above).</w:t>
      </w:r>
    </w:p>
    <w:p>
      <w:r>
        <w:t>146. In order to assess the significance of the damage caused to the economy, it is also necessary to take into account the price sensitivity of demand, or price elasticity (judgment of the Court of Cassation Orange France, cited above). The Competition Council, in its decision No. 08–D–13 of June 11, 2008, concerning practices observed in the sector of routine maintenance of premises, emphasized that the damage to the economy is all the more significant when there is low sensitivity of demand to prices. Indeed, when price increases result in little variation in the quantities purchased, the impact of the practice on consumers is essentially constituted by the overprice paid by consumers to the benefit of the companies that have raised prices. Any reduction in competition, particularly intra-brand competition, thus allows for a significant increase in prices without leading to a substantial reduction in the quantities sold. This is why practices that tend to reduce competition concerning products for which demand is inelastic are considered by case law to be particularly harmful.</w:t>
      </w:r>
    </w:p>
    <w:p>
      <w:r>
        <w:t>147. In this regard, the documents in the file show that the price elasticity of Diddl products was low during the period in which the practice was implemented. Indeed, as noted in paragraph 101 above, there were no real substitutes for Diddl products, which were subject to a strong fashion phenomenon.</w:t>
      </w:r>
    </w:p>
    <w:p>
      <w:r>
        <w:t>148. Furthermore, it has been established that the practice implemented by Kontiki was based on the establishment of contractual clauses contained either in the Diddl charter itself or in other agreements that served as such. These agreements were signed by the resellers of Diddl products throughout the national territory between 2003 and 2007. The company Kontiki is therefore unfounded in claiming that the practice was only established in the geographical areas covered by the investigations.</w:t>
      </w:r>
    </w:p>
    <w:p>
      <w:r>
        <w:t>149. The significance of the damage caused to the economy was increased by the significant market power held by Kontiki, recognized by its manager during his hearing on October 27, 2007 (see paragraph 101 above), due, on the one hand, to the exclusivity of the distribution of Diddl products, and, on the other hand, to the absence of close substitutes for this type of product, induced by the fashion phenomenon they benefited from. This market power allowed it to partially detach itself from the behavior of its competitors.</w:t>
      </w:r>
    </w:p>
    <w:p>
      <w:r>
        <w:t>150. This fashion phenomenon thus conferred an "essential" character to Diddl products among children. To the extent that these products were marketed at a low average price, regardless of the magnitude of the relative overprice, the latter could only translate into a slight increase in the selling price to final consumers, in absolute value. Consequently, the overprice that the practice is likely to have generated was not able to dissuade the consumer from purchasing the products and, therefore, could not significantly affect the artificially perceived rent by the company Kontiki. Moreover, the imposition of resale prices for Diddl products may have led to a reduction in intra-brand competition in the relevant market.</w:t>
      </w:r>
    </w:p>
    <w:p>
      <w:r>
        <w:t>151. However, two elements lead, in this case, to consider the damage caused to the economy as very moderate. Firstly, the extent of the reduction in intra-brand competition in the relevant market depends on the level of intra-brand competition that would have existed in the absence of the practices. Now, in this case, it has been noted that the territorial network of Kontiki's points of sale was heterogeneous, with catchment areas presenting a concentration of points of sale that was more or less significant. In the less dense areas, intra-brand competition is particularly weak, which contributes to diminishing the significance of the damage to the economy caused by the practice.</w:t>
      </w:r>
    </w:p>
    <w:p>
      <w:r>
        <w:t>152. Secondly, while Kontiki's competitors may indeed have suffered from the practice implemented by it, which, by guaranteeing retailers an absence of intra-brand competition in price, conferred an artificial advantage, Kontiki's distribution policy, although based on a national territorial network, did not imply that all independent retailers specializing in gadgets and novelty products sold products bearing the Diddl image. Thus, manufacturers of competing products to Diddl products were able to have their items distributed by other distributors, in the same catchment area, which helped to limit the effect of the practice on inter-brand competition.</w:t>
      </w:r>
    </w:p>
    <w:p>
      <w:r>
        <w:t>153. In light of the above considerations, it should be concluded that the practice implemented by Kontiki and its distributors caused damage of very low significance.</w:t>
      </w:r>
    </w:p>
    <w:p>
      <w:r>
        <w:t>Conclusion on the proportion of the value of sales</w:t>
      </w:r>
    </w:p>
    <w:p>
      <w:r>
        <w:t>154. Given the assessment it has made above of the seriousness of the facts and the significance of the damage caused to the economy, the Authority retains, to determine the base amount of the sanction against the company in question, a proportion of 9% of the value of sales of Diddl products made by Kontiki during the 2005-2006 fiscal year, the last complete accounting year of participation in the infringement, amounting to 5,220,000 euros.</w:t>
      </w:r>
    </w:p>
    <w:p>
      <w:r>
        <w:t>b) On the duration of the practice</w:t>
      </w:r>
    </w:p>
    <w:p>
      <w:r>
        <w:t>155. As indicated in paragraph 137 above, the duration of the infringement is a factor that should be taken into account in the assessment of both the seriousness of the facts and the significance of the damage caused to the economy. Indeed, the longer an infringement lasts, the more substantial and persistent the harm it causes to the competitive process and the disruption it causes to the functioning of the sector in question and more generally to the economy is likely to be.</w:t>
      </w:r>
    </w:p>
    <w:p>
      <w:r>
        <w:t>156. In the case of infringements that have lasted more than one year, as in this case, the Authority has committed to taking their duration into account according to the following practical modalities. The proportion retained to give a numerical translation to the seriousness of the facts and the significance of the damage to the economy is applied once, for the first complete year of infringement, to the value of sales made during the reference accounting year, and then to half of that value for each of the subsequent complete years. Beyond the last complete year of participation in the infringement, the remaining period is taken into account on a monthly basis, to the extent that the elements of the file allow it.</w:t>
      </w:r>
    </w:p>
    <w:p>
      <w:r>
        <w:t>157. In each specific case, this method thus results in a multiplier coefficient, defined proportionally to the individual duration of the company's participation in the infringement and applied to the proportion of the value of sales made by it during the accounting year retained as a reference.</w:t>
      </w:r>
    </w:p>
    <w:p>
      <w:r>
        <w:t>158. It has been established that the practices attributed to the company Kontiki were implemented, at the very least, from the beginning of the year 2003 in the commercial agreements between Kontiki and its resellers and in the Diddl Charter. These contractual documents were modified during March 2007. It follows that Kontiki's participation in the infringement lasted four full years and two months.</w:t>
      </w:r>
    </w:p>
    <w:p>
      <w:r>
        <w:t>159. The multiplier factor is determined, in this case, as follows:</w:t>
        <w:br/>
        <w:t>- 1 for the first year of infringement;</w:t>
        <w:br/>
        <w:t>- 0.5 multiplied by the three other complete years of the infringement, resulting in a coefficient of 1.5.</w:t>
      </w:r>
    </w:p>
    <w:p>
      <w:r>
        <w:t>160. 0.5 multiplied by the two complete months of participation, rounded to the second lower decimal, resulting in 0.08. The total coefficient must therefore be set at 2.58.</w:t>
      </w:r>
    </w:p>
    <w:p>
      <w:r>
        <w:t>c) Conclusion on the base amount</w:t>
      </w:r>
    </w:p>
    <w:p>
      <w:r>
        <w:t>161. It follows from all of the above that, in light of the seriousness of the facts and the significance of the damage caused to the economy by the practice in question, the base amount of the monetary sanction determined in proportion to the sales of products related to the infringement carried out by Kontiki, on the one hand, and the duration of the practice, on the other hand, amounts to 13,467,600 euros.</w:t>
      </w:r>
    </w:p>
    <w:p>
      <w:r>
        <w:t>3. ON THE CONSIDERATION OF INDIVIDUAL CIRCUMSTANCES SPECIFIC TO KONTIKI</w:t>
      </w:r>
    </w:p>
    <w:p>
      <w:r>
        <w:t>162. The Authority has committed, as provided for in the Commercial Code, to adjust the base amount in light of the criterion relating to the behavior and individual situation of the company in question or the group to which it belongs.</w:t>
      </w:r>
    </w:p>
    <w:p>
      <w:r>
        <w:t>163. To this end, and depending on the elements specific to each case, the Authority may take into account various mitigating or aggravating circumstances characterizing the behavior of each company in the context of its participation in the infringement, as well as any other relevant objective element relating to the individual situation of that company. This consideration may, depending on the cases, lead to adjusting the sanction both upwards and downwards.</w:t>
      </w:r>
    </w:p>
    <w:p>
      <w:r>
        <w:t>164. In the absence of reiteration on the part of Kontiki in this case, the adjusted amount will then be compared to the applicable legal maximum, in accordance with I of Article L. 464-2 of the Commercial Code.</w:t>
      </w:r>
    </w:p>
    <w:p>
      <w:r>
        <w:rPr>
          <w:b/>
        </w:rPr>
        <w:t>[Pages 28–28]</w:t>
      </w:r>
    </w:p>
    <w:p>
      <w:r>
        <w:t>165. In this case, it was noted that Kontiki generated nearly 97% of its revenue from the sale of Diddl products during the duration of the practices. Kontiki therefore conducted the majority of its activity in the market related to the infringement. Furthermore, and especially, this revenue experienced very strong growth until 2005, due to the rise of the fashion phenomenon described in paragraph 150 above, reaching 66.9 million euros, before contracting extremely quickly and significantly due to the disappearance of this same fashion phenomenon, falling to 12.8 million euros in 2011, which is five times less than that achieved six years earlier. The Authority considers it necessary to take this exceptional circumstance, which is quite particular to this case, into account in order to reduce the base amount determined in the previous section by 90%.</w:t>
      </w:r>
    </w:p>
    <w:p>
      <w:r>
        <w:t>166. It is by considering all of these elements necessary for compliance with the principle of proportionality that the monetary sanction to be imposed on Kontiki will be set at 1.34 million euros.</w:t>
      </w:r>
    </w:p>
    <w:p>
      <w:r>
        <w:t>4. ON THE VERIFICATION OF THE LEGAL MAXIMUM</w:t>
      </w:r>
    </w:p>
    <w:p>
      <w:r>
        <w:t>167. The highest consolidated worldwide revenue excluding taxes known to have been achieved by Kontiki is 66.938 million euros for the accounting year 2005–2006. It constitutes, within the meaning of Article L. 464-2(1) of the Commercial Code, the highest revenue achieved during one of the financial years closed since the financial year preceding the one during which the practices were implemented. The maximum amount of the sanction therefore amounts to 6.9 million euros, to be compared with the amount of its monetary sanction as indicated above.</w:t>
      </w:r>
    </w:p>
    <w:p>
      <w:r>
        <w:t>168. The amount of the monetary sanction imposed on Kontiki does not exceed this figure.</w:t>
      </w:r>
    </w:p>
    <w:p>
      <w:r>
        <w:t>DECISION</w:t>
      </w:r>
    </w:p>
    <w:p>
      <w:r>
        <w:t>Article 1: It is established that the company Kontiki SAS has violated the provisions of Article 101 TFEU and Article L. 420-1 of the Commercial Code by implementing with its distributors an anti-competitive practice aimed at fixing the resale prices to consumers of Diddl items, from January 1, 2003, to mid-March 2007.</w:t>
      </w:r>
    </w:p>
    <w:p>
      <w:r>
        <w:t>Article 2: A sanction of 1.34 million euros is imposed on the company Kontiki SAS.</w:t>
      </w:r>
    </w:p>
    <w:p>
      <w:r>
        <w:t>Deliberated on the oral report of Mr. Philippe Couton, rapporteur, and the intervention of Mr. Etienne Pfister, deputy general rapporteur, by Ms. Elisabeth Flüry-Hérard, vice-president, chairing the session, Ms. Pierre Pinot and Messrs. Emmanuel Combe, Noël Diricq, Jean-Bertrand Drummen, and Pierre Godé, members.</w:t>
      </w:r>
    </w:p>
    <w:p>
      <w:r>
        <w:t>The session secretary, The vice-president,</w:t>
        <w:br/>
        <w:t>Béatrice Déry-Rosot Elisabeth Flüry-Hérard</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