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https://www.autoritedelaconcurrence.fr/fr/decision/relative-des-pratiques-mises-en-oeuvre-dans-le-secteur-de-la-distribution-de-produits</w:t>
      </w:r>
    </w:p>
    <w:p>
      <w:r>
        <w:t>Pages translated : 20</w:t>
      </w:r>
    </w:p>
    <w:p/>
    <w:p>
      <w:r>
        <w:rPr>
          <w:b/>
        </w:rPr>
        <w:t>[Pages 1–3]</w:t>
      </w:r>
    </w:p>
    <w:p>
      <w:r>
        <w:t xml:space="preserve">FRENCH REPUBLIC  </w:t>
        <w:br/>
        <w:t xml:space="preserve">Decision No. 08-D-25 of October 29, 2008  </w:t>
        <w:br/>
        <w:t xml:space="preserve">regarding practices implemented in the sector of the distribution of cosmetic and personal hygiene products sold on pharmaceutical advice  </w:t>
        <w:br/>
        <w:t xml:space="preserve">The Competition Council (Section I),  </w:t>
        <w:br/>
        <w:t xml:space="preserve">Having regard to the ex officio referral of June 27, 2006 concerning practices implemented in the sector of the distribution of cosmetic and personal hygiene products;  </w:t>
        <w:br/>
        <w:t xml:space="preserve">Having regard to the Treaty establishing the European Community, in particular Article 81 EC;  </w:t>
        <w:br/>
        <w:t xml:space="preserve">Having regard to Book IV of the Commercial Code;  </w:t>
        <w:br/>
        <w:t xml:space="preserve">Having regard to the decision of the General Rapporteur of October 30, 2006, proceeding to the disjunction of the present case into two referrals bearing the numbers 06/0044-1 F, concerning practices implemented by companies in the sector of the distribution of cosmetic and personal hygiene products, and 06/0044-2 F (06/0077 F), concerning only the practices implemented by Pierre Fabre Dermo-Cosmétique;  </w:t>
        <w:br/>
        <w:t xml:space="preserve">Having regard to the observations presented by Pierre Fabre SA and Pierre Fabre Dermo-Cosmétique and by the Government Commissioner;  </w:t>
        <w:br/>
        <w:t xml:space="preserve">Having regard to the other documents in the file;  </w:t>
        <w:br/>
        <w:t xml:space="preserve">The Rapporteur, the Deputy General Rapporteur, the representatives of Pierre Fabre Dermo-Cosmétique and Pierre Fabre SA, and the Government Commissioner heard during the session of September 17, 2008;  </w:t>
        <w:br/>
        <w:t>Adopts the following decision:</w:t>
      </w:r>
    </w:p>
    <w:p>
      <w:r>
        <w:t xml:space="preserve">I. Findings  </w:t>
        <w:br/>
        <w:t xml:space="preserve">A. THE REFERRAL  </w:t>
        <w:br/>
        <w:t xml:space="preserve">1. By a decision dated June 27, 2006, the Competition Council took ex officio action regarding practices implemented in the sector of the distribution of cosmetic and personal hygiene products. By decision No. 07-D-07 dated March 8, 2007, the Council accepted and made mandatory the commitments proposed by the companies concerned, with the exception of the Pierre Fabre group, consisting of modifying their selective distribution contracts to allow members of their network to sell their products online.  </w:t>
        <w:br/>
        <w:t xml:space="preserve">2. The examination of the practices of the Pierre Fabre group was separated by the General Rapporteur on October 30, 2006. The contentious procedure against the latter has therefore followed its course under number 06/0044-2 F.  </w:t>
        <w:br/>
        <w:t xml:space="preserve">B. THE SCOPE OF DECISION NO. 07-D-07  </w:t>
        <w:br/>
        <w:t xml:space="preserve">3. It should be specified from the outset that decision No. 07-D-07 of March 8, 2007, by which the Council, after accepting and making mandatory the commitments proposed by the other manufacturers, closed the case concerning them on the basis of I of Article L. 464-2 of the Commercial Code, only noted that the implementation of the commitments undertaken addressed the competition concerns highlighted during the investigation of the case. It did not make any qualification of the practices in light of Articles L. 420-1 of the Commercial Code or 81 of the Treaty. It cannot therefore constitute a precedent that could bind the Council in its assessment of the practices at issue in the present case.  </w:t>
        <w:br/>
        <w:t xml:space="preserve">C. THE RELEVANT SECTOR  </w:t>
        <w:br/>
        <w:t xml:space="preserve">1. THE PRODUCTS  </w:t>
        <w:br/>
        <w:t xml:space="preserve">4. The products concerned by the referral are cosmetic and personal hygiene products distributed through selective distribution systems and offered with the advice of a pharmacist.  </w:t>
        <w:br/>
        <w:t xml:space="preserve">5. They are part of the broader sector of cosmetic and personal hygiene products defined by Article L. 5131-1 of the Public Health Code, which states: "A cosmetic product is understood to be any substance or preparation intended to be brought into contact with the various superficial parts of the human body, notably the epidermis, the hair and scalp, the nails, the lips, the external genital organs, or with the teeth and the mucous membranes of the mouth, with the exclusive or primary aim of cleaning them, perfuming them, changing their appearance, protecting them, keeping them in good condition, or correcting body odors." As such, they are subject to certain legislative requirements regarding their composition or labeling. However, they do not fall into the category of medicines which, according to Article L. 5111-1 of the same code, "possess preventive or curative properties with respect to human diseases"; they are not subject to the pharmacist monopoly provided for in Article L. 4211-1 of the Public Health Code. Public regulation therefore does not prevent these products from being freely marketed outside the pharmacy circuit.  </w:t>
        <w:br/>
        <w:t xml:space="preserve">6. In 2007, sales in France of cosmetic products sold "on pharmaceutical advice," that is to say benefiting from the advice offered by a pharmacy graduate, amounted to more than 1.66 billion euros, distributed among beauty products for women, for men, for babies, hair products, oral hygiene products, and care products, as well as perfumes.  </w:t>
        <w:br/>
        <w:t xml:space="preserve">2. THE MANUFACTURERS  </w:t>
        <w:br/>
        <w:t xml:space="preserve">7. In the market for cosmetic and personal hygiene products, inter-brand competition appears to be fierce due to, among other things, the nature of the products for which innovation plays a major role. Thus, in the last five years, new brands have managed to capture market shares of around 2 to 3 points, such as Nuxe or Caudalie. Oenobiol has focused on dietary supplements. The two groups Pierre Fabre and Cosmétique Active France, a subsidiary of L'Oréal, remain predominant with respective market shares of 20% and 18.6% in 2007 due to both their longevity and their "portfolio" of brands. Johnson &amp; Johnson Consumer France held the third place in 2005.  </w:t>
        <w:br/>
        <w:t xml:space="preserve">3. THE DISTRIBUTORS  </w:t>
        <w:br/>
        <w:t xml:space="preserve">8. The distribution channels are primarily pharmacies, independent parapharmacies or those integrated within large food stores, as well as perfumeries. However, pharmacies remain the preferred marketing channel for laboratories, accounting for more than two-thirds of sales. Having held a distribution monopoly until the end of the 1980s, they have an unmatched territorial network that gives them a decisive advantage in distribution. This advantage is complemented by the positive image brought by the presence of the pharmacist and the proximity of the sale, within the pharmacy, of prescription medications.  </w:t>
        <w:br/>
        <w:t xml:space="preserve">4. ONLINE SALES  </w:t>
        <w:br/>
        <w:t>9. According to the administrative data in the file, online sales, across all products and services, continue their strong growth and exceeded 16 billion euros in France in 2007 (up 35% from 2006 with 180 million transactions). Each online buyer spends an average of 800 euros per year and makes nearly nine orders via the Internet. The number of merchant sites has seen a strong increase with 13,000 new merchant sites in 2007, representing a 54% increase. It appears that sites related to fashion and beauty continued to grow in 2007. Online commerce attracted 21 million buyers in</w:t>
      </w:r>
    </w:p>
    <w:p>
      <w:r>
        <w:rPr>
          <w:b/>
        </w:rPr>
        <w:t>[Pages 4–6]</w:t>
      </w:r>
    </w:p>
    <w:p>
      <w:r>
        <w:t>interdits la vente sur Internet, sont conclus uniquement entre Pierre Fabre Dermo-Cosmétique et ses distributeurs agréés.</w:t>
      </w:r>
    </w:p>
    <w:p>
      <w:r>
        <w:t>29. Le Conseil considère donc que Pierre Fabre Dermo-Cosmétique est seule responsable des pratiques en cause, et que Pierre Fabre SA ne peut être tenue pour responsable des griefs formulés à l'encontre de PFDC.</w:t>
      </w:r>
    </w:p>
    <w:p>
      <w:r>
        <w:t>B. SUR LA NATURE DES PRATIQUES</w:t>
        <w:br/>
        <w:t>30. Le Conseil doit examiner si l'interdiction de vente sur Internet imposée par Pierre Fabre Dermo-Cosmétique constitue une restriction de la concurrence au sens de l'article L. 420-1 du code de commerce et de l'article 81 du traité.</w:t>
      </w:r>
    </w:p>
    <w:p>
      <w:r>
        <w:t>31. Il est établi que l'interdiction de vente sur Internet a pour effet de restreindre l'accès des consommateurs à ces produits, en limitant les canaux de distribution disponibles. Cela peut également avoir pour conséquence d'augmenter les prix pour les consommateurs, en réduisant la concurrence entre les distributeurs.</w:t>
      </w:r>
    </w:p>
    <w:p>
      <w:r>
        <w:t>32. En outre, le Conseil note que cette interdiction ne semble pas justifiée par des considérations objectives, telles que la protection de la santé publique ou la préservation de l'image de marque, dans la mesure où d'autres moyens moins restrictifs pourraient être envisagés pour atteindre ces objectifs.</w:t>
      </w:r>
    </w:p>
    <w:p>
      <w:r>
        <w:t>C. SUR LES CONSÉQUENCES DE L'INTERDICTION</w:t>
        <w:br/>
        <w:t>33. L'interdiction de vente sur Internet a également des conséquences sur la capacité des distributeurs agréés à atteindre un public plus large, en particulier dans un contexte où de plus en plus de consommateurs se tournent vers les achats en ligne.</w:t>
      </w:r>
    </w:p>
    <w:p>
      <w:r>
        <w:t>34. Le Conseil conclut que l'interdiction de vente sur Internet imposée par Pierre Fabre Dermo-Cosmétique constitue une restriction de la concurrence au sens des articles L. 420-1 du code de commerce et 81 du traité, et qu'elle doit être considérée comme une pratique anticoncurrentielle.</w:t>
      </w:r>
    </w:p>
    <w:p>
      <w:r>
        <w:t>D. SUR LES SANCTIONS</w:t>
        <w:br/>
        <w:t>35. En conséquence, le Conseil envisage d'imposer des sanctions à Pierre Fabre Dermo-Cosmétique pour cette pratique anticoncurrentielle, afin de dissuader de telles actions à l'avenir et de rétablir une concurrence effective sur le marché des produits cosmétiques et d'hygiène corporelle.</w:t>
      </w:r>
    </w:p>
    <w:p>
      <w:r>
        <w:rPr>
          <w:b/>
        </w:rPr>
        <w:t>[Pages 7–9]</w:t>
      </w:r>
    </w:p>
    <w:p>
      <w:r>
        <w:t>a parent company of the previous one.</w:t>
      </w:r>
    </w:p>
    <w:p>
      <w:r>
        <w:t>28. The Council notes that Pierre Fabre SA, the holding company of the group, does not intervene in the determination of the commercial and financial policies of PFDC, which solely defines its strategic orientations. In particular, the distribution contracts, one of the clauses of which is precisely the subject of the present procedure, are designed, negotiated, and concluded entirely autonomously by PFDC.</w:t>
      </w:r>
    </w:p>
    <w:p>
      <w:r>
        <w:t>29. In light of these elements, the Council considers that the company Pierre Fabre Dermo-Cosmétique, which received the complaint, is the author of the practices in question and that it is appropriate to exclude Pierre Fabre SA from liability.</w:t>
      </w:r>
    </w:p>
    <w:p>
      <w:r>
        <w:t>B. ON THE DEFINITION OF THE RELEVANT MARKET</w:t>
      </w:r>
    </w:p>
    <w:p>
      <w:r>
        <w:t>30. Cosmetic and personal hygiene products sold on pharmaceutical advice are distinguished not only from cosmetic and personal hygiene products by their high-end image and price positioning but also from branded products sold in perfumeries.</w:t>
      </w:r>
    </w:p>
    <w:p>
      <w:r>
        <w:t>31. These products indeed benefit from a price positioning as well as a medicalized and high-end image that differentiate them from other cosmetic products marketed in supermarkets or department stores. As the Council pointed out in its decision No. 87-D-15 of June 9, 1987, these products "are sold under multiple brands, the main criterion for differentiation being their mode of distribution. Four circuits are distinguished: pharmacy (...), selective distribution (...), mass distribution (...) and direct sales (...). The respective share of sales made by each mode of distribution, however, varies depending on the market segments (...). The average price levels observed in the various distribution circuits are very different (...). Several other studies submitted to the file show that consumers attribute specific qualities to each distribution circuit. The choice of a distribution circuit by customers seems closely dependent on the brand image associated with the products. But this image itself is a function of the mode of distribution of the products and the importance of investments."</w:t>
      </w:r>
    </w:p>
    <w:p>
      <w:r>
        <w:t>32. Furthermore, according to statements collected during the investigation from laboratories, cosmetic and personal hygiene products sold on pharmaceutical advice, whether in pharmacies, parapharmacies, or perfumeries, for which the presence of a pharmacy graduate is contractually required by the laboratories, are subject to dermatological and clinical tests conducted by the laboratories prior to their market launch. In this respect, they differ from branded products sold only in perfumeries, such as the Clinique brand.</w:t>
      </w:r>
    </w:p>
    <w:p>
      <w:r>
        <w:t>33. Cosmetic and personal hygiene products sold on the advice of a pharmacist therefore constitute a relevant market, given the specificity of their marketing methods (pharmacy, parapharmacy, and perfumery with the presence of a pharmacy graduate), their "medicalized" image, their price positioning, and finally the clinical tests prior to their commercialization. This market is of national dimension.</w:t>
      </w:r>
    </w:p>
    <w:p>
      <w:r>
        <w:t>34. The delimitation of the relevant market has not been contested by the parties involved.</w:t>
      </w:r>
    </w:p>
    <w:p>
      <w:r>
        <w:t>C. ON THE AFFECTATION OF INTRA-COMMUNITY TRADE</w:t>
      </w:r>
    </w:p>
    <w:p>
      <w:r>
        <w:t>35. According to the European Commission's guidelines on the notion of affectation of trade (2004/C 101/07), three elements must be demonstrated to establish that the practices are likely to significantly affect intra-community trade: the existence of exchanges between Member States concerning the products subject to the practice (first point), the existence of practices likely to affect these exchanges (second point), and the sensitive nature of this possible effect (third point).</w:t>
      </w:r>
    </w:p>
    <w:p>
      <w:r>
        <w:t>36. Regarding the first two points, the practice in question, consisting of the presence in the selective distribution contracts of Pierre Fabre Dermo-Cosmétique of a clause effectively prohibiting members of its network from selling the laboratory's products online, is, by its very nature, likely to affect the flow of intra-community trade. This practice indeed amounts to prohibiting the more than 23,000 sales outlets distributed across French territory, members of the distribution network of the Pierre Fabre group, from responding to orders from consumers in other Member States and thus, to compartmentalizing the market to the sole French territory by hindering the direct development of intra-community exchanges to which the Internet offers the opportunity for development.</w:t>
      </w:r>
    </w:p>
    <w:p>
      <w:r>
        <w:t>37. This analysis has been confirmed by the Paris Court of Appeal which, in a judgment of October 16, 2007 (Bijourama), ruled, in a case concerning the sale of watches, that restrictions on Internet sales imposed on a selective distribution network were likely to affect intra-community trade: "In this case, the conditions under which members of the Festina France network can sell the watches supplied by this company on the Internet are at issue, and the question of whether 'pure player' resellers like Bijourama are entitled to make such sales; given the importance of the distribution network of Festina France, its distribution across the entire territory, including border areas, and the vocation of all its distributors to sell on the Internet, which is by nature open to cross-border trade, the competition issues raised are likely to affect intra-community trade and therefore fall under the application of community competition law."</w:t>
      </w:r>
    </w:p>
    <w:p>
      <w:r>
        <w:t xml:space="preserve">38. Regarding the third point, paragraph 53 of the European Commission's guidelines on the notion of affectation of trade (2004/C 101/07) lists the two alternative thresholds beyond which an agreement is presumed to significantly affect trade between Member States: </w:t>
        <w:br/>
        <w:t xml:space="preserve">- the total market share of the parties in the relevant community market affected by the agreement exceeds 5%; </w:t>
        <w:br/>
        <w:t>- or, in the case of vertical agreements, the total annual turnover achieved in the community by the supplier with the products concerned by the agreement exceeds 40 million euros.</w:t>
      </w:r>
    </w:p>
    <w:p>
      <w:r>
        <w:t>39. This threshold of 40 million euros is calculated, according to paragraph 54 of the guidelines, based on the total sales excluding taxes made in the Community during the past financial year by the company concerned with the products covered by the agreement.</w:t>
      </w:r>
    </w:p>
    <w:p>
      <w:r>
        <w:t>40. In this case, the turnover of the Pierre Fabre group achieved in 2007 in the Community with the products concerned by the disputed clause far exceeds the threshold of 40 million, as indicated by the data in paragraph 18.</w:t>
      </w:r>
    </w:p>
    <w:p>
      <w:r>
        <w:t>41. It follows from the above that the practices are presumed to significantly affect intra-community trade. This presumption is not rebutted by the companies involved, which do not contest the application of community law in this case.</w:t>
      </w:r>
    </w:p>
    <w:p>
      <w:r>
        <w:t>D. ON THE PRACTICES</w:t>
      </w:r>
    </w:p>
    <w:p>
      <w:r>
        <w:t>1° The analysis of vertical agreements</w:t>
      </w:r>
    </w:p>
    <w:p>
      <w:r>
        <w:t>42. Given the potential for significant affectation of intra-community trade, the legality of the selective distribution system established by Pierre Fabre Dermo-Cosmétique will be examined not only on the basis of Article L.420-1 of the Commercial Code but also of Article 81 of the Treaty.</w:t>
      </w:r>
    </w:p>
    <w:p>
      <w:r>
        <w:t>43. Article 81, paragraph 1, prohibits "all agreements between undertakings, all decisions by associations of undertakings and all concerted practices which are likely to affect trade between Member States and which have as their object or effect the prevention, restriction or distortion of competition within the common market (...)". Similarly, Article L.420-1 of the Commercial Code prohibits "concerted actions, agreements, express or tacit arrangements or coalitions", "when they have as their object or may have as their effect the prevention, restriction or distortion of competition in a market".</w:t>
      </w:r>
    </w:p>
    <w:p>
      <w:r>
        <w:t>44. Restrictive agreements can restrict competition by their object or by their effects, the demonstration of an anti-competitive object dispensing with the need to prove the existence of anti-competitive effects (Court of Justice, June 30, 1966, Société technique minière; July 17, 1997, Ferrière Nord, C-219/95, paragraphs 14 and 15) (a). Agreements containing "characterized restrictions", within the meaning of European Regulation (EC) No. 2790/99 of December 22, 1999, concerning the application of Article 81, paragraph 3 of the Treaty to categories of vertical agreements and concerted practices, are excluded from the category exemption provided for in this text, but may, if they make a sufficient contribution to economic progress, benefit from an individual exemption, under the conditions defined in paragraph 3 of Article 81 of the Treaty or Article L. 420-4 of the Commercial Code (b).</w:t>
      </w:r>
    </w:p>
    <w:p>
      <w:r>
        <w:t>a) Restrictions of competition by object</w:t>
      </w:r>
    </w:p>
    <w:p>
      <w:r>
        <w:t>45. According to Article 21 of the Commission's guidelines concerning the application of Article 81, paragraph 3 of the Treaty (2004/C 101/08), "agreements having as their object to restrict the play of competition are those which, by their nature, have the capacity to do so. These are restrictions which, in light of the objectives pursued by the community competition rules, are so likely to have negative effects on competition that it is unnecessary, for the purposes of applying Article 81, paragraph 1, to demonstrate that they have concrete effects on the market. This presumption is based on the severity of the restriction and on the experience that shows that restrictions of competition by object are likely to have negative effects on the market and jeopardize the objectives pursued by the community competition rules. (...)".</w:t>
      </w:r>
    </w:p>
    <w:p>
      <w:r>
        <w:t>46. Under consistent case law from both community and national courts and competition authorities, practices that impose resale prices or limit production or sales necessarily have an anti-competitive object, without the need to measure their concrete effects.</w:t>
      </w:r>
    </w:p>
    <w:p>
      <w:r>
        <w:t>47. According to Article 23 of the aforementioned guidelines, "(...). As a general rule, the Commission considers as restrictions by object those that are prohibited in the block exemption regulations or are defined as characterized restrictions in the guidelines and communications. (...)".</w:t>
      </w:r>
    </w:p>
    <w:p>
      <w:r>
        <w:rPr>
          <w:b/>
        </w:rPr>
        <w:t>[Pages 10–12]</w:t>
      </w:r>
    </w:p>
    <w:p>
      <w:r>
        <w:t>48. Regarding vertical agreements, as the Council recalled in its thematic study of the 2003 annual report titled "object, effect and anti-competitive intention" (page 60), these characterized restrictions are listed in Articles 4 and 5 of Regulation No. 2790/1999 of December 22, 1999, concerning the application of Article 81(3) of the EC Treaty to categories of vertical agreements and concerted practices.</w:t>
      </w:r>
    </w:p>
    <w:p>
      <w:r>
        <w:t>49. This block exemption regulation creates a presumption of legality for vertical agreements when the market share held by the supplier in the relevant market in which it sells its goods and services does not exceed 30%. This presumption of legality falls when these agreements contain characterized restrictions, listed in Article 4: these restrictions consist of "the restriction of the buyer's ability to determine its selling price (...)" (a); "the restriction concerning the territory in which, or the clientele to which, the buyer may sell the contractual goods or services" (b); "the restriction of active or passive sales within a selective distribution network" (c); "and finally the restriction of cross deliveries within a selective distribution network" (d).</w:t>
      </w:r>
    </w:p>
    <w:p>
      <w:r>
        <w:t>50. The regulation specifically classifies, among the restrictions leading to the non-application of the block exemption to vertical agreements, "the restrictions of active sales or passive sales to end users by members of a selective distribution system operating as retailers in the market, without prejudice to the possibility of prohibiting a member of the system from operating from an unauthorized place of establishment" (point c).</w:t>
      </w:r>
    </w:p>
    <w:p>
      <w:r>
        <w:t>51. Agreements containing such restrictions, which cannot benefit from the block exemption of the regulation, are nevertheless eligible for individual exemption.</w:t>
      </w:r>
    </w:p>
    <w:p>
      <w:r>
        <w:t>b) The individual exemption provided for in paragraph 3 of Article 81 of the Treaty and Article L. 420-4 of the Commercial Code</w:t>
      </w:r>
    </w:p>
    <w:p>
      <w:r>
        <w:t>52. Paragraph 3 of Article 81 of the Treaty states that "the provisions of paragraph 1 may be declared inapplicable: to any agreement or category of agreements between undertakings (...) which contribute to improving the production or distribution of products or to promoting technical or economic progress, while allowing consumers a fair share of the resulting benefit, and without:</w:t>
        <w:br/>
        <w:t>a) imposing on the undertakings concerned restrictions that are not indispensable to achieving these objectives;</w:t>
        <w:br/>
        <w:t>b) giving undertakings the possibility, for a substantial part of the products in question, of eliminating competition."</w:t>
      </w:r>
    </w:p>
    <w:p>
      <w:r>
        <w:t>53. Article L. 420-4(2) of the Commercial Code provides that "the practices are not subject to the provisions of Articles L. 420-1 and L. 420-2: (...) whose authors can justify that they have the effect of ensuring economic progress, including through the creation or maintenance of jobs, and that they reserve to users a fair share of the resulting profit, without giving the undertakings concerned the possibility of eliminating competition for a substantial part of the products in question (...)".</w:t>
      </w:r>
    </w:p>
    <w:p>
      <w:r>
        <w:t>54. The burden of demonstrating that these conditions are met lies with the undertakings that are the authors of the practices.</w:t>
      </w:r>
    </w:p>
    <w:p>
      <w:r>
        <w:t>2° The assessment of the practice</w:t>
      </w:r>
    </w:p>
    <w:p>
      <w:r>
        <w:t>55. The two steps recalled above will be followed for the purposes of the demonstration: the restrictive nature of competition by object of the practice in question within the meaning of Articles 81 §1 of the Treaty and L. 420-1 of the Commercial Code; the examination of the justifications provided by the parties concerned in light of paragraph 3 of Article 81 of the Treaty and 2° of I of Article L. 420-4 of the Commercial Code.</w:t>
      </w:r>
    </w:p>
    <w:p>
      <w:r>
        <w:t>a) The restriction of competition and its possible "category" exemption</w:t>
      </w:r>
    </w:p>
    <w:p>
      <w:r>
        <w:t>56. The selective distribution contracts signed between PFDC and its distributors stipulate that the sale of its cosmetic and personal hygiene products will be exclusively carried out within a physical space, in the presence of a pharmacist. This system therefore prohibits sales via the Internet.</w:t>
      </w:r>
    </w:p>
    <w:p>
      <w:r>
        <w:t>57. By imposing a prohibition on its authorized distributors from selling the products online, PFDC immediately limits the commercial freedom of its distributors by excluding a means of marketing its cosmetic and personal hygiene products. As a result, it restricts the choices of consumers wishing to purchase online and prevents sales to end buyers who are not located within the "physical" catchment area of the authorized distributor. The use of the Internet indeed allows consumers to visit a distributor's website, order the product, and have it delivered without having to travel.</w:t>
      </w:r>
    </w:p>
    <w:p>
      <w:r>
        <w:t>58. The prohibition on authorized distributors from selling Pierre Fabre group products online deprives them of the ability to prospect for customers by sending messages or to respond to unsolicited requests made on their site. This practice therefore amounts to a limitation of the active and passive sales of the distributors.</w:t>
      </w:r>
    </w:p>
    <w:p>
      <w:r>
        <w:t>59. The prohibition on online sales that limits sales within a selective distribution network necessarily has a restrictive object of competition, which adds to the inherent limitation of competition in the very choice of a selective distribution system by the manufacturer, which limits the number of distributors authorized to distribute the product and prevents distributors from selling these goods to unauthorized distributors.</w:t>
      </w:r>
    </w:p>
    <w:p>
      <w:r>
        <w:t>60. Since the market share of Pierre Fabre products is below 30%, it is necessary to determine whether the restrictive practice of competition is exemptible by category, which requires that it does not contain characterized restrictions. Although the practice of prohibiting online sales is not expressly mentioned in the community regulation, it amounts, as stated in paragraph 65, to a prohibition of active and passive sales. Consequently, practiced within a selective distribution network, it constitutes, under point c) of Article 4 of the regulation, a characterized restriction: such are "the restrictions of active sales or passive sales to end users by members of a selective distribution system operating as retailers in the market, without prejudice to the possibility of prohibiting a member of the system from operating from an unauthorized place of establishment." These restrictions cannot benefit from the automatic exemption of the regulation.</w:t>
      </w:r>
    </w:p>
    <w:p>
      <w:r>
        <w:t>61. The Commission clarified in point 54 of the guidelines on vertical restrictions (2000/C 291/01): "The characterized restriction referred to in Article 4, point c, of the block exemption regulation concerns the restriction of active or passive sales to end users, whether they are professional end users or final consumers, by members of a selective distribution system. This means that no limitation can be imposed on distributors who are members of a selective distribution network, as defined in Article 1 point d) of the regulation, regarding the users or purchasing agents acting on behalf of these users, to whom they are authorized to sell. In a selective distribution system, for example, the distributor should also be free to advertise and sell via the internet..." (Emphasis added by the Council).</w:t>
      </w:r>
    </w:p>
    <w:p>
      <w:r>
        <w:t>Response to the parties' arguments</w:t>
      </w:r>
    </w:p>
    <w:p>
      <w:r>
        <w:t>62. The company Pierre Fabre Dermo-Cosmétique emphasizes that, according to its reading of Article 4) c), the network operator retains the right to prohibit sales by an authorized distributor "from an unauthorized place of establishment," so that the criteria set by the network are not circumvented. It concludes that the prohibition on selling online is precisely covered by this exception, the Internet being in this case an unauthorized establishment since it is virtual. The prohibition on online sales would therefore not constitute a characterized restriction within the meaning of the regulation (first point). Pierre Fabre Dermo-Cosmétique denies any legal value to the guidelines (second point), but states that if the prohibition on online sales were a characterized restriction within the meaning of the regulation, no justification would be accepted in the guidelines at the stage of examining the conditions of paragraph 1 of Article 81; however, in point 51, they state that "the categorical prohibition on selling online or by catalog is admissible only if it is objectively justified" (third point). Pierre Fabre Dermo-Cosmétique then claims that even assuming the prohibition on online sales constitutes a characterized restrictive practice, it would be up to the competition authority to demonstrate the object or effect of the practice through an individual examination of the practice that the rapporteur would not have carried out in this case (fourth point). The parties add that, given the exceptional and homogeneous network constituted by the physical sales outlets of the distributors (23,000), all consumers have access to Pierre Fabre Dermo-Cosmétique resellers and thus, the practice is devoid of any effect on intra-brand competition: "the additional option of the Internet would bring no concrete effect since final consumers already have multiple resellers at their disposal, which they can put in competition" (fifth point). Finally, they cite a number of judgments and rulings which they claim establish the legality of the prohibition on online sales by a supplier (sixth point).</w:t>
      </w:r>
    </w:p>
    <w:p>
      <w:r>
        <w:t>63. However, on the first point, it should be noted that a website is not a marketing location but an alternative sales means used, like direct sales in-store or mail order, by distributors of a network with physical sales outlets. As a pharmacist stated during the investigation, selling online "is just a different, modern way of entering my pharmacy other than the front door, the phone, the fax, or the mail, which are the classic means" (references 539 and 540).</w:t>
      </w:r>
    </w:p>
    <w:p>
      <w:r>
        <w:t>64. This position is reinforced by paragraph 54 of the guidelines on vertical restrictions, which comments on these provisions as follows: "Furthermore, in the case of selective distribution, restrictions may limit a distributor's ability to determine the location of its commercial premises. Thus, selected distributors may be prohibited from conducting their business in different premises or from opening a new store in another location. If the distributor's point of sale is mobile (point of sale set up in a vehicle), an area may be assigned to it outside of which it cannot use its mobile point of sale" (Emphasis added by the Council).</w:t>
      </w:r>
    </w:p>
    <w:p>
      <w:r>
        <w:rPr>
          <w:b/>
        </w:rPr>
        <w:t>[Pages 13–15]</w:t>
      </w:r>
    </w:p>
    <w:p>
      <w:r>
        <w:t>de traitements médicaux, cela ne signifie pas que la présence physique d'un pharmacien soit indispensable lors de la vente de ces produits. Les consommateurs peuvent se renseigner sur les produits cosmétiques par d'autres moyens, y compris en ligne, et il existe de nombreux canaux d'information disponibles pour les aider à faire des choix éclairés.</w:t>
      </w:r>
    </w:p>
    <w:p>
      <w:r>
        <w:t>79. En conclusion, Pierre Fabre Dermo-Cosmétique n'a pas démontré que la restriction de vente par Internet était indispensable pour atteindre les objectifs qu'elle revendique. Les arguments avancés ne suffisent pas à justifier une exemption individuelle au regard des dispositions du droit de la concurrence. La pratique contestée ne répond pas aux critères d'exemption prévus par le droit communautaire, et il est donc nécessaire de maintenir une approche qui favorise la concurrence sur le marché des produits dermo-cosmétiques.</w:t>
      </w:r>
    </w:p>
    <w:p>
      <w:r>
        <w:rPr>
          <w:b/>
        </w:rPr>
        <w:t>[Pages 16–18]</w:t>
      </w:r>
    </w:p>
    <w:p>
      <w:r>
        <w:t>of a dermatological treatment, it is for accompanying purposes and not for curative purposes, this accompaniment remaining under the responsibility of the physician.</w:t>
      </w:r>
    </w:p>
    <w:p>
      <w:r>
        <w:t>79. Furthermore, in a judgment of December 11, 2003, Deutscher Apothekerverband (C/322/01, Rec.p.I-14887), the Court of Justice of the European Communities dismissed the arguments concerning the nature of the products in question, regarding the restrictions imposed on the online distribution of non-prescription medicines, in light of the principle of free movement of goods. It ruled that the regulation prohibiting pharmacists from selling non-prescription medicines online in the Member State where the buyer is located constituted an unjustified restriction on this principle: "As for medicines that are not subject to medical prescription, none of the justifications invoked could validly support the absolute prohibition of their sale by mail order. Firstly, regarding the necessity to inform and advise the customer when purchasing a medicine, the possibility of providing sufficient information and advice cannot be excluded. Furthermore, as rightly pointed out by the defendants in the main proceedings, purchasing online could present advantages, such as the ability to place an order from home or the office, without the need to travel, and to calmly formulate questions to ask pharmacists, advantages that must be taken into account. As for the argument that the ability of 'virtual pharmacists' to react would be less than that of retail pharmacists, the disadvantages invoked in this regard concern, on the one hand, the possible misuse of the medicine in question and, on the other hand, the potential abuse of it. Regarding the possible misuse of the medicine, such a risk could be mitigated by the increase in interactive elements available on the Internet that must be used by the customer before they can proceed with a purchase. As for the possibility of abuse, it is not evident that, for those who wish to acquire medicines that are not subject to medical prescription in an abusive manner, purchasing from traditional pharmacies actually presents more difficulties than purchasing online. Secondly, concerning the category of medicines that are not subject to medical prescription, considerations related to their dispensing are not of a nature to justify the absolute prohibition of their sale by mail order."</w:t>
      </w:r>
    </w:p>
    <w:p>
      <w:r>
        <w:t>80. All these arguments are a fortiori transposable to dermo-cosmetic products, which are not medicines.</w:t>
      </w:r>
    </w:p>
    <w:p>
      <w:r>
        <w:t>81. Pierre Fabre Dermo-Cosmétique does not further demonstrate how the contested practice would be necessary to enable the monitoring system called "cosmetovigilance." Cosmetovigilance requires healthcare professionals to report adverse effects of cosmetic products. According to Pierre Fabre Dermo-Cosmétique, only visual contact between the pharmacist and users of the products would ensure this monitoring. However, the negative effects related to the use of the products are only detectable once the product is purchased, regardless of the means of acquisition, and not at the time of purchase. The patient will therefore tend to consult a doctor in the event of negative effects from the product. The document from Afssaps provided by the parties also mentions that more than 60% of reports come from doctors and not from pharmacists, who are responsible for only 10% of these (about ten reports per year for all 23,000 pharmacies). Moreover, among the hundred reports of adverse effects detected each year, the main ones include tattoos and products containing vitamin K1, which are not marketed by Pierre Fabre Dermo-Cosmétique.</w:t>
      </w:r>
    </w:p>
    <w:p>
      <w:r>
        <w:t>82. On the fourth point, the fact that online distribution does not necessarily lead to a decrease in retail prices, which has not been demonstrated by Pierre Fabre Dermo-Cosmétique, is irrelevant in this case. Indeed, in the absence of the contested restriction, the gains for consumers could also lie in the improvement of the service offered by distributors and not only in price reductions. The ability to purchase products online indeed provides consumers with an additional service compared to purchasing in physical stores: ordering and buying products remotely, without time limitations. The use of the Internet also facilitates access to information about products and allows consumers to make price comparisons.</w:t>
      </w:r>
    </w:p>
    <w:p>
      <w:r>
        <w:t>83. It follows from the above that Pierre Fabre Dermo-Cosmétique has not demonstrated that the conditions set out in the third paragraph of Article 81 of the Treaty or in 2° of I of Article L. 420-4 of the Commercial Code are met.</w:t>
      </w:r>
    </w:p>
    <w:p>
      <w:r>
        <w:t>c) Conclusion</w:t>
      </w:r>
    </w:p>
    <w:p>
      <w:r>
        <w:t>84. It follows from the above that the prohibition imposed by Pierre Fabre Dermo-Cosmétique on its authorized distributors from selling via the Internet constitutes a restriction of competition contrary to Articles 81 of the Treaty and L. 420-1 of the Commercial Code.</w:t>
      </w:r>
    </w:p>
    <w:p>
      <w:r>
        <w:t>On the follow-up actions</w:t>
      </w:r>
    </w:p>
    <w:p>
      <w:r>
        <w:t>85. Pursuant to Article L. 464-2 of the Commercial Code, "The Competition Council may order the parties to cease anti-competitive practices within a specified period or impose specific conditions. (...). It may impose a financial penalty applicable either immediately, or in the event of non-compliance with the injunctions or in the event of non-compliance with the commitments it has accepted. Financial penalties are proportionate to the seriousness of the alleged facts, the extent of the damage caused to the economy, the situation of the sanctioned organization or company or the group to which the company belongs, and any potential recurrence of practices prohibited by this title. They are determined individually for each sanctioned company or organization and reasoned for each sanction. (...). If the offender is not a company, the maximum amount of the penalty is 3 million euros. The maximum amount of the penalty for a company is 10% of the highest amount of worldwide turnover excluding taxes achieved during one of the financial years closed since the financial year preceding that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The Competition Council may order the publication, dissemination, or posting of its decision or an excerpt thereof in the manner it specifies. It may also order the insertion of the decision or an excerpt thereof in the report prepared on the operations of the financial year by the managers, the board of directors, or the executive board of the company. The costs are borne by the interested party."</w:t>
      </w:r>
    </w:p>
    <w:p>
      <w:r>
        <w:t>86. Pursuant to Article L. 464-5 of the Commercial Code, "the Council, when ruling under the simplified procedure provided for in Article L. 463-3, may impose the measures provided for in I of Article L. 464-2. However, the financial penalty may not exceed 750,000 euros for each of the authors of the prohibited practices."</w:t>
      </w:r>
    </w:p>
    <w:p>
      <w:r>
        <w:t>On the seriousness of the practices and the damage to the economy</w:t>
      </w:r>
    </w:p>
    <w:p>
      <w:r>
        <w:t>87. The parties allege that the practice had no effect on inter-brand and intra-brand competition, due both to the intensity of competition among manufacturers of cosmetic and personal hygiene products noted in decision No. 07-D-07 of March 8, 2007, and the exceptional territorial coverage of the distributors of Pierre Fabre products, making the emergence of another marketing channel for the products unnecessary.</w:t>
      </w:r>
    </w:p>
    <w:p>
      <w:r>
        <w:t>88. However, collusive practices aimed at obstructing competition and limiting or controlling outlets are among the practices that the Council deems harmful to the proper functioning of the market.</w:t>
      </w:r>
    </w:p>
    <w:p>
      <w:r>
        <w:t>89. It should be recalled that the contested practice constitutes a "characterized restriction" under European Regulation No. 2790 of December 27, 1999. While it does not reach the severity of a horizontal agreement, it is serious by nature as it results in closing a marketing channel to the detriment of consumers and distributors.</w:t>
      </w:r>
    </w:p>
    <w:p>
      <w:r>
        <w:t>90. The damage to the economy is assessed by taking into account the duration of the practices, the size of the affected market, and the potential anti-competitive effects of the practices on the relevant market.</w:t>
      </w:r>
    </w:p>
    <w:p>
      <w:r>
        <w:t>91. The infringement is a continuous infringement, as the contested clause in the selective distribution contracts of Pierre Fabre Dermo-Cosmétique has not been modified to this day.</w:t>
      </w:r>
    </w:p>
    <w:p>
      <w:r>
        <w:t>92. The national market for dermo-cosmetic products in specialized circuits (pharmacies and parapharmacies) was estimated at 1.65 billion euros in 2006. It is a growing market, with strong growth potential, according to the Xerfi study.</w:t>
      </w:r>
    </w:p>
    <w:p>
      <w:r>
        <w:t>93. By prohibiting online sales by its authorized distributors, Pierre Fabre Dermo-Cosmétique limited the distribution of its products through a new distribution channel and restricted competitive pressure among distributors, due to the reduced number of authorized sales outlets in the same catchment area. Thus, the hindrance to the development of this mode of distribution weakened intra-brand competition.</w:t>
      </w:r>
    </w:p>
    <w:p>
      <w:r>
        <w:t>On the specific situation of Pierre Fabre Dermo-Cosmétique</w:t>
      </w:r>
    </w:p>
    <w:p>
      <w:r>
        <w:t>94. The consolidated turnover of the group amounted to 1,680 million euros in 2007, with the group's turnover in France at 921 million euros. The total turnover of Pierre Fabre Dermo-Cosmétique reached 614 million euros in 2007, of which 336 million in France.</w:t>
      </w:r>
    </w:p>
    <w:p>
      <w:r>
        <w:t>95. Given the circumstances of the case, the Council favors a solution aimed at quickly restoring competitive conditions in the relevant market and primarily orders Pierre Fabre Dermo-Cosmétique to remove, in its selective distribution contracts, all mentions equivalent to a prohibition on selling its cosmetic and personal hygiene products online and to expressly provide in these contracts for the possibility for its distributors to use this mode of distribution, within a period of three months from the notification of this decision.</w:t>
      </w:r>
    </w:p>
    <w:p>
      <w:r>
        <w:t>96. It is also necessary to order the company to inform its distributors of these changes by sending a registered letter with acknowledgment of receipt, to which the summary below will be attached, preceded by the title: "Decision of the Competition Council concerning Pierre Fabre Dermo-Cosmétique."</w:t>
      </w:r>
    </w:p>
    <w:p>
      <w:r>
        <w:rPr>
          <w:b/>
        </w:rPr>
        <w:t>[Pages 19–20]</w:t>
      </w:r>
    </w:p>
    <w:p>
      <w:r>
        <w:t>97. "In decision No. 08-D-25 of October 29, 2008, the Competition Council found that the company Pierre Fabre Dermo-Cosmétique, by imposing a prohibition on all its authorized distributors from selling online, as stated in its general terms and conditions of distribution and sale, limited the commercial freedom of these distributors by depriving them of a marketing method with significant growth potential and unduly restricted the choices of consumers wishing to obtain the products through this mode of distribution, which allows them to purchase 365 days a year, 24 hours a day, and from any location without travel. This practice constitutes a restriction of competition contrary to Article 81 §1 of the Treaty and L. 420-1 of the Commercial Code. The company Pierre Fabre Dermo-Cosmétique could not justify its practice under Articles 81 §3 of the Treaty and L. 420-4 of the Commercial Code. The company primarily argued that the nature, technicality, and quality of its cosmetic and personal hygiene products, developed with a care perspective, required the intervention of a pharmacist at physical sales points and excluded the possibility of distributing them online. However, the Council noted that these products were not comparable to medicines and did not have any curative properties, and that the quality of Pierre Fabre products was sufficiently guaranteed by the selective distribution chosen by this company. The Council believes, in this regard, that the selection criteria of the selective distribution system defined by Pierre Fabre and intended to highlight its products can be adapted to websites.</w:t>
      </w:r>
    </w:p>
    <w:p>
      <w:r>
        <w:t>By prohibiting its authorized distributors from selling the cosmetic and personal hygiene products of the Klorane, Avène, Ducray, and Galénic brands via the Internet, the company Pierre Fabre Dermo-Cosmétique deprived consumers of the pro-competitive effects that can be expected from the online sale of products distributed by a selective network. This mode of marketing indeed allows consumers to access services that physical store sales cannot provide, such as home delivery or the real-time availability of extensive documentation for the buyer, and has the effect of stimulating price competition while encouraging distributors to provide more services to attract or retain their customers. The Competition Council ordered the company Pierre Fabre Dermo-Cosmétique to amend its contracts within three months to now allow the sale, by authorized distributors, of its products via the Internet. The entirety of the Council's decision is available on the Competition Council's website: www.conseil-concurrence.fr".</w:t>
      </w:r>
    </w:p>
    <w:p>
      <w:r>
        <w:t>98. Finally, taking into account the general and individual considerations mentioned above, as well as the expected effect of the injunctions issued, it is appropriate to limit the sanction imposed on the company Pierre Fabre Dermo-Cosmétique to the sum of 17,000 euros.</w:t>
      </w:r>
    </w:p>
    <w:p>
      <w:r>
        <w:t xml:space="preserve">DECISION </w:t>
        <w:br/>
        <w:t xml:space="preserve">Article 1: The company Pierre Fabre SA is dismissed from the case. </w:t>
        <w:br/>
        <w:t xml:space="preserve">Article 2: It is established that the company Pierre Fabre Dermo-Cosmétique has violated the provisions of Article L. 420-1 of the Commercial Code and Article 81 of the Treaty. </w:t>
        <w:br/>
        <w:t xml:space="preserve">Article 3: The company Pierre Fabre Dermo-Cosmétique is ordered to remove, in its selective distribution contracts, all references equivalent to a prohibition on Internet sales of its cosmetic and personal hygiene products and to expressly provide for the possibility for its distributors to use this mode of distribution, within three months from the notification of this decision. Pierre Fabre Dermo-Cosmétique will send, by registered mail, a copy of the modified contracts to the procedure office of the Competition Council. </w:t>
        <w:br/>
        <w:t xml:space="preserve">Article 4: The company Pierre Fabre Dermo-Cosmétique is ordered to send to all its sales points, within three months from the notification of this decision, a registered letter with acknowledgment of receipt informing them of the modifications made to their selective distribution contracts, as described in Article 3, attaching the summary of the decision mentioned in point 96 of the decision. Pierre Fabre Dermo-Cosmétique will send, by registered mail, a copy of this letter to the procedure office of the Competition Council. </w:t>
        <w:br/>
        <w:t xml:space="preserve">Article 5: The company Pierre Fabre Dermo-Cosmétique is ordered, if it deems it appropriate to frame the construction of the websites of its distribution network by providing criteria for the presentation or configuration of the sites, to inform the Competition Council, by registered mail addressed to the procedure office, within three months from the notification of this decision. </w:t>
        <w:br/>
        <w:t>Article 6: A sanction of 17,000 euros is imposed on the company Pierre Fabre Dermo-Cosmétique.</w:t>
      </w:r>
    </w:p>
    <w:p>
      <w:r>
        <w:t xml:space="preserve">Deliberated on the oral report of Ms. Toulemont-Dakouré, by Mr. Nasse, Vice-President, presiding over the session, Ms. Pinot, Messrs. Bidaud, Combe, Dalin, Piot, members. </w:t>
        <w:br/>
        <w:t xml:space="preserve">The session secretary, The Vice-President, </w:t>
        <w:br/>
        <w:t xml:space="preserve">Véronique Letrado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