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https://www.autoritedelaconcurrence.fr/fr/decision/relative-des-pratiques-mises-en-oeuvre-dans-le-secteur-de-la-distribution-des-produits-de</w:t>
      </w:r>
    </w:p>
    <w:p>
      <w:r>
        <w:t>Pages translated : 12</w:t>
      </w:r>
    </w:p>
    <w:p/>
    <w:p>
      <w:r>
        <w:rPr>
          <w:b/>
        </w:rPr>
        <w:t>[Pages 1–3]</w:t>
      </w:r>
    </w:p>
    <w:p>
      <w:r>
        <w:t xml:space="preserve">FRENCH REPUBLIC  </w:t>
        <w:br/>
        <w:t xml:space="preserve">Decision No. 16-D-15 of July 6, 2016  </w:t>
        <w:br/>
        <w:t xml:space="preserve">regarding practices implemented in the sector of  </w:t>
        <w:br/>
        <w:t xml:space="preserve">distribution of consumer goods in Overseas Territories  </w:t>
        <w:br/>
        <w:t xml:space="preserve">The Competition Authority (Section V)  </w:t>
        <w:br/>
        <w:t xml:space="preserve">In view of decision No. 10-SO-01 of January 29, 2010, registered under number 10/0005F, by which the Competition Authority took up ex officio practices implemented in the sector of distribution of consumer goods in the overseas departments pursuant to the provisions of Article L. 462-5 of the Commercial Code;  </w:t>
        <w:br/>
        <w:t xml:space="preserve">In view of decision No. 14-SO-06 of October 14, 2014, registered under number 14/0078F, by which the Authority extended its ex officio inquiry to practices implemented in the sector of distribution of consumer goods in all overseas collectivities for which the Authority is competent;  </w:t>
        <w:br/>
        <w:t xml:space="preserve">In view of the decision of October 17, 2014, by which the General Rapporteur joined the investigation of these two cases;  </w:t>
        <w:br/>
        <w:t xml:space="preserve">In view of the decision of March 31, 2015, by the Deputy General Rapporteur, by which the investigation of the aspects of inquiries 10/0005F and 14/0078F concerning practices other than those implemented by the companies Bolton Solitaire SA, Danone SA, Johnson &amp; Johnson Santé et Beauté France, and Pernod-Ricard was separated and a distinct case was opened for this matter under number 15/0029F;  </w:t>
        <w:br/>
        <w:t xml:space="preserve">In view of the decision of November 23, 2015, by which the Deputy General Rapporteur of the Competition Authority separated the investigation of case 15/0029F for the part relating to practices concerning the company Henkel France and opened a new case registered under No. 15/0107F;  </w:t>
        <w:br/>
        <w:t xml:space="preserve">In view of the decision of the General Rapporteur dated February 12, 2016, taken pursuant to Article L. 463-3 of the Commercial Code, which provides that the matter will be subject to a decision by the Competition Authority without prior establishment of a report;  </w:t>
        <w:br/>
        <w:t xml:space="preserve">In view of the transaction report dated April 14, 2016, signed by the Deputy General Rapporteur and the companies General Import and ADLP pursuant to the provisions of III of Article L. 464-2 of the Commercial Code;  </w:t>
        <w:br/>
        <w:t xml:space="preserve">In view of the transaction report dated April 15, 2016, signed by the Deputy General Rapporteur and the companies SOGEREP, SOGEPAR, and AGENCE NETTER pursuant to the provisions of III of Article L. 464-2 of the Commercial Code;  </w:t>
        <w:br/>
        <w:t xml:space="preserve">In view of the transaction report dated April 15, 2016, signed by the Deputy General Rapporteur and the companies BAMYRAG and GROUPE BERNARD HAYOT pursuant to the provisions of III of Article L. 464-2 of the Commercial Code;  </w:t>
        <w:br/>
        <w:t xml:space="preserve">In view of the transaction report dated April 15, 2016, signed by the Deputy General Rapporteur and the companies HENKEL France and HENKEL AG &amp; Co. KGAA pursuant to the provisions of III of Article L. 464-2 of the Commercial Code;  </w:t>
        <w:br/>
        <w:t xml:space="preserve">In view of the transaction report dated April 15, 2016, signed by the Deputy General Rapporteur and the companies SCAGEX and SAFO pursuant to the provisions of III of Article L. 464-2 of the Commercial Code;  </w:t>
        <w:br/>
        <w:t xml:space="preserve">In view of the transaction report dated April 15, 2016, signed by the Deputy General Rapporteur and the companies CDHP ANTILLES and VALEUR PLUS pursuant to the provisions of III of Article L. 464-2 of the Commercial Code;  </w:t>
        <w:br/>
        <w:t xml:space="preserve">In view of the decisions relating to business secrecy No. 15-DSA-73 of February 17, 2015, No. 15-DSA-103 of March 6, 2015, No. 15-DSA-116 of March 11, 2015, No. 15-DSA-119 of March 11, 2015, No. 15-DSA-124 of March 16, 2015, No. 15-DSA-313 of September 10, 2015, No. 15-DSA-314 of September 10, 2015, No. 15-DSA-368 of November 18, 2015, No. 15-DSA-379 of November 18, 2015, No. 15-DSA-389 of November 18, 2015, No. 15-DSA-390 of November 18, 2015, No. 15-DSA-391 of November 18, 2015, No. 15-DSA-435 of December 15, 2015, No. 15-DSA-436 of December 15, 2015, No. 15-DSA-439 of December 15, 2015, No. 16-DSA-17 of January 18, 2016, No. 16-DSA-31 of February 3, 2016;  </w:t>
        <w:br/>
        <w:t xml:space="preserve">In view of Book IV of the amended Commercial Code and in particular Article L. 420-2-1;  </w:t>
        <w:br/>
        <w:t xml:space="preserve">In view of Law No. 2012-1270 of November 20, 2012, relating to economic regulation in overseas territories and containing various provisions relating to overseas territories;  </w:t>
        <w:br/>
        <w:t xml:space="preserve">In view of the other documents in the file;  </w:t>
        <w:br/>
        <w:t xml:space="preserve">In view of the observations presented by the Government Commissioner;  </w:t>
        <w:br/>
        <w:t xml:space="preserve">The rapporteur, the Deputy General Rapporteur, the Government Commissioner, and the representatives of the companies GENERAL IMPORT and ADLP, the companies SOGEREP, SOGEPAR, and AGENCE NETTER, the companies CDHP Antilles and Valeur+, the companies SCAGEX and SAFO, the companies BAMYRAG and GROUPE BERNARD HAYOT, and the companies HENKEL France and HENKEL AG &amp; Co. KGAA heard during the session of the Competition Authority on June 30, 2016;  </w:t>
        <w:br/>
        <w:t>Adopts the following decision:</w:t>
      </w:r>
    </w:p>
    <w:p>
      <w:r>
        <w:t xml:space="preserve">SUMMARY  </w:t>
        <w:br/>
        <w:t xml:space="preserve">I. REMINDER OF THE PROCEDURE ............................................................................................. 4  </w:t>
        <w:br/>
        <w:t xml:space="preserve">II. FINDINGS.............................................................................................................................. 5  </w:t>
        <w:br/>
        <w:t xml:space="preserve">A. The sector and the companies concerned .......................................................... 5  </w:t>
        <w:br/>
        <w:t xml:space="preserve">1. The sector concerned .......................................................................................... 5  </w:t>
        <w:br/>
        <w:t xml:space="preserve">2. The companies concerned .................................................................................. 6  </w:t>
        <w:br/>
        <w:t xml:space="preserve">a) HENKEL France ........................................................................................... 6  </w:t>
        <w:br/>
        <w:t xml:space="preserve">b) The wholesale-importers .................................................................................. 6  </w:t>
        <w:br/>
        <w:t xml:space="preserve">B. The practices observed ...................................................................................... 7  </w:t>
        <w:br/>
        <w:t xml:space="preserve">C. The grievances notified ...................................................................................... 8  </w:t>
        <w:br/>
        <w:t xml:space="preserve">III. DISCUSSION .................................................................................................................. 9  </w:t>
        <w:br/>
        <w:t xml:space="preserve">A. On the implementation of the transaction procedure .................................. 9  </w:t>
        <w:br/>
        <w:t xml:space="preserve">B. On the existence of exclusive import rights .................................................. 10  </w:t>
        <w:br/>
        <w:t xml:space="preserve">1. For the period from March 22, 2013, to March 2014 ................................. 10  </w:t>
        <w:br/>
        <w:t xml:space="preserve">2. From March 2014 ............................................................................................ 10  </w:t>
        <w:br/>
        <w:t xml:space="preserve">C. On the sanctions ............................................................................................... 10  </w:t>
        <w:br/>
        <w:t xml:space="preserve">1. On the severity of the practices and the damage to the economy ................ 11  </w:t>
        <w:br/>
        <w:t xml:space="preserve">a) On the severity of the practices .................................................................. 11  </w:t>
        <w:br/>
        <w:t xml:space="preserve">b) On the significance of the damage to the economy ................................... 11  </w:t>
        <w:br/>
        <w:t xml:space="preserve">2. On the final amount of the sanction ................................................................. 11  </w:t>
        <w:br/>
        <w:t>DECISION ................................................................................................................................................ 12</w:t>
      </w:r>
    </w:p>
    <w:p>
      <w:r>
        <w:rPr>
          <w:b/>
        </w:rPr>
        <w:t>[Pages 4–6]</w:t>
      </w:r>
    </w:p>
    <w:p>
      <w:r>
        <w:t xml:space="preserve">I. Reminder of the Procedure  </w:t>
        <w:br/>
        <w:t xml:space="preserve">1. Following its opinion No. 09-A-45 of September 9, 2009, regarding the importation and distribution of consumer goods in the overseas departments, the Competition Authority initiated proceedings ex officio, by decision of January 29, 2010, registered under No. 10/0005 F, concerning practices in the sector of consumer goods distribution in the overseas departments. By decision of October 14, 2014, registered under No. 14/0078 F, the Authority extended its ex officio proceedings to all overseas collectivities.  </w:t>
        <w:br/>
        <w:t xml:space="preserve">2. By a decision of October 17, 2014, the investigation of the two aforementioned cases was joined.  </w:t>
        <w:br/>
        <w:t xml:space="preserve">3. By a decision of March 31, 2015, the investigation of the aspects of cases 10/0005F and 14/0078F concerning practices implemented by the companies Bolton Solitaire SA, Danone SA, Johnson &amp; Johnson Santé et Beauté France, and Pernod-Ricard in the sector of consumer goods distribution in overseas territories was separated, and a distinct case file was opened for this matter under number 15/0029F, which led to decision No. 15-D-14 of September 10, 2015. The aspect concerning practices other than those implemented by these companies was registered under No. 15/0107F.  </w:t>
        <w:br/>
        <w:t xml:space="preserve">4. On February 12, 2016, the General Rapporteur decided, pursuant to Article L. 463-3 of the Commercial Code, that the case would be subject to a decision by the Competition Authority without prior establishment of a report and sent a simplified notification of grievances for practices prohibited by Article L. 420-2-1 of the Commercial Code to the following companies:  </w:t>
        <w:br/>
        <w:t xml:space="preserve">- HENKEL France (as author),  </w:t>
        <w:br/>
        <w:t xml:space="preserve">- HENKEL AG &amp; Co. KGaA (as parent company),  </w:t>
        <w:br/>
        <w:t xml:space="preserve">- SOGEREP (as author),  </w:t>
        <w:br/>
        <w:t xml:space="preserve">- AGENCE NETTER (as parent company),  </w:t>
        <w:br/>
        <w:t xml:space="preserve">- SOGEPAR (as author),  </w:t>
        <w:br/>
        <w:t xml:space="preserve">- CDHP ANTILLES (as author),  </w:t>
        <w:br/>
        <w:t xml:space="preserve">- VALEUR PLUS (as parent company),  </w:t>
        <w:br/>
        <w:t xml:space="preserve">- GENERAL IMPORT (as author),  </w:t>
        <w:br/>
        <w:t xml:space="preserve">- ADLP (as parent company),  </w:t>
        <w:br/>
        <w:t xml:space="preserve">- SCAGEX (as author),  </w:t>
        <w:br/>
        <w:t xml:space="preserve">- SAFO (as parent company),  </w:t>
        <w:br/>
        <w:t xml:space="preserve">- BAMYRAG (as author),  </w:t>
        <w:br/>
        <w:t>- Groupe GBH (as parent company).</w:t>
      </w:r>
    </w:p>
    <w:p>
      <w:r>
        <w:t xml:space="preserve">II. Findings  </w:t>
        <w:br/>
        <w:t xml:space="preserve">A. THE SECTOR AND COMPANIES CONCERNED  </w:t>
        <w:br/>
        <w:t xml:space="preserve">1. THE SECTOR CONCERNED  </w:t>
        <w:br/>
        <w:t xml:space="preserve">5. The sector concerned by the present case is that of the distribution of consumer goods in overseas territories, such as fresh or non-fresh food products, beverages, personal hygiene and household maintenance products, and cosmetics marketed under a manufacturer's brand. A large number of these products are imported from mainland Europe.  </w:t>
        <w:br/>
        <w:t xml:space="preserve">6. In its opinion No. 09-A-45, mentioned above, the Authority distinguished three supply circuits for the overseas territories: the integrated circuit, the short circuit, and the long circuit.  </w:t>
        <w:br/>
        <w:t xml:space="preserve">7. The integrated circuit is the one by which the manufacturer establishes a substantial logistical structure in the concerned territory. It thus ensures the transport, handling of products, and supply of points of sale. This circuit, chosen by certain suppliers in territories where they achieve significant sales, is the least frequently encountered in practice.  </w:t>
        <w:br/>
        <w:t xml:space="preserve">8. In the case of the short circuit (or "disintermediated circuit"), the distributor is supplied at its own storage platforms located in mainland France, overseas, or both. This supply circuit is, for example, favored by large distributors for the supply of products sold under their brand.  </w:t>
        <w:br/>
        <w:t xml:space="preserve">9. Finally, the long circuit (or "intermediated circuit") involves using an intermediary, generally referred to as an "importer-wholesaler," who ensures certain logistical operations (storage, delivery, etc.), resells the products purchased from manufacturers to distributors, and takes charge of certain commercial actions.  </w:t>
        <w:br/>
        <w:t xml:space="preserve">10. The long circuit is the historical supply circuit in the overseas territories. Despite the development of direct supply over the past two decades, metropolitan manufacturers almost systematically resort to the intermediated system for the sale of their branded products.  </w:t>
        <w:br/>
        <w:t xml:space="preserve">11. Importer-wholesalers are independent of the suppliers whose products they distribute. Despite this independence, the intermediation market is characterized by a significant inertia in the commercial relationships between suppliers and importer-wholesalers, established in some cases for several decades, often reinforced by practices of territorial exclusivities granted by manufacturers and distributors to importer-wholesalers. However, these exclusivity situations are likely to limit the extent of intrabrand competition in each domestic territory. This limitation can, to some extent, reduce interbrand competition due to a risk of price leveling of consumer goods imported from mainland France, which are already very high compared to the prices of the same products sold in mainland France.  </w:t>
        <w:br/>
        <w:t>12. It is to remedy this situation that Law No. 2012-1270 of November 20, 2012, relating to economic regulation in overseas territories, known as the "Lurel" law, prohibited practices aimed at granting exclusive import rights in overseas collectivities unless justified by consumer interests. Companies were required to comply with these new legislative provisions no later than March 22, 2013.</w:t>
      </w:r>
    </w:p>
    <w:p>
      <w:r>
        <w:t xml:space="preserve">2. THE COMPANIES CONCERNED  </w:t>
        <w:br/>
        <w:t xml:space="preserve">a) HENKEL France  </w:t>
        <w:br/>
        <w:t xml:space="preserve">13. The company HENKEL France (hereinafter HENKEL France) is a subsidiary of the German group HENKEL AG &amp; Co. KGaA. The HENKEL group operates in three major sectors: detergents, cosmetics, and adhesives. It achieved a consolidated turnover of 16.4 billion euros in 2014.  </w:t>
        <w:br/>
        <w:t xml:space="preserve">14. HENKEL France manufactures and markets in mainland France and overseas, detergent products, cosmetic products, and adhesives for individuals, under the brands Mont Saint-Michel, Syoss, Schwarzkopf, Palette, Vademecum, Denivit, Teraxyl, Diadermine, Le Chat, SuperCroix, Xtra, Mir, Minidou, Bref, Decapfour, Terra, Loctite, Patex, Rubson Loctite, Rubson. Its turnover in 2014 amounted to 781 million euros, of which 6 million euros were in overseas territories.  </w:t>
        <w:br/>
        <w:t xml:space="preserve">15. In the Antilles, French Guiana, and Réunion, 80% of HENKEL France's branded products are distributed through the long circuit, with the remaining 20% being imported directly by large retailers, by brands that do not go through an importer-wholesaler.  </w:t>
        <w:br/>
        <w:t xml:space="preserve">b) The Importer-Wholesalers  </w:t>
        <w:br/>
        <w:t xml:space="preserve">CDHP ANTILLES  </w:t>
        <w:br/>
        <w:t xml:space="preserve">16. The company CDHP ANTILLES (hereinafter CDHP) is a simplified joint-stock company, a subsidiary of VALEUR PLUS. It achieved a turnover of 5.3 million euros in 2014. Until 2014, CDHP distributed the products of HENKEL France in Guadeloupe, Martinique, and French Guiana as well as in the overseas collectivities of Saint-Martin and Saint Barthélemy. Since December 2014, it has only distributed products of the HENKEL group in Guadeloupe and Saint Barthélemy.  </w:t>
        <w:br/>
        <w:t xml:space="preserve">SOGEREP and SOGEPAR  </w:t>
        <w:br/>
        <w:t xml:space="preserve">17. The Société générale de représentation (hereinafter SOGEREP) is a simplified joint-stock company, 100% owned by the French company "Agence Netter," whose share capital is equally held by Mr. D. X… and Mr. G. X….  </w:t>
        <w:br/>
        <w:t xml:space="preserve">18. The Société générale de participation (hereinafter SOGEPAR) is a simplified joint-stock company owned 96% by Mr. D. X…, 2% by Mr. G. X…, and 2% by SOGEREP.  </w:t>
        <w:br/>
        <w:t xml:space="preserve">19. SOGEREP and SOGEPAR have a common management. They ensure the importation and distribution in Réunion of products marketed by the HENKEL group.  </w:t>
        <w:br/>
        <w:t xml:space="preserve">20. In 2014, SOGEREP achieved a turnover of 29 million euros, SOGEPAR a turnover of 3.3 million euros, and AGENCE NETTER a consolidated turnover of 182 million euros.  </w:t>
        <w:br/>
        <w:t xml:space="preserve">SCAGEX  </w:t>
        <w:br/>
        <w:t>21. The company SCAGEX is a simplified joint-stock company, a subsidiary of the SAFO group, which holds the brands Carrefour Market, 8 à Huit, and Proxi in Martinique, whose consolidated turnover in 2014 amounted to 493 million euros. SCAGEX imports and distributes in Martinique the hygiene and maintenance products marketed by the HENKEL group since 2014.</w:t>
      </w:r>
    </w:p>
    <w:p>
      <w:r>
        <w:rPr>
          <w:b/>
        </w:rPr>
        <w:t>[Pages 7–9]</w:t>
      </w:r>
    </w:p>
    <w:p>
      <w:r>
        <w:t xml:space="preserve">BAMYRAG  </w:t>
        <w:br/>
        <w:t xml:space="preserve">22. The company BAMYRAG is a simplified joint-stock company, a subsidiary of the Bernard Hayot group (GBH), which achieved a consolidated turnover of 2.5 billion euros in 2014. BAMYRAG imports and distributes hygiene and maintenance products from the HENKEL group in French Guiana since 2014.  </w:t>
        <w:br/>
        <w:t xml:space="preserve">GENERAL IMPORT  </w:t>
        <w:br/>
        <w:t xml:space="preserve">23. The company GENERAL IMPORT is a simplified joint-stock company, a subsidiary of ADLP. Its turnover for the 2014 fiscal year amounted to 3.2 billion CFP francs (26.8 million euros). It imports, transports, stores, and distributes all products from the HENKEL group in Wallis and Futuna for several years.  </w:t>
        <w:br/>
        <w:t xml:space="preserve">B. OBSERVED PRACTICES  </w:t>
        <w:br/>
        <w:t xml:space="preserve">24. It appears from the case files that HENKEL France entrusts the distribution of its products by contract to a single wholesale-importer in one or more overseas territories. The wholesale-importer thus has the possibility to sign a contract for all cosmetic, maintenance, and adhesive products or for only one category of them.  </w:t>
        <w:br/>
        <w:t xml:space="preserve">25. For French Guiana and the Antilles (Guadeloupe, Martinique, Saint-Martin, Saint-Barthélemy), distribution has been entrusted to CDHP ANTILLES by two contracts concluded on January 26, 2009, for a period of three years, tacitly renewable.  </w:t>
        <w:br/>
        <w:t xml:space="preserve">26. For Réunion, the contract between HENKEL France and SOGEREP was concluded on July 22, 2008, for a duration of 18 months, renewable for periods of two years.  </w:t>
        <w:br/>
        <w:t xml:space="preserve">27. For Wallis and Futuna, the two contracts signed by HENKEL with General Import came into effect on January 1, 2013, for a duration of two years, tacitly renewable for periods of two years.  </w:t>
        <w:br/>
        <w:t xml:space="preserve">28. All these contracts are drafted according to the same model: Article 2 states that "HENKEL France grants the distributor, who accepts it, the status of exclusive distributor (...)" and Article 3 adds that "The distributor agrees not to engage in an active sales policy outside the territory, neither by establishing a point of sale or a depot, nor by developing commercial, advertising, or promotional actions."  </w:t>
        <w:br/>
        <w:t xml:space="preserve">29. Furthermore, these contracts contain a non-compete clause (Article 12) which prohibits the distributor, unless expressly agreed by HENKEL France, "from marketing in the territory, by adapting the existing agreements listed in Annex 4 or by concluding new agreements, any products that may compete with those whose distribution has been entrusted to it under the contract."  </w:t>
        <w:br/>
        <w:t xml:space="preserve">30. As of 2014, HENKEL France gradually renegotiated all its distribution contracts for its products in the territories of French Guiana, Réunion, Guadeloupe, Saint-Barthélemy, and Wallis and Futuna.  </w:t>
        <w:br/>
        <w:t xml:space="preserve">31. The distribution of HENKEL products in French Guiana was entrusted to BAMYRAG by two contracts concluded on March 24, 2014, for a duration of two years and eight months, renewable. Their distribution in Martinique was entrusted to SCAGEX, by two contracts concluded on December 1, 2014, for a duration of three years and eight months, tacitly renewed for periods of two years. CDHP ANTILLES retained distribution in Guadeloupe by two contracts concluded on December 10, 2014, for a duration of two years, renewable.  </w:t>
        <w:br/>
        <w:t xml:space="preserve">32. On July 31, 2014, two contracts with a duration of two and a half years, renewable for periods of two years, were signed with SOGEREP and one, of the same duration, with SOGEPAR, for the distribution of detergent and cosmetic products in Réunion.  </w:t>
        <w:br/>
        <w:t xml:space="preserve">33. For Wallis and Futuna, two contracts were signed with GENERAL IMPORT on November 5, 2014, with a duration of two years, renewable for periods of two years.  </w:t>
        <w:br/>
        <w:t xml:space="preserve">34. All these contracts are drafted according to the same model. The word "exclusive" was removed from Article 2, but Article 3 remains identical. It continues to delineate the contractual geographical territory of distribution assigned to the wholesale-importer and to prohibit any form of active sales policy outside this territory. Furthermore, the non-compete clause of Article 12 remains.  </w:t>
        <w:br/>
        <w:t xml:space="preserve">C. NOTIFIED GRIEVANCES  </w:t>
        <w:br/>
        <w:t xml:space="preserve">35. By letter dated February 12, 2016, the General Rapporteur of the Authority notified the following grievances to the parties:  </w:t>
        <w:br/>
        <w:t xml:space="preserve">"Grievance No. 1: HENKEL France as the author, and HENKEL AG &amp; Co. KGaA as the ultimate parent company of the author, are accused of having granted exclusive import rights for HENKEL products:  </w:t>
        <w:br/>
        <w:t xml:space="preserve">1. to the companies SOGEREP and SOGEPAR (except for the Fa brand) in the territory of Réunion, for the period from March 22, 2013, to the date of notification of grievances;  </w:t>
        <w:br/>
        <w:t xml:space="preserve">2. to the company CDHP Antilles in the territories of Martinique and Saint-Martin, for the period from March 22, 2013, to December 1, 2014;  </w:t>
        <w:br/>
        <w:t xml:space="preserve">3. to the company CDHP Antilles in the territory of French Guiana, for the period from March 22, 2013, to March 1, 2014;  </w:t>
        <w:br/>
        <w:t xml:space="preserve">4. to the company CDHP Antilles in the territory of Guadeloupe and Saint-Barthélemy and French Guiana, for the period from March 22, 2013, to the date of notification of grievances;  </w:t>
        <w:br/>
        <w:t xml:space="preserve">5. to the company GENERAL IMPORT in the territory of Wallis and Futuna, from March 22, 2013, to the date of notification of grievances;  </w:t>
        <w:br/>
        <w:t xml:space="preserve">6. to the company SCAGEX, in the territory of Martinique, for the period from December 2, 2014, to the date of notification of grievances;  </w:t>
        <w:br/>
        <w:t xml:space="preserve">7. to the company BAMYRAG, in the territory of French Guiana, for the period from March 24, 2014, to the date of notification of grievances;  </w:t>
        <w:br/>
        <w:t xml:space="preserve">This practice is contrary to Article L. 420-2-1 of the Commercial Code.  </w:t>
        <w:br/>
        <w:t xml:space="preserve">Grievance No. 2: The company SOGEREP is accused for the period from March 22, 2013, to the date of notification of grievances and the company SOGEPAR from July 31, 2014, to the date of notification of grievances as authors forming a single economic unit and the company AGENCE NETTER as the parent company of SOGEREP of having benefited from exclusive import rights for HENKEL products, except for those of the Fa brand, in the territory of Réunion. This practice is contrary to Article L. 420-2-1 of the Commercial Code.  </w:t>
        <w:br/>
        <w:t xml:space="preserve">Grievance No. 3: CDHP ANTILLES is accused as the author, and VALEUR PLUS as the parent company of the author of having,  </w:t>
        <w:br/>
        <w:t xml:space="preserve">- for the period from March 22, 2013, to March 1, 2014, in the territory of French Guiana,  </w:t>
        <w:br/>
        <w:t xml:space="preserve">- for the period from March 22, 2013, to December 1, 2014, in the territory of Martinique and Saint-Martin,  </w:t>
        <w:br/>
        <w:t xml:space="preserve">- for the period from March 22, 2013, to the date of notification of grievances, in the territory of Guadeloupe, and Saint-Barthélemy,  </w:t>
        <w:br/>
        <w:t xml:space="preserve">benefited from exclusive import rights for all HENKEL products. This practice is contrary to Article L. 420-2-1 of the Commercial Code.  </w:t>
        <w:br/>
        <w:t xml:space="preserve">Grievance No. 5: GENERAL IMPORT is accused as the author and ADLP as the parent company of the author of having, for the period from March 22, 2013, to the date of notification of grievances, benefited from exclusive import rights for the distribution of HENKEL products in the territory of Wallis and Futuna. This practice is contrary to Article L. 420-2-1 of the Commercial Code.  </w:t>
        <w:br/>
        <w:t xml:space="preserve">Grievance No. 6: SCAGEX is accused as the author, and the SAFO group as the parent company of the author of having, for the period from December 2, 2014, to the date of notification of grievances, benefited from exclusive import rights for HENKEL products in the territory of Martinique. This practice is contrary to Article L. 420-2-1 of the Commercial Code.  </w:t>
        <w:br/>
        <w:t xml:space="preserve">Grievance No. 7: BAMYRAG is accused as the author, and the GBH group as the parent company of the author of having, for the period from March 24, 2014, to the date of notification of grievances, benefited from exclusive import rights for HENKEL products in the territory of French Guiana. This practice is contrary to Article L. 420-2-1 of the Commercial Code.  </w:t>
        <w:br/>
        <w:t xml:space="preserve">III. Discussion  </w:t>
        <w:br/>
        <w:t xml:space="preserve">A. ON THE IMPLEMENTATION OF THE TRANSACTION PROCEDURE  </w:t>
        <w:br/>
        <w:t xml:space="preserve">36. III of Article L. 464-2 of the Commercial Code states: "When an organization or a company does not contest the reality of the grievances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 within the limits set by the transaction."  </w:t>
        <w:br/>
        <w:t>37. In this case, the companies involved, as authors and parent companies, did not contest the reality of the grievance that was notified to them and requested the application of the provisions of III of Article L. 464-2 of the Commercial Code from the General Rapporteur of the Authority, who submitted to each of them a transaction proposal.</w:t>
      </w:r>
    </w:p>
    <w:p>
      <w:r>
        <w:rPr>
          <w:b/>
        </w:rPr>
        <w:t>[Pages 10–12]</w:t>
      </w:r>
    </w:p>
    <w:p>
      <w:r>
        <w:t xml:space="preserve">38. The implementation of the aforementioned text led to the establishment of transaction reports by which the companies involved and their parent company agreed to a transaction proposal.  </w:t>
        <w:br/>
        <w:t xml:space="preserve">39. During the session on June 30, 2016, all the companies involved and their parent company confirmed their agreement with the terms of the transaction, accepting, with full knowledge of the facts, the legal consequences, particularly regarding the amount of the financial penalty.  </w:t>
        <w:br/>
        <w:t xml:space="preserve">B. ON THE EXISTENCE OF EXCLUSIVE IMPORT RIGHTS  </w:t>
        <w:br/>
        <w:t xml:space="preserve">1. FOR THE PERIOD FROM MARCH 22, 2013 TO MARCH 2014  </w:t>
        <w:br/>
        <w:t xml:space="preserve">40. It follows from all the elements presented above that between March 22, 2013, the date on which the concerned companies were to have complied with the provisions of Article L. 420-2-1 of the aforementioned Commercial Code, and March 24, July 31, December 1, and December 10, 2014, dates on which, depending on the territories, HENKEL France renegotiated its distribution contracts, HENKEL France granted exclusive distribution in the long circuit of a wide range of products to a single wholesale-importer in a territory.  </w:t>
        <w:br/>
        <w:t xml:space="preserve">2. FROM MARCH 2014 ONWARDS  </w:t>
        <w:br/>
        <w:t xml:space="preserve">41. The new distribution contracts applicable from March 2014 removed the adjective "exclusive" from the contracts, but each wholesale-importer retained the status of distributor of HENKEL products for a defined area while being subject to a prohibition on engaging in active sales outside of its "territory," thus effectively being protected from competition from other distributors of HENKEL France. The clause preventing them from distributing the products of HENKEL's competitors consolidates this de facto exclusivity situation.  </w:t>
        <w:br/>
        <w:t xml:space="preserve">42. These exclusivity practices are contrary to Article L. 420-2-1 of the Commercial Code.  </w:t>
        <w:br/>
        <w:t xml:space="preserve">C. ON THE SANCTIONS  </w:t>
        <w:br/>
        <w:t xml:space="preserve">43. The third paragraph of I of Article L. 464-2 of the Commercial Code provides that "financial penalties are proportionate to the seriousness of the alleged facts, the extent of the damage caused to the economy, the individual situation of the sanctioned organization or company or the group to which the company belongs, and any possible repetition of prohibited practices. They are determined individually for each sanctioned company or organization and reasoned for each sanction."  </w:t>
        <w:br/>
        <w:t>44.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the company involved.</w:t>
      </w:r>
    </w:p>
    <w:p>
      <w:r>
        <w:t xml:space="preserve">1. ON THE SERIOUSNESS OF THE PRACTICES AND THE DAMAGE TO THE ECONOMY  </w:t>
        <w:br/>
        <w:t xml:space="preserve">a) On the seriousness of the practices  </w:t>
        <w:br/>
        <w:t xml:space="preserve">45. The infringement of Article L. 420-2-1 of the Commercial Code, which consists of granting exclusive import rights to a company or group of companies in overseas territories, not justified by consumer interest, has, in itself, a negative impact on intrabrand competition and prevents the stimulation of competition in intermediate markets.  </w:t>
        <w:br/>
        <w:t xml:space="preserve">46. Parliamentary debates (notably the opinion of the Law Commission of October 3, 2012, No. 243) have clarified the reasons why it was appropriate to put an end to the practice of exclusive import rights in overseas territories. The Authority agrees with this reasoning but believes that this practice cannot carry the same level of seriousness as cartels and abuses of dominant position.  </w:t>
        <w:br/>
        <w:t xml:space="preserve">b) On the extent of the damage to the economy  </w:t>
        <w:br/>
        <w:t xml:space="preserve">47. The practices identified across all overseas territories have led to limiting the competition among wholesalers by retailers for their supply of Henkel brand products. They have concerned the distribution of hygiene and maintenance products essential to domestic consumers, whose purchasing power is lower than that in mainland France. Furthermore, these everyday consumer products, from well-known brands, are difficult to substitute in overseas territories with a private label. They have therefore caused significant damage to the economy.  </w:t>
        <w:br/>
        <w:t xml:space="preserve">2. ON THE FINAL AMOUNT OF THE SANCTION  </w:t>
        <w:br/>
        <w:t xml:space="preserve">48. In light of all these elements and in accordance with the terms of the transaction:  </w:t>
        <w:br/>
        <w:t xml:space="preserve">- the amount of the penalty imposed jointly on HENKEL France and HENKEL AG &amp; Co. KGAA is set at 250,000 euros.  </w:t>
        <w:br/>
        <w:t xml:space="preserve">- the amount of the penalty imposed jointly on SOGEREP and AGENCE NETTER is set at 145,000 euros.  </w:t>
        <w:br/>
        <w:t xml:space="preserve">- the amount of the penalty imposed on SOGEPAR is set at 65,000 euros.  </w:t>
        <w:br/>
        <w:t xml:space="preserve">- the amount of the penalty imposed jointly on CDHP Antilles and VALEUR PLUS is set at 90,000 euros.  </w:t>
        <w:br/>
        <w:t xml:space="preserve">- the amount of the penalty imposed jointly on SCAGEX and SAFO is set at 25,000 euros.  </w:t>
        <w:br/>
        <w:t xml:space="preserve">- the amount of the penalty imposed jointly on BAMYRAG and GBH is set at 25,000 euros.  </w:t>
        <w:br/>
        <w:t>- the amount of the penalty imposed jointly on GENERAL IMPORT and ADLP is set at 15,000 euros.</w:t>
      </w:r>
    </w:p>
    <w:p>
      <w:r>
        <w:t xml:space="preserve">DECISION  </w:t>
        <w:br/>
        <w:t xml:space="preserve">Article 1: It is established that HENKEL France, SOGEREP, SOGEPAR, SCAGEX, CDHP Antilles, BAMYRAG, and GENERAL IMPORT have violated the provisions of Article L. 420-2-1 of the Commercial Code.  </w:t>
        <w:br/>
        <w:t xml:space="preserve">Article 2: The following financial penalties are imposed:  </w:t>
        <w:br/>
        <w:t xml:space="preserve">on HENKEL France as the author jointly with HENKEL AG &amp; Co. KGAA in its capacity as parent company, a penalty of 250,000 euros.  </w:t>
        <w:br/>
        <w:t xml:space="preserve">on SOGEREP as the author and jointly with AGENCE NETTER, in its capacity as parent company, a penalty of 145,000 euros.  </w:t>
        <w:br/>
        <w:t xml:space="preserve">on SOGEPAR a penalty of 65,000 euros.  </w:t>
        <w:br/>
        <w:t xml:space="preserve">on CDHP Antilles as the author and jointly with VALEUR PLUS, in its capacity as parent company, a penalty of 90,000 euros.  </w:t>
        <w:br/>
        <w:t xml:space="preserve">on SCAGEX as the author and jointly with SAFO in its capacity as parent company, a penalty of 25,000 euros.  </w:t>
        <w:br/>
        <w:t xml:space="preserve">on BAMYRAG as the author and jointly with GBH in its capacity as parent company, a penalty of 25,000 euros.  </w:t>
        <w:br/>
        <w:t xml:space="preserve">on GENERAL IMPORT as the author and jointly with ADLP in its capacity as parent company, a penalty of 15,000 euros.  </w:t>
        <w:br/>
        <w:t xml:space="preserve">Deliberated on the oral report of Ms. Audrey Sabourin, rapporteur, and the intervention of Ms. Juliette Théry-Schultz, Deputy General Rapporteur, by Mr. Thierry Dahan, Vice-President, President of the session, and Ms. Laurence Idot and Carol Xueref, members.  </w:t>
        <w:br/>
        <w:t xml:space="preserve">The session secretary, The Vice-President,  </w:t>
        <w:br/>
        <w:t xml:space="preserve">Caroline Chéron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