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https://www.autoritedelaconcurrence.fr/fr/decision/relative-des-pratiques-mises-en-oeuvre-dans-le-secteur-de-la-distribution-des-timbres</w:t>
      </w:r>
    </w:p>
    <w:p>
      <w:r>
        <w:t>Pages translated : 6</w:t>
      </w:r>
    </w:p>
    <w:p/>
    <w:p>
      <w:r>
        <w:rPr>
          <w:b/>
        </w:rPr>
        <w:t>[Pages 1–3]</w:t>
      </w:r>
    </w:p>
    <w:p>
      <w:r>
        <w:t>FRENCH REPUBLIC</w:t>
        <w:br/>
        <w:t>Decision No. 22-D-19 of October 20, 2022</w:t>
        <w:br/>
        <w:t>regarding practices implemented in the sector of</w:t>
        <w:br/>
        <w:t>postal stamp distribution</w:t>
        <w:br/>
        <w:t>The Competition Authority (section II),</w:t>
        <w:br/>
        <w:t>Having regard to the letter registered on December 13, 2019, under number 19/0088 F, by which the Culture Presse union referred to the Competition Authority practices implemented by the La Poste Group in the sector of resale of postal stamps intended for postage;</w:t>
        <w:br/>
        <w:t>Having regard to Book IV of the Commercial Code, and in particular its Article L. 462-8;</w:t>
        <w:br/>
        <w:t>Having regard to the other documents in the file;</w:t>
        <w:br/>
        <w:t>The rapporteur, the deputy general rapporteur, the representative of the Culture Presse union heard during the session of the Competition Authority on July 1, 2022, the Government Commissioner having been regularly summoned;</w:t>
        <w:br/>
        <w:t>Adopts the following decision:</w:t>
      </w:r>
    </w:p>
    <w:p>
      <w:r>
        <w:t>SUMMARY</w:t>
        <w:br/>
        <w:t>I. FINDINGS ................................................................................ 3</w:t>
        <w:br/>
        <w:t>A. REFERRAL ....................................................................................................................3</w:t>
        <w:br/>
        <w:t>B. THE SECTOR OF ACTIVITY: THE RESALE OF POSTAGE STAMPS</w:t>
        <w:br/>
        <w:t>INTENDED FOR FRANKING ............................................................................3</w:t>
        <w:br/>
        <w:t>C. THE REPORTED PRACTICES .................................................................................4</w:t>
        <w:br/>
        <w:t>II. DISCUSSION .......................................................................................... 4</w:t>
        <w:br/>
        <w:t>A. APPLICABLE PROVISIONS .................................................................................4</w:t>
        <w:br/>
        <w:t>B. APPLICATION TO THE CASE AT HAND ..........................................................................5</w:t>
        <w:br/>
        <w:t>DECISION ....................................................................................................... 6</w:t>
      </w:r>
    </w:p>
    <w:p>
      <w:r>
        <w:t>I. Findings</w:t>
        <w:br/>
        <w:t>A. THE REFERRAL</w:t>
        <w:br/>
        <w:t>1. By letter registered on December 13, 2019, under number 19/0088 F, the Union of Leisure and Press Merchants (hereinafter "Culture Presse" or "the complainant"), the sole professional organization representing press vendors, filed a complaint with the Competition Authority (hereinafter "the Authority") against the La Poste Group (hereinafter "La Poste").</w:t>
        <w:br/>
        <w:t>2. According to Culture Presse, La Poste, in a monopoly position in the upstream market of postal stamp issuance intended for postage, grants tobacconists preferential pricing conditions compared to those applied to other stamp distributors, such as press vendors, without any objective justification.</w:t>
        <w:br/>
        <w:t>3. The complainant requests the Authority, pursuant to Article L. 420-2 of the Commercial Code, to find the existence of an abuse of dominant position by La Poste and to order it to cease this practice.</w:t>
      </w:r>
    </w:p>
    <w:p>
      <w:r>
        <w:t>B. THE SECTOR OF ACTIVITY: THE RESALE OF POSTAGE STAMPS INTENDED FOR FRANKING</w:t>
        <w:br/>
        <w:t>4. The referral from Culture Presse concerns postal stamps intended to be used for franking mail, excluding collectible stamps. The markets identified below therefore only concern postal stamps intended for postage.</w:t>
        <w:br/>
        <w:t>5. In accordance with Article 16 of Law No. 90-568 of July 2, 1990, relating to the organization of the public postal service and France Télécom, "La Poste is the only entity authorized to issue postage stamps as well as all other postal fiduciary values."</w:t>
        <w:br/>
        <w:t>6. The downstream market for the distribution of postal stamps to consumers includes several distribution channels. Stamps are sold either directly by La Poste at its points of sale (post offices) or by independent third parties, including tobacconists and press distributors, who can only purchase stamps from La Poste. Resale to the consumer follows a commission model, with the independent third party taking a commission on the resale price according to conditions determined in agreement with La Poste.</w:t>
      </w:r>
    </w:p>
    <w:p>
      <w:r>
        <w:rPr>
          <w:b/>
        </w:rPr>
        <w:t>[Pages 4–6]</w:t>
      </w:r>
    </w:p>
    <w:p>
      <w:r>
        <w:t>7. Tobacconists are under the legal obligation to sell stamps intended for postage. They thus contribute to ensuring the mission of the universal postal service by offering better territorial coverage for the sale of stamps in France.</w:t>
      </w:r>
    </w:p>
    <w:p>
      <w:r>
        <w:t>8. The resale price of the stamp to the consumer is fixed, regardless of the level of commission paid to the distributor.</w:t>
      </w:r>
    </w:p>
    <w:p>
      <w:r>
        <w:t>C. THE PRACTICES DENOUNCED</w:t>
      </w:r>
    </w:p>
    <w:p>
      <w:r>
        <w:t>9. According to the referral, La Poste would grant tobacconists, by virtue of a partnership agreement dated February 1, 2007, a commission of 3%, 4%, and 5% respectively on individual stamps, booklets of stamps, and pre-stamped products. Press retailers, on the other hand, would not benefit from any commission on the sale of these products, or at most from a discount of 1% granted randomly depending on the local post office. However, since the resale price of these products is fixed and public, their purchase price – or more precisely, the negotiation of the commission within the framework of the commission – is the only parameter likely to increase the remuneration of the distributors.</w:t>
      </w:r>
    </w:p>
    <w:p>
      <w:r>
        <w:t>10. This practice of La Poste, which would continue to this day, with the aforementioned agreement of 2007 still in force, would constitute an abuse of a dominant position. Indeed, La Poste, which is in a monopoly and therefore in a dominant position in the upstream market of postal stamp issuance, treats differently and without any justification operators who are in a similar situation in the downstream market of distributing postage stamps, in violation of the aforementioned Article L. 420-2.</w:t>
      </w:r>
    </w:p>
    <w:p>
      <w:r>
        <w:t>II. Discussion</w:t>
      </w:r>
    </w:p>
    <w:p>
      <w:r>
        <w:t>A. APPLICABLE PROVISIONS</w:t>
      </w:r>
    </w:p>
    <w:p>
      <w:r>
        <w:t>11. Since Ordinance No. 2021-649 of May 26, 2021, which transposes into French law Directive (EU) 2019/1 of the European Parliament and of the Council of December 11, 2018, known as the "ECN+ Directive," the Competition Authority may, pursuant to the second paragraph of Article L. 462-8 of the Commercial Code, "reject the referral by reasoned decision […] for referrals received under II and IV of Article L. 462-5, when it does not consider them a priority."</w:t>
      </w:r>
    </w:p>
    <w:p>
      <w:r>
        <w:t>B. APPLICATION TO THE CASE AT HAND</w:t>
      </w:r>
    </w:p>
    <w:p>
      <w:r>
        <w:t>12. According to Recital 23 of the aforementioned directive, "national competition authorities should have the ability to establish priorities for their procedures… in order to use their resources effectively and focus on preventing and ending anti-competitive behavior…".</w:t>
      </w:r>
    </w:p>
    <w:p>
      <w:r>
        <w:t>13. In this case, it should first be noted that the referral concerns a practice that has a limited economic impact. Indeed, it does not affect the consumer in the downstream market of stamp resale, as the resale price of the stamp is fixed, regardless of the level of commission agreed upon between the independent third party and La Poste. It also has no impact on the quality of the product offered, or on innovation, as the stamp is a uniform product. Furthermore, by the complainant's own admission, its impact on the turnover of press vendors is very low (around 300 to 400 euros per year at most per operator), so that the market structure and the supply of stamp distribution would be very little at risk of being affected.</w:t>
      </w:r>
    </w:p>
    <w:p>
      <w:r>
        <w:t>14. Secondly, the practice referred to as "second-tier" or "second-level" discrimination attributed to La Poste has already been the subject of numerous decisions and case law at both the national and European levels. It does not appear, based on the file, that the present referral raises any new economic or legal question that would need to be clarified in order to advance the decision-making practice of the Authority.</w:t>
      </w:r>
    </w:p>
    <w:p>
      <w:r>
        <w:t>15. Thirdly, the complainant, if deemed appropriate, may initiate any action to assert its rights before the national courts.</w:t>
      </w:r>
    </w:p>
    <w:p>
      <w:r>
        <w:t>16. Fourth and finally, the handling of the referral would require the mobilization of significant internal resources, which could, given the limited stakes and legal and economic interest of the present case, be more usefully allocated to other cases.</w:t>
      </w:r>
    </w:p>
    <w:p>
      <w:r>
        <w:t>17. In light of these elements, it is appropriate to reject the present referral pursuant to the second paragraph of Article L. 462-8 of the Commercial Code.</w:t>
      </w:r>
    </w:p>
    <w:p>
      <w:r>
        <w:t>DECISION</w:t>
      </w:r>
    </w:p>
    <w:p>
      <w:r>
        <w:t>Sole Article: The referral registered under number 19/0088 F is rejected for lack of priority.</w:t>
      </w:r>
    </w:p>
    <w:p>
      <w:r>
        <w:t>Deliberated on the oral report of Ms. Charlotte Noury, rapporteur, and the intervention of Mr. Erwann Kerguelen, deputy rapporteur general, by Ms. Fabienne Siredey-Garnier, vice-president, chair of the session, Ms. Laurence Borrel-Prat, Ms. Béatrice Bourgeois-Machureau, Ms. Julie Burguburu, Mr. Jean-Yves Mano, and Mr. Alexandre Menais, members.</w:t>
      </w:r>
    </w:p>
    <w:p>
      <w:r>
        <w:t>The session secretary, The session chair,</w:t>
        <w:br/>
        <w:t>Habiba Kaïd-Slimane Fabienne Siredey-Garnier</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