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https://www.autoritedelaconcurrence.fr/fr/decision/relative-des-pratiques-mises-en-oeuvre-dans-le-secteur-de-la-fabrication-et-de-la-0</w:t>
      </w:r>
    </w:p>
    <w:p>
      <w:r>
        <w:t>Pages translated : 37</w:t>
      </w:r>
    </w:p>
    <w:p/>
    <w:p>
      <w:r>
        <w:rPr>
          <w:b/>
        </w:rPr>
        <w:t>[Pages 1–3]</w:t>
      </w:r>
    </w:p>
    <w:p>
      <w:r>
        <w:t>FRENCH REPUBLIC</w:t>
        <w:br/>
        <w:t>Decision No. 21-D-27 of November 23, 2021</w:t>
        <w:br/>
        <w:t>regarding practices implemented in the sector of manufacturing</w:t>
        <w:br/>
        <w:t>and marketing hydrocarbon separators</w:t>
        <w:br/>
        <w:t>The Competition Authority (section V),</w:t>
        <w:br/>
        <w:t>Considering decision No. 18-SO-09 of May 29, 2018, recorded under number 18/0106 F, by which the Competition Authority initiated proceedings ex officio regarding practices implemented in the sector of manufacturing and marketing hydrocarbon separators and particulate decanters;</w:t>
        <w:br/>
        <w:t>Considering Article 101 of the Treaty on the Functioning of the European Union;</w:t>
        <w:br/>
        <w:t>Considering Book IV of the Commercial Code, and in particular its Article L. 420-1;</w:t>
        <w:br/>
        <w:t>Considering the decision of April 2, 2020, by which the deputy general rapporteur separated the investigation of file 18/0106 F concerning the elements related to particulate decanters and opened a new registration number for the investigation of this distinct part under reference 20/0058 F;</w:t>
        <w:br/>
        <w:t>Considering the business secrecy decisions No. 19-DSA-672 of November 19, 2019, No. 19-DSA-681 of November 19, 2019, No. 19-DSA-690 of November 28, 2019, No. 20-DSA-050 of January 28, 2020, No. 20-DSA-638 of December 2, 2020, No. 21-DSA-148 of March 25, 2021, No. 20-DEC-079 of February 12, 2020, and No. 20-DECR-101 of February 12, 2020;</w:t>
        <w:br/>
        <w:t>Considering the observations presented by the companies Bonna Sabla SNC, Bonna Sabla SA, Consolis Finance SAS, group F2F, SIMOP France SAS, COC Environnement, European Outsourcing Group, ACO SAS, Severin Ahlmann Holding GmbH &amp; Co, Saint Dizier Environnement, Saint Dizier Participations, Wavin France SAS, Wavin B.V., CRH France, Stradal SAS, Techneau, and SAS GAEAU as well as by the Government Commissioner;</w:t>
        <w:br/>
        <w:t>Considering the other documents in the file;</w:t>
        <w:br/>
        <w:t>The rapporteur, the deputy general rapporteur, the representatives of the companies Stradal SAS, CRH France SAS, Saint Dizier Environnement, Saint Dizier Participations, Bonna Sabla SNC, Bonna Sabla SA, Consolis Finance SAS, SIMOP France SAS, group F2F, Techneau, SAS GAEAU Développement, Wavin France SAS, Wavin B.V., ACO SAS, and Severin Ahlmann Holding GmbH &amp; Co heard during the session of the Competition Authority on May 27, 2021, the representatives of the companies COC Environnement and European Outsourcing Group and the Ministry of Ecological Transition having been regularly summoned;</w:t>
        <w:br/>
        <w:t>Adopts the following decision:</w:t>
      </w:r>
    </w:p>
    <w:p>
      <w:r>
        <w:t>Summary1</w:t>
        <w:br/>
        <w:t>By this decision, the Competition Authority (hereinafter, "the Authority") pronounces a dismissal regarding the practices concerning the sector of manufacturing and marketing hydrocarbon separators, equipment designed to trap hydrocarbons present in stormwater.</w:t>
        <w:br/>
        <w:t>Following an investigation by the Directorate General for Competition, Consumer Affairs, and Fraud Control and a report from the Interregional Competition Investigation Brigade, the Authority initiated proceedings ex officio and notified a complaint based on Articles 101 of the Treaty on the Functioning of the European Union (hereinafter, "TFEU") and L. 420-1 of the Commercial Code to the companies SIMOP France SAS, group F2F, Saint Dizier Environnement, Saint Dizier Participations, Techneau, SAS GAEAU, COC Environnement, European Outsourcing Group, Bonna Sabla SNC, Bonna Sabla SA, Consolis Finance SAS, ACO SAS, Severin Ahlmann Holding GmbH &amp; Co, Wavin France SAS, Wavin B.V., CRH France SAS, and Stradal SAS, for a practice implemented by the union of manufacturers of prefabricated structures for stormwater depollution (hereinafter, the "ISGH union").</w:t>
        <w:br/>
        <w:t>The alleged practice consisted of the adoption and dissemination, within the ISGH union, of a charter regarding hydrocarbon separators imposing on the manufacturers of this equipment the compliance with the so-called "residence time" or "190 seconds" rule. This rule recommended a minimum residence time for liquids in the separation chamber of the hydrocarbon separator and consequently impacted the sizing of the product, the chamber needing to be sufficiently wide to accommodate these liquids for the recommended duration. The members of the union were accused of having adopted and disseminated this rule, compliance with which is not mandated by applicable regulations, in order to eliminate a number of competitors, particularly those producing small-sized polyethylene hydrocarbon separators.</w:t>
        <w:br/>
        <w:t>In today's decision, the Authority considered that the adoption of the charter constitutes a decision of association of companies within the meaning of Articles 101 TFEU and L. 420-1 of the Commercial Code.</w:t>
        <w:br/>
        <w:t>However, the Authority found:</w:t>
        <w:br/>
        <w:t>- on the one hand, that membership in the union did not constitute a condition for access to the market for hydrocarbon separators or to an essential or significant share thereof, several competitors having been able to operate in the market without the lack of membership in this union impacting their activity;</w:t>
        <w:br/>
        <w:t>- on the other hand, that the elements in the file did not allow for the conclusion that the ISGH's communication regarding its charter could lead customers and other actors in the hydrocarbon separator market to perceive the residence time rule as a necessary or mandatory standard; and</w:t>
        <w:br/>
        <w:t>- furthermore, that, insofar as most members of the union produce polyethylene-based separators, it was not established that the incriminated practice pursued a strategy of exclusion against certain competitors in the market.</w:t>
        <w:br/>
        <w:t>1 This summary is strictly informative. Only the reasons for the decision numbered below are authoritative.</w:t>
        <w:br/>
        <w:t>2</w:t>
      </w:r>
    </w:p>
    <w:p>
      <w:r>
        <w:t>In light of these elements, the Authority considered that no element in the file allowed for the conclusion that the incriminated practice was likely to limit or restrict competition in the market and that, consequently, it could have neither an anti-competitive object nor effect.</w:t>
      </w:r>
    </w:p>
    <w:p>
      <w:r>
        <w:rPr>
          <w:b/>
        </w:rPr>
        <w:t>[Pages 4–6]</w:t>
      </w:r>
    </w:p>
    <w:p>
      <w:r>
        <w:t>SYNOPSIS</w:t>
        <w:br/>
        <w:t>I. FINDINGS ........................................................................................................... 6</w:t>
        <w:br/>
        <w:t>A. PROCEDURAL BACKGROUND ........................................................................... 6</w:t>
        <w:br/>
        <w:t>B. THE SECTOR OF ACTIVITY ................................................................................ 6</w:t>
        <w:br/>
        <w:t>1. THE PRODUCTS IN QUESTION ........................................................................... 6</w:t>
        <w:br/>
        <w:t>2. THE REGULATIONS APPLICABLE TO HYDROCARBON SEPARATORS .............. 7</w:t>
        <w:br/>
        <w:t>a) The obligation to install depolluting devices ........................................... 7</w:t>
        <w:br/>
        <w:t>b) The regulations applicable to separators ................................................ 7</w:t>
        <w:br/>
        <w:t>3. THE ORGANIZATION OF THE SECTOR ................................................................ 8</w:t>
        <w:br/>
        <w:t>C. THE RELEVANT ACTORS .................................................................................. 9</w:t>
        <w:br/>
        <w:t>1. THE ISGH ........................................................................................................... 9</w:t>
        <w:br/>
        <w:t>2. THE MEMBERS OF THE UNION ......................................................................... 10</w:t>
        <w:br/>
        <w:t>a) The companies Franceaux and SIMOP .................................................. 10</w:t>
        <w:br/>
        <w:t>b) The company ACO .................................................................................. 11</w:t>
        <w:br/>
        <w:t>c) The company Bonna Sabla ....................................................................... 11</w:t>
        <w:br/>
        <w:t>d) The company COC Environnement ........................................................ 11</w:t>
        <w:br/>
        <w:t>e) The company Saint Dizier Environnement ............................................. 12</w:t>
        <w:br/>
        <w:t>f) The company Stradal ................................................................................ 12</w:t>
        <w:br/>
        <w:t>g) The company Techneau ............................................................................ 12</w:t>
        <w:br/>
        <w:t>h) The company Wavin France ..................................................................... 13</w:t>
        <w:br/>
        <w:t>D. THE OBSERVED PRACTICES ........................................................................... 13</w:t>
        <w:br/>
        <w:t>1. THE CONDITIONS FOR MEMBERSHIP IN THE UNION .................................... 13</w:t>
        <w:br/>
        <w:t>2. THE REQUIREMENTS OF THE CHARTER RELATING TO HYDROCARBON</w:t>
        <w:br/>
        <w:t>SEPARATORS ....................................................................................................... 13</w:t>
        <w:br/>
        <w:t>a) The passage time rule set by the charter of January 13, 2006 .......... 13</w:t>
        <w:br/>
        <w:t>b) Evolution of the technical criteria of the charter over the years ......... 15</w:t>
        <w:br/>
        <w:t>The revision of March 30, 2006 .................................................................... 15</w:t>
        <w:br/>
        <w:t>The revision of March 13, 2007 .................................................................... 15</w:t>
        <w:br/>
        <w:t>The revision of October 2, 2009 .................................................................... 16</w:t>
        <w:br/>
        <w:t>3. THE DISSEMINATION OF THE 190-SECOND RULE BY THE UNION ............... 16</w:t>
        <w:br/>
        <w:t>a) The union's intention to communicate on the passage time rule .......... 17</w:t>
        <w:br/>
        <w:t>The document titled "Warning" .................................................................... 17</w:t>
        <w:br/>
        <w:t>The document titled "Notice" ....................................................................... 18</w:t>
        <w:br/>
        <w:t>Participation in trade shows and publications .............................................. 19</w:t>
        <w:br/>
        <w:t>b) The dissemination of the 190-second rule by the members of the</w:t>
        <w:br/>
        <w:t>union ............................................................................................................. 19</w:t>
        <w:br/>
        <w:t>Techneau ......................................................................................................... 20</w:t>
        <w:br/>
        <w:t>Bonna Sabla ...................................................................................................... 20</w:t>
        <w:br/>
        <w:t>Saint Dizier ....................................................................................................... 20</w:t>
        <w:br/>
        <w:t>COC Environnement ....................................................................................... 21</w:t>
        <w:br/>
        <w:t>Stradal .............................................................................................................. 21</w:t>
        <w:br/>
        <w:t>Wavin ................................................................................................................ 21</w:t>
        <w:br/>
        <w:t>c) The presence of the 190-second rule in certain calls for tenders ........... 21</w:t>
        <w:br/>
        <w:t>d) The actions taken by the ISGH union towards third-party companies .... 22</w:t>
        <w:br/>
        <w:t>E. THE NOTIFIED GRIEVANCE .............................................................................. 22</w:t>
        <w:br/>
        <w:t>II. DISCUSSION .................................................................................................. 24</w:t>
        <w:br/>
        <w:t>A. ON THE APPLICATION OF UNION LAW ......................................................... 24</w:t>
        <w:br/>
        <w:t>1. APPLICABLE PRINCIPLES .................................................................................. 24</w:t>
        <w:br/>
        <w:t>2. ASSESSMENT IN THIS CASE ........................................................................... 25</w:t>
        <w:br/>
        <w:t>B. THE DEFINITION OF THE RELEVANT MARKET ............................................. 26</w:t>
        <w:br/>
        <w:t>C. ON THE MERITS OF THE NOTIFIED GRIEVANCE ........................................... 27</w:t>
        <w:br/>
        <w:t>1. ON THE EXISTENCE OF A CONCERTED PRACTICE ......................................... 27</w:t>
        <w:br/>
        <w:t>a) The applicable principles ....................................................................... 27</w:t>
        <w:br/>
        <w:t>b) Application in this case .......................................................................... 28</w:t>
        <w:br/>
        <w:t>2. ON THE RESTRICTION OF COMPETITION .......................................................... 29</w:t>
        <w:br/>
        <w:t>a) The applicable principles ....................................................................... 29</w:t>
        <w:br/>
        <w:t>b) Application in this case .......................................................................... 32</w:t>
        <w:br/>
        <w:t>Arguments from the parties involved ................................................................ 32</w:t>
        <w:br/>
        <w:t>Assessment by the Authority .......................................................................... 33</w:t>
        <w:br/>
        <w:t>DECISION ........................................................................................................... 37</w:t>
      </w:r>
    </w:p>
    <w:p>
      <w:r>
        <w:rPr>
          <w:b/>
        </w:rPr>
        <w:t>[Pages 7–9]</w:t>
      </w:r>
    </w:p>
    <w:p>
      <w:r>
        <w:t xml:space="preserve">immobile (or at least at a very low flow rate) for a sufficient time for the particles to settle at the bottom of the decanter. However, sedimentation can be optimized through other filtering devices.  </w:t>
        <w:br/>
        <w:t xml:space="preserve">7. There are currently different families of devices to trap pollutants present in stormwater: hydrocarbon separators, particulate decanters, and progressive treatment decanters. Separators and decanters separate the macro-waste that can settle from light liquids such as hydrocarbons. The decanter also allows for trapping suspended materials such as organic and mineral micropollutants.  </w:t>
        <w:br/>
        <w:t xml:space="preserve">8. The present case concerns exclusively hydrocarbon separators. They are intended to be incorporated into a construction work and are generally buried. They can be made from various materials: steel, concrete, or polypropylene. The installation of these devices is made mandatory in certain areas by the applicable regulations.  </w:t>
        <w:br/>
        <w:t xml:space="preserve">2. THE REGULATIONS APPLICABLE TO HYDROCARBON SEPARATORS  </w:t>
        <w:br/>
        <w:t xml:space="preserve">a) The obligation to install pollution control devices  </w:t>
        <w:br/>
        <w:t xml:space="preserve">9. For environmental protection reasons, the ministerial order of April 15, 2010, relating to the general prescriptions applicable to covered warehouses subject to the registration regime under item no. 1510 of the classification of installations for environmental protection, made the installation of hydrocarbon decanter-separators mandatory at all national fuel distribution areas. The order states that the hydrocarbon separators installed in these areas must comply with the European standard EN 858-1 (in its 2002 version).  </w:t>
        <w:br/>
        <w:t xml:space="preserve">10. The aforementioned order also provides that stormwater likely to be polluted, particularly by runoff on roadways, parking areas, loading and unloading areas, storage areas, and other impermeable surfaces, is collected by a specific network and treated by one or more hydrocarbon separator devices.  </w:t>
        <w:br/>
        <w:t xml:space="preserve">11. For other types of surfaces, no specifications are provided by the regulations. It is therefore possible to install either separators or decanters. The latter are now preferred by operators, as sedimentation allows for trapping more pollutants in the treated waters.  </w:t>
        <w:br/>
        <w:t xml:space="preserve">b) The regulations applicable to separators  </w:t>
        <w:br/>
        <w:t xml:space="preserve">12. Hydrocarbon separators are subject to standardization at both the European and national levels.  </w:t>
        <w:br/>
        <w:t xml:space="preserve">13. Within the European Union, two standards concern these products:  </w:t>
        <w:br/>
        <w:t xml:space="preserve">− the EN 858-1 standard of February 2005, relating to "separation installations for light liquids: principles for design, performance and testing, marking and quality control," specifies the maximum acceptable hydrocarbon content for class 1 separators (maximum content of 5 mg/l) and class 2 (maximum content of 100 mg/l), and the markings that must be applied to the product. This standard also indicates the conditions for the test to determine the functional effectiveness of the product, the type tests that must be carried out in the factory, and the methods for production control within the factory; and  </w:t>
        <w:br/>
        <w:t xml:space="preserve">− the EN 858-2 standard relating to "separation installations for light liquids," which provides details on the sizing method for installations based on several factors.  </w:t>
        <w:br/>
        <w:t xml:space="preserve">14. These standards are mandatory but have a declarative nature. Operators are not required to submit their products to tests conducted by third parties to highlight this CE marking.  </w:t>
        <w:br/>
        <w:t xml:space="preserve">15. In France, there are also two standards relating to hydrocarbon separators:  </w:t>
        <w:br/>
        <w:t xml:space="preserve">− the NF P16-451-1/CN of January 2007, relating to "separation installations for light liquids (for example hydrocarbons: principles for design, performance and testing, marking and quality control," which constitutes a national complement to the EN 858-1 standard; and  </w:t>
        <w:br/>
        <w:t xml:space="preserve">− the NF P16-442 of August 2014, relating to the "implementation and maintenance of light liquid separators and decanters," which aims to specify the rules regarding the sizing, implementation, and maintenance of separation installations for light liquids contained in stormwater and industrial wastewater.  </w:t>
        <w:br/>
        <w:t xml:space="preserve">16. These national standards are voluntary and not mandatory. However, operators cannot obtain NF certification without having their products tested by a third party.  </w:t>
        <w:br/>
        <w:t xml:space="preserve">3. THE ORGANIZATION OF THE SECTOR  </w:t>
        <w:br/>
        <w:t xml:space="preserve">17. Hydrocarbon separators are products intended to be integrated into construction works. Thus, the various manufacturers of hydrocarbon separators do not directly respond to public or private tenders but can be approached by the lead contractors to integrate the equipment suited to their needs into their projects. Nevertheless, it appears from the statements of the parties involved that most sales of hydrocarbon separators are made through the main building merchants who distribute various construction products, and whose two main representatives in the field of water treatment in France are Plum Plastiques and Frans Bonhomme. Thus, in 2015, 92% of hydrocarbon separators were distributed by merchants.  </w:t>
        <w:br/>
        <w:t xml:space="preserve">18. In this context, manufacturers of hydrocarbon separators generally do not know the exact location where the hydrocarbon separators they sold are installed, other than the fact that they typically equip service stations, washing areas, and parking lots, as required by the regulations.  </w:t>
        <w:br/>
        <w:t xml:space="preserve">C. THE RELEVANT ACTORS  </w:t>
        <w:br/>
        <w:t xml:space="preserve">19. The practices targeted by this decision were implemented within the ISGH union, which brought together several manufacturers of hydrocarbon separators.  </w:t>
        <w:br/>
        <w:t xml:space="preserve">1. The ISGH  </w:t>
        <w:br/>
        <w:t xml:space="preserve">20. Initially named the union of Manufacturers of Prefabricated Separators for Fats and Hydrocarbons, the union of manufacturers of prefabricated structures for stormwater depollution, located at 9 rue de Berri 75008 Paris, was created on January 10, 2006, and registered under number 490 584 489.  </w:t>
        <w:br/>
        <w:t xml:space="preserve">21. This union gathered a portion of the French industrialists designing prefabricated equipment (in steel, concrete, or synthetic materials such as high-density polyethylene) intended to trap pollution from stormwater (such as hydrocarbon separators for pretreatment or decanter-pollution devices for treatment) and wastewater (such as grease separators) and aimed to promote the quality and safety of said structures.  </w:t>
        <w:br/>
        <w:t xml:space="preserve">22. Its various missions consisted of:  </w:t>
        <w:br/>
        <w:t xml:space="preserve">− contributing to the development and evolution of normative and regulatory texts;  </w:t>
        <w:br/>
        <w:t xml:space="preserve">− recommending reliable solutions and products adapted to application areas and discharge requirements;  </w:t>
        <w:br/>
        <w:t xml:space="preserve">− representing and maintaining collaboration among its members with public establishments, administrations, and professional unions;  </w:t>
        <w:br/>
        <w:t xml:space="preserve">− coordinating the actions of member professionals;  </w:t>
        <w:br/>
        <w:t xml:space="preserve">− informing and advising installers, distributors, project managers, and contracting authorities;  </w:t>
        <w:br/>
        <w:t xml:space="preserve">− facilitating and operating prefabricated structures while respecting the expectations of technical services, maintenance companies, and control bodies;  </w:t>
        <w:br/>
        <w:t xml:space="preserve">− promoting innovative solutions to contribute to the preservation of water resources in line with the expectations of operators.  </w:t>
        <w:br/>
        <w:t xml:space="preserve">23. This union was part of the National Union of Water and Environment Industries and Enterprises, which itself depends on the National Federation of Public Works.  </w:t>
        <w:br/>
        <w:t>24. The conditions for joining the union are listed in Article 6 of its statutes, the latest version of which, dated September 27, 2011, states, among other things, that membership involves: "committing to respect the charters of active members."</w:t>
      </w:r>
    </w:p>
    <w:p>
      <w:r>
        <w:rPr>
          <w:b/>
        </w:rPr>
        <w:t>[Pages 10–12]</w:t>
      </w:r>
    </w:p>
    <w:p>
      <w:r>
        <w:t>25. The ISGH was dissolved on March 14, 2018, following its absorption, the same year, by the union of Industrial Solutions for Rainwater Treatment and Storage (hereinafter, "ITSEP"). This entity is the result of the merger of ISGH with the STORM union (Industrials of SAUL or ultra-light alveolar structures).</w:t>
        <w:br/>
        <w:t>26. The ISGH union was presided over by:</w:t>
        <w:br/>
        <w:t>- Mr. X... (SIMOP company) from 01/10/2006 to 30/10/2008;</w:t>
        <w:br/>
        <w:t>- Mr. Y... (Saint-Dizier company) from 30/10/2008 to 24/03/2009;</w:t>
        <w:br/>
        <w:t>- Mr. Z... (Saint-Dizier company) from 24/03/2009 to 22/02/2011; and by</w:t>
        <w:br/>
        <w:t>- Mr. A... (Techneau company) from 22/02/2011 until the dissolution of the union in 2018.</w:t>
        <w:br/>
        <w:t>27. The table below presents the dates of membership and exit of the various members of the ISGH union:</w:t>
        <w:br/>
        <w:t>COMPANY DATE OF MEMBERSHIP DATE OF EXIT</w:t>
        <w:br/>
        <w:t>Franceaux 23 September 2010 (100% subsidiary of SIMOP, dissolved in 2012) 23 September 2010</w:t>
        <w:br/>
        <w:t xml:space="preserve">SIMOP 2006 (excluded) </w:t>
        <w:br/>
        <w:t>Techneau 2006 2018</w:t>
        <w:br/>
        <w:t>Saint Dizier 2006 2018</w:t>
        <w:br/>
        <w:t>COC Environnement 2007 2018</w:t>
        <w:br/>
        <w:t xml:space="preserve">Dunex 2008 (absorbed on January 1, 2008) 2007 (absorption) </w:t>
        <w:br/>
        <w:t>Bonna Sabla 2008 (resignation) 2008 2010</w:t>
        <w:br/>
        <w:t>ACO Reintegration in 2012 2018</w:t>
        <w:br/>
        <w:t>Stradal 2011 2018</w:t>
        <w:br/>
        <w:t>Wavin 2013 2018</w:t>
        <w:br/>
        <w:t>2. THE MEMBERS OF THE UNION</w:t>
        <w:br/>
        <w:t>a) The companies Franceaux and SIMOP</w:t>
        <w:br/>
        <w:t>28. The company Franceaux SAS, which was located at 136-138 rue Léon Jouhaux, 78500 Sartrouville, registered with the RCS of Versailles under number 558 500 542, was a 100% subsidiary of the SIMOP group. It was dissolved on October 10, 2012, and its assets were transferred to SIMOP.</w:t>
        <w:br/>
        <w:t>29. The company SIMOP is located at 10, rue Richedoux in Sainte-Mère-Église (50480) and registered with the RCS of Cherbourg under number 304 971 641. It develops and produces equipment for water purification. On August 28, 2017, SIMOP SAS ceased its activity, which was taken over by SIMOP France SAS, registered with the same RCS under number 754 040 707 and located at the same address. This company has been 100% owned since 2006 by the F2F group (SAS).</w:t>
        <w:br/>
        <w:t>30. Franceaux and SIMOP were part of the ISGH union from 2006 until their exclusion on September 23, 2010.</w:t>
        <w:br/>
        <w:t>b) The company ACO</w:t>
        <w:br/>
        <w:t>31. ACO SAS is located at Le Quai À Bois 27940 Notre-Dame-de-l’Isle and registered with the RCS of Évreux under number 732 016 399 00030. Since 2012, its capital has been entirely owned by the German company ACO Severin Ahlmann Holding GmbH &amp; Co.</w:t>
        <w:br/>
        <w:t>32. ACO was established in 1977 and is the French subsidiary of the German group ACO, primarily specialized in surface drainage systems for rainwater, particularly channels. The group has simultaneously developed a range of solutions to ensure a more comprehensive collection and pretreatment of rainwater and wastewater.</w:t>
        <w:br/>
        <w:t>33. ACO joined the union in 2008 before resigning in 2009 and then reintegrating the union in 2012, until its dissolution in 2018.</w:t>
        <w:br/>
        <w:t>c) The company Bonna Sabla</w:t>
        <w:br/>
        <w:t>34. The company Bonna Sabla SNC, located at 33, place des Corolles, Tour Europe la Défense, 92400 Courbevoie, is registered under number SIRET 562 087 346 009529. It was established in 1998 and specializes in the manufacture of concrete elements for construction.</w:t>
        <w:br/>
        <w:t>35. Bonna Sabla SNC was absorbed on January 26, 2021, by Bonna Sabla SA, which previously held 99.99% of its capital, with retroactive effect from January 1 of the same year. The company Bonna Sabla SA, registered under number SIREN 562 087 346, is 99.99% owned by the company Consolis Finance, formerly known as PCP Holding.</w:t>
        <w:br/>
        <w:t>36. On June 30, 1999, Bonna Sabla acquired the company Dunex through a share transfer. On January 1, 2008, the assets of the Dunex company were fully transferred to Bonna Sabla, resulting in the dissolution of the Dunex company.</w:t>
        <w:br/>
        <w:t>37. The Dunex company had been a member of the union since 2007. Following its absorption by Bonna Sabla, the latter joined the union as of January 1, 2008. Bonna Sabla resigned from the union on November 3, 2016.</w:t>
        <w:br/>
        <w:t>d) The company COC Environnement</w:t>
        <w:br/>
        <w:t>38. COC Environnement is a single-member LLC, located at Plaine des Astres, 34310 Montady, registered with the RCS of Béziers under number 329 923 619 00012. COC Environnement is primarily specialized in the development and manufacture of P.R.F.V. (Glass Fiber Reinforced Polyester) and thermoplastic products.</w:t>
        <w:br/>
        <w:t>39. Its capital is 100% owned by the Spanish company European Outsourcing Group.</w:t>
        <w:br/>
        <w:t>40. It was a member of the union from 2007 until the dissolution of the latter in 2018.</w:t>
        <w:br/>
        <w:t>e) The company Saint Dizier Environnement</w:t>
        <w:br/>
        <w:t>41. The company Saint Dizier Environnement SAS is located at 135, route de la Reine, 92100 Boulogne Billancourt, and registered with the RCS of Nanterre under number 407 759 059 00097. This company results from the merger, in 2002, of the companies ISD Environnement, established in 1996, and Pan environnement. It designs, manufactures, and markets products and solutions for the management and treatment of rainwater and wastewater.</w:t>
        <w:br/>
        <w:t>42. Saint Dizier Environnement is a 100% subsidiary of the company Saint Dizier Participations.</w:t>
        <w:br/>
        <w:t>43. It was a member of the union from 2006 until the dissolution of the latter in 2018.</w:t>
        <w:br/>
        <w:t>f) The company Stradal</w:t>
        <w:br/>
        <w:t>44. The company Stradal SAS is located at 47 avenue des Genottes, 95800 Cergy Saint-Christophe, and registered with the RCS of Pontoise under number 301 984 563 00223. The company develops a wide range of products for home environments, public spaces, and network infrastructures serving communities, specialized companies, and individuals.</w:t>
        <w:br/>
        <w:t>45. Its capital is 100% owned by SAS CRH France.</w:t>
        <w:br/>
        <w:t>46. It was a member of the union from May 3, 2011, until the dissolution of the latter in 2018.</w:t>
        <w:br/>
        <w:t>g) The company Techneau</w:t>
        <w:br/>
        <w:t>47. The company Techneau SAS is located in the Artisan Zone of Chevalerie, 50570 Marigny-Le-Lozon, and registered with the RCS of Coutances under number 380 388 918 00027. It was established in 1990 and primarily develops water treatment products.</w:t>
        <w:br/>
        <w:t>48. Its capital was held by more than 97% by SAS GAEAU. On July 16, 2020, SAS GAEAU underwent a simplified merger by absorption by SAS GAEAU Développement, which held all of its capital, effective January 1, 2020.</w:t>
        <w:br/>
        <w:t>49. Techneau participated in the creation of the union in 2006 and remained affiliated until its dissolution in 2018.</w:t>
      </w:r>
    </w:p>
    <w:p>
      <w:r>
        <w:rPr>
          <w:b/>
        </w:rPr>
        <w:t>[Pages 13–15]</w:t>
      </w:r>
    </w:p>
    <w:p>
      <w:r>
        <w:t>h) The company Wavin France</w:t>
        <w:br/>
        <w:t>50. The company Wavin SAS is located in the industrial zone of La Feuillouse, BP5 03150 Varennes-sur-Allier, and registered under the SIRET number 837 150 424 00039.</w:t>
        <w:br/>
        <w:t>51. This company, established in 1971, is the French subsidiary of the Dutch group Wavin B.V., which holds 100% of its capital and specializes in the supply of plastic piping systems and solutions for the collection, treatment, and transport of water.</w:t>
        <w:br/>
        <w:t>52. It was a member of the union from 2013 until its dissolution in 2018.</w:t>
        <w:br/>
        <w:t>D. OBSERVED PRACTICES</w:t>
        <w:br/>
        <w:t>1. CONDITIONS FOR MEMBERSHIP IN THE UNION</w:t>
        <w:br/>
        <w:t>53. According to Article 6 of the statutes of the ISGH, only French companies presenting sufficient references and guarantees regarding their level of activity and production means may apply for admission to the union. Since the revision of the statutes on September 27, 2011, Article 6 provides that applicants for admission must "commit to respecting the charters of active members."</w:t>
        <w:br/>
        <w:t>54. The documents in the file reveal the existence of two charters, one concerning hydrocarbon separators and the other concerning particulate decanters.</w:t>
        <w:br/>
        <w:t>55. Membership in the union is granted after approval by its general assembly.</w:t>
        <w:br/>
        <w:t>2. REQUIREMENTS OF THE CHARTER RELATING TO HYDROCARBON SEPARATORS</w:t>
        <w:br/>
        <w:t>a) The passage time rule set by the charter of January 13, 2006</w:t>
        <w:br/>
        <w:t>56. From the first month of the union's existence, it developed a charter, originally called "Charter of Active Members of the ISGH," outlining various characteristics related to hydrocarbon separators.</w:t>
        <w:br/>
        <w:t>57. The conditions to be met by all members are outlined in the preamble of this charter in 5 items:</w:t>
        <w:br/>
        <w:t>- respect and proof of the technical and commercial elements communicated to clients;</w:t>
        <w:br/>
        <w:t>- ability to certify the existence of a portion of its range of NF certified equipment within 18 months;</w:t>
        <w:br/>
        <w:t>- possess or initiate a process for ISO 9001-2000 certification;</w:t>
        <w:br/>
        <w:t>- respect the rules of courtesy and good fellowship among all members and their staff; and</w:t>
        <w:br/>
        <w:t>- commitment to participate in discussions and meetings regularly and actively.</w:t>
        <w:br/>
        <w:t>58. Next, the charter provides a "product approach" for separators with a capacity strictly greater than 10 liters per second (hereinafter, "l/s") drafted in the following terms: "All devices with a capacity strictly greater than 10 l/s must have a minimum total useful tank volume of 190 seconds times the treated flow rate. This volume will be calculated using the height of the outlet water line (at rest) as a reference. For devices without a separator, the minimum total useful volume will be 90 times the treated flow rate. To deviate from this rule, the member must certify each test reference according to the test protocol of standard EN 858-1 and endorsed by a COFRAC accredited laboratory." (emphasis added).</w:t>
        <w:br/>
        <w:t>59. Thus, the charter imposes on the members of the union that their products meet a criterion for the passage time of liquids in the separation chamber of the product (hereinafter, "the 190 seconds rule" or "the passage time rule"). This passage time is calculated differently depending on the characteristics of the product:</w:t>
        <w:br/>
        <w:t>- for a separator composed of a single compartment, a passage time of 90 seconds is retained;</w:t>
        <w:br/>
        <w:t>- for a separator equipped with two compartments, namely, a decanter and a separator, the passage time can be calculated:</w:t>
        <w:br/>
        <w:t xml:space="preserve">  • either in two stages: a passage time of 100 seconds in the decanter compartment and a passage time of 90 seconds in the separator compartment;</w:t>
        <w:br/>
        <w:t xml:space="preserve">  • or in a single total time of 190 seconds resulting from the addition of the passage times in the two compartments.</w:t>
        <w:br/>
        <w:t>60. Members may deviate from the rule if they can certify that tests have been conducted according to the test protocol of the European standard EN 858-1, by an independent laboratory on each of the marketed references.</w:t>
        <w:br/>
        <w:t>61. According to statements collected during the administrative investigation, this minimum passage time of 190 seconds would be inspired by a German standard, the DIN standard ("Deutsches Institut für Normung") 1999, relating to "Separators for light liquids: gasoline separators, oil separators," which provides for a liquid residence time according to the size of the separator. According to this DIN standard, the minimum passage duration (or residence time, in the terms of the DIN) for the smallest nominal sizes of separators would be 3 minutes, or 180 seconds. According to the administrative investigation report, this German standard of 180 seconds would have allowed the union to justify the passage time in a two-compartment separator of 190 seconds, without, however, the additional 10 seconds being explained by the controlled professionals.</w:t>
        <w:br/>
        <w:t>b) Evolution of the technical criteria of the charter over the years</w:t>
        <w:br/>
        <w:t>62. Between the original charter developed in 2006 and the version of September 11, 2014, in effect at the time of the union's dissolution, revisions of technical points were made on six occasions, while the EN 858-1 standard has not undergone any modifications since 2003. The passage time rule was modified during three revisions on March 30, 2006, March 13, 2007, and October 2, 2009. The other revisions on August 27, 2008, September 27, 2011, and September 11, 2014, specify other technical points and make formal modifications to the document. In particular, after the revision of September 27, 2011, the charter is no longer called "Charter of Active Members of the ISGH" but "Charter for Hydrocarbon Separators."</w:t>
        <w:br/>
        <w:t>63. These modified charters were either systematically signed by all member companies at the time of modification of the previous version or validated during the general assembly convened after the revision of the document.</w:t>
        <w:br/>
        <w:t>The revision of March 30, 2006</w:t>
        <w:br/>
        <w:t>64. The first revision of the technical points took place on March 30, 2006. In addition to modifications to the first and second items of the preamble, the rule regarding passage time was clarified. Indeed, the rule regarding the product approach of hydrocarbon separators now applies to "separator decanters without NF marking and with a capacity strictly greater than 10 l/s."</w:t>
        <w:br/>
        <w:t>65. Thus, according to this new version of the charter, devices with NF marking would not be required to comply with the rule of minimum total useful volume as they would already meet a quality requirement. This addition allowed member companies with this marking not to have devices necessarily having a minimum total useful volume of 190 seconds multiplied by the treated flow rate. Thus, only devices with a capacity greater than 10 l/s and without NF marking were, according to this version of the charter, subject to the useful volume condition established by the charter.</w:t>
        <w:br/>
        <w:t>The revision of March 13, 2007</w:t>
        <w:br/>
        <w:t>66. In the context of the second revision of the charter, the scope of the passage time rule was expanded, with the removal of the mention regarding separator decanters "with a capacity strictly greater than 10 l/s." Following this revision, the passage time rule applied to all separator decanters without NF marking, regardless of the nominal size of the product.</w:t>
        <w:br/>
        <w:t>67. This new version of the charter was validated during the general assembly held on the same day.</w:t>
      </w:r>
    </w:p>
    <w:p>
      <w:r>
        <w:rPr>
          <w:b/>
        </w:rPr>
        <w:t>[Pages 16–18]</w:t>
      </w:r>
    </w:p>
    <w:p>
      <w:r>
        <w:t>The revision of October 2, 2009</w:t>
        <w:br/>
        <w:t>68. The revision of the charter dated October 2, 2009 concerned only the product approach of this charter. This version was validated by all members, as indicated in the minutes of the ISGH meeting of November 12, 2009.</w:t>
        <w:br/>
        <w:t>69. An additional paragraph, integrated into the product approach for hydrocarbon separators, stipulates that "Devices with a nominal size greater than 10 (class 1 and 2 separators) must have a minimum total useful volume of 190 times the treated flow rate, including for devices benefiting from the NF mark. This rule applies to devices without a separator, based on a minimum total useful volume corresponding to 90 times the treated flow rate" (emphasis added).</w:t>
        <w:br/>
        <w:t>70. Thus, under this new version, hydrocarbon separators with a size greater than 10 l/s were required to comply with the passage time rule, including separators that also had the NF marking.</w:t>
        <w:br/>
        <w:t>71. According to the investigation report, no observations or reservations were presented during this evolution of the charter, except for Mr. X..., representing the SIMOP and Franceaux companies, who expressed his objection to the accumulation of the rules thus established.</w:t>
        <w:br/>
        <w:t>72. The modifications to the passage time rule over the revisions of the charter can be summarized as follows, with crosses indicating the devices that must comply with the 190 seconds rule. The blue highlighting indicates that these devices may deviate from the 190 seconds rule if, for each device reference, the company can certify a test report according to the test protocol of standard EN 858-1:</w:t>
        <w:br/>
        <w:t>3. THE DISSEMINATION OF THE 190 SECONDS RULE BY THE UNION</w:t>
        <w:br/>
        <w:t>73. The administrative investigation revealed the union's intention to communicate about this passage time rule, which was not imposed either by regulations or by the standards in force. Some members indeed communicated about this rule, which was also identified in the specifications of certain calls for tenders.</w:t>
        <w:br/>
        <w:t>a) The union's desire to communicate about the passage time rule</w:t>
        <w:br/>
        <w:t>74. It emerges from the minutes of the general meetings of the union collected during the administrative investigation that the ISGH wanted to communicate with professionals in the sector about the necessity of ensuring a minimum volume for hydrocarbon separators.</w:t>
        <w:br/>
        <w:t>The document titled "Warning"</w:t>
        <w:br/>
        <w:t>75. During the general meeting on January 22, 2010, noting that some market operators were not complying with the rules set out in its charter, the union decided to prepare a warning document for its various interlocutors (distributors, prescribers, installers) regarding the technical characteristics of hydrocarbon separators.</w:t>
        <w:br/>
        <w:t>76. The document, the first version of which dates back to November 15, 2010, is presented as follows:</w:t>
        <w:br/>
        <w:t>The document titled "Notice"</w:t>
        <w:br/>
        <w:t>77. As early as January 2006, the union wished to promote the dissemination of a specific common support for the passage time rule, which was intended to be annexed by all its members to all their commercial offers. This document was discussed during the general meetings on January 11, 2006, March 24, 2009, May 6, 2009, June 12, 2013, September 19, 2013, November 6, 2013, March 3, 2014, and September 11, 2014.</w:t>
        <w:br/>
        <w:t>78. The latest version of the document presented at the general meeting on September 11, 2014, is shown below:</w:t>
      </w:r>
    </w:p>
    <w:p>
      <w:r>
        <w:rPr>
          <w:b/>
        </w:rPr>
        <w:t>[Pages 19–21]</w:t>
      </w:r>
    </w:p>
    <w:p>
      <w:r>
        <w:t>Participation in Trade Shows and Publications</w:t>
        <w:br/>
        <w:t>79. The administrative investigation report indicates that the ISGH participated in several trade shows and professional events. Some minutes of the general assembly report the communication of representatives of the union regarding the passage time rule on these occasions, particularly during participation in conferences.</w:t>
        <w:br/>
        <w:t>80. During these general assemblies, the principle of the union's participation in the drafting of articles concerning, in particular, the sizing of hydrocarbon separators was also mentioned, although no concrete publication was established during the investigation.</w:t>
        <w:br/>
        <w:t>b) The Dissemination of the 190 Seconds Rule by Union Members</w:t>
        <w:br/>
        <w:t>81. The administrative investigation report identified certain materials on which members of the union communicated about the 190 seconds rule. Nevertheless, the report also notes the testimony of several union members, who stated that they had never disseminated the documents proposed by the ISGH.</w:t>
        <w:br/>
        <w:t>Techneau</w:t>
        <w:br/>
        <w:t>82. In a sales catalog published in September 2016, Techneau explains the standards applicable to hydrocarbon separators and states the compliance of its devices with the ISGH charter. The catalog explains that, according to this charter, the sizing of a separator must comply with the 190 seconds rule.</w:t>
        <w:br/>
        <w:t>83. The company Techneau also attached to a quote dated October 3, 2016, addressed to the company PUM Plastiques, the aforementioned warning, but on its company letterhead (without mentioning the ISGH union).</w:t>
        <w:br/>
        <w:t>Bonna Sabla</w:t>
        <w:br/>
        <w:t>84. In a commercial prospecting sheet published in 2016, the company states under the "Performance" section of its products: "treatment volume based on the 190 seconds rule (according to the ISGH quality charter)." It is noted at the bottom of the document, "Bonna Sabla complies with the hydrocarbon separator quality charter as a member of ISGH (compliance with the 190 seconds rule for calculating the total useful volume). WARNING: beyond this value, the effectiveness of the separator itself may be called into question as the risks of re-release are very high."</w:t>
        <w:br/>
        <w:t>Saint Dizier</w:t>
        <w:br/>
        <w:t>85. In a catalog of the company published in 2016, it is stated: "As a founding member and affiliate of the ISGH professional union, our works comply with the charters established by manufacturers of prefabricated structures for stormwater depollution. Compliance with a residence time of 90 seconds for the separation chamber of light liquids is thus applied to our works holding only the CE marking, but Saint Dizier environment prioritizes compliance with all requirements of the European standard EN 858 through third-party certification with the obtaining of the voluntary quality mark NF, developed in chapter 3 'CE marking and NF mark.'</w:t>
        <w:br/>
        <w:t>86. Furthermore, during the presentation of the different models, the catalog repeatedly reminds that the product complies with the 190 seconds rule.</w:t>
        <w:br/>
        <w:t>87. In contrast, regarding the "Warning" document, the company stated that "At our level, we did not print this warning and it has not been disseminated by Saint-Dizier, to my knowledge. Indeed, the requirements of the charter recalled in this warning are lower than the NF certification which is our battle horse."</w:t>
        <w:br/>
        <w:t>COC Environnement</w:t>
        <w:br/>
        <w:t>88. COC Environnement stated that it attaches the "Warning" document (on ISGH letterhead) to its quotes. At least four examples are included in the file. It should be noted that this company claims not to solicit end customers, but only traders, the two main ones in France being Plum Plastiques and Frans Bonhomme.</w:t>
        <w:br/>
        <w:t>89. COC Environnement indicated that it obtained from the latter that the warning be included also in the catalog of the trader Frans Bonhomme. The administrative investigation report notes in this regard that as of February 2014, the trader's catalog included a box stating that "To guarantee the EFFICIENCY of a hydrocarbon separator with a separator, it is necessary to respect: its MINIMUM USEFUL VOLUME = FLOW x 190."</w:t>
        <w:br/>
        <w:t>Stradal</w:t>
        <w:br/>
        <w:t>90. This company indicated, regarding the "Warning" document, that "this warning has never been communicated by us, internally nor to our resellers nor to our users."</w:t>
        <w:br/>
        <w:t>Wavin</w:t>
        <w:br/>
        <w:t>91. The company Wavin stated that "we have never used the ISGH warning and have never communicated it, despite the recommendations of the union. It has also not been disseminated internally."</w:t>
        <w:br/>
        <w:t>c) The Presence of the 190 Seconds Rule in Certain Calls for Tenders</w:t>
        <w:br/>
        <w:t>92. The administrative investigation report noted that compliance with the 190 seconds rule was among the requirements of the specifications for six calls for tenders and one request for a quote (two public and five private).</w:t>
        <w:br/>
        <w:t>93. Regarding the two public calls for tenders:</w:t>
        <w:br/>
        <w:t>- the specific technical provisions relating to the replacement of the hydrocarbon separator at the Moussy barracks in Mutzig stipulated, regarding the hydrocarbon separator, "Equipment complying with the ISGH charter";</w:t>
        <w:br/>
        <w:t>- in the designation of supplies for the ZAC du haut Wissous 2, the hydrocarbon separator was to have "a residence time of the effluents greater than 190 seconds."</w:t>
        <w:br/>
        <w:t>94. Regarding the private calls for tenders:</w:t>
      </w:r>
    </w:p>
    <w:p>
      <w:r>
        <w:rPr>
          <w:b/>
        </w:rPr>
        <w:t>[Pages 22–24]</w:t>
      </w:r>
    </w:p>
    <w:p>
      <w:r>
        <w:t>− the call for tenders for Montpellier Méditerranée Airport stipulated, in its section 2.6.3.8 "Hydrocarbon Separator," a "residence time of 190s";</w:t>
        <w:br/>
        <w:t>− the call for tenders for the development of a filling and washing area for agricultural sprayers, from July 2016, stipulated in its sections:</w:t>
        <w:br/>
        <w:t xml:space="preserve">  • 13.7 Hydrocarbon separator on wastewater drainage network: "the total volume of the device [...] will automatically comply with the formula Vu &gt; TN x 190s"; and</w:t>
        <w:br/>
        <w:t xml:space="preserve">  • 15.10 Hydrocarbon separator on stormwater network: "the total volume of the device [...] must be sized according to the formula Vu &gt; TN x 190s [...] type Techneau EHI006D";</w:t>
        <w:br/>
        <w:t>− the call for tenders concerning the parking lot of the Val d'Europe shopping center in Serris in 2015 indicated, in the section "Wastewater," a "passage time: 190s";</w:t>
        <w:br/>
        <w:t>− regarding the project concerning the wastewater networks of the Alsace 1 and 2 residences in Saint-Maur-des-Fossés, in its part A. Hydrocarbon separator at 5 l/s, a "minimum passage time of 190 seconds" was provided, as well as in part B. Hydrocarbon separator at 10 l/s the terms: "minimum passage time of 190 seconds"; finally</w:t>
        <w:br/>
        <w:t>− in the context of its request for a quote dated December 2, 2014, the company H-TUBE Pithiviers requested a sand trap/hydrocarbon separator with a "minimum passage time of 190s."</w:t>
        <w:br/>
        <w:t>d) Actions taken by the ISGH union against third-party companies</w:t>
        <w:br/>
        <w:t>95. The administrative investigation report refers to actions taken by the ISGH union against three companies, namely, PR. OCIDO, MSE, and SEBICO regarding suspicions of non-compliance of products with applicable European standards.</w:t>
        <w:br/>
        <w:t>96. Nevertheless, the initiative taken against PR. OCIDO, consisting of having a product sample from this company tested by an independent laboratory, in order to establish the existence of non-compliances of the product with the applicable regulations, does not appear to be related to a failure to comply with the 190 seconds rule. The union seems to have considered similar actions against MSE and SEBICO but these do not seem to have been pursued beyond informal exchanges.</w:t>
        <w:br/>
        <w:t>E. THE NOTIFIED GRIEVANCE</w:t>
        <w:br/>
        <w:t>97. The investigation services notified on June 2, 2020, the following grievance: "The grievance is made against:</w:t>
        <w:br/>
        <w:t>− the company Franceaux for its direct participation as author and against the company F2F in its capacity as parent exercising a determining influence over the company Franceaux,</w:t>
        <w:br/>
        <w:t>− the company SIMOP for its direct participation as author and against the company F2F in its capacity as parent exercising a determining influence over the company SIMOP,</w:t>
        <w:br/>
        <w:t>− the company Saint Dizier Environnement, for its direct participation as author and against the company Saint-Dizier Participations in its capacity as parent exercising a determining influence over the company Saint-Dizier,</w:t>
        <w:br/>
        <w:t>− the company Techneau, for its direct participation as author and against the company Gaeau in its capacity as parent exercising a determining influence over the company Techneau,</w:t>
        <w:br/>
        <w:t>− the company COC, for its direct participation as author and against the company European Outsourcing Group in its capacity as parent exercising a determining influence over the company COC,</w:t>
        <w:br/>
        <w:t>− the company Dunex, for its direct participation as author and against the company Bonna Sabla in its capacity as parent exercising a determining influence over the company Dunex,</w:t>
        <w:br/>
        <w:t>− the company Bonna Sabla, for its direct participation as author and against the company Consolis France in its capacity as parent exercising a determining influence over the company Bonna Sabla,</w:t>
        <w:br/>
        <w:t>− the company ACO, for its direct participation as author and against the company Severin Ahlmann Holding GMBH&amp;CO in its capacity as parent exercising a determining influence over the company ACO,</w:t>
        <w:br/>
        <w:t>− the company Stradal, for its direct participation as author and against the company CRH France in its capacity as parent exercising a determining influence over the company Stradal,</w:t>
        <w:br/>
        <w:t>− the company Wavin, for its direct participation as author and against the company Wavin VB in its capacity as parent exercising a determining influence over the company Wavin,</w:t>
        <w:br/>
        <w:t>for having, from their date of membership in the ISGH union to their date of exit from the union or failing that to the dissolution of the latter on March 14, 2018, in the sector of stormwater treatment, participated in an anticompetitive agreement aimed at excluding or limiting the access of certain manufacturers of hydrocarbon separators to the market for hydrocarbon separators, by developing a charter containing a passage time rule not required by the regulatory corpus and not technically justified and disseminated this rule to buyers. This practice had the object and could have the effect of restricting and distorting competition in this market. It is prohibited by Article L. 420-1 of the Commercial Code and by Article 101§1 of the TFEU."</w:t>
        <w:br/>
        <w:t>II. Discussion</w:t>
        <w:br/>
        <w:t>A. ON THE APPLICATION OF UNION LAW</w:t>
        <w:br/>
        <w:t>1. APPLICABLE PRINCIPLES</w:t>
        <w:br/>
        <w:t>98. Article 101 of the TFEU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br/>
        <w:t>99. According to the case law of the Court of Justice of the European Union and the communication of the European Commission on guidelines relating to the concept of affecting trade as set out in Articles 101 and 102 of the TFEU, three elements must be established for practices to be likely to significantly affect trade between Member States of the Union: the existence of a flow of trade between Member States concerning the products in question, the existence of practices likely to affect that trade, and the sensitive nature of that effect.</w:t>
        <w:br/>
        <w:t>100. The fact that the sanctioned practices are committed only on the territory of a single Member State does not prevent trade between Member States from being likely to be affected. In this regard, the Court of Cassation has ruled that the terms "likely to affect" as stated in Articles 101 and 102 of the TFEU "presuppose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intra-Community trade."</w:t>
        <w:br/>
        <w:t>101. In point 22 of the guidelines, the European Commission emphasizes that "the application of the criterion of affecting trade is independent of the definition of the relevant geographic markets, as trade between Member States can also be affected in cases where the relevant market is national or subnational."</w:t>
        <w:br/>
        <w:t>102. Furthermore, the European Commission recalls in point 61 of its guidelines that "In almost all cases, agreements and practices covering or implemented in several Member States are, by their very nature, likely to affect trade between Member States."</w:t>
      </w:r>
    </w:p>
    <w:p>
      <w:r>
        <w:rPr>
          <w:b/>
        </w:rPr>
        <w:t>[Pages 25–27]</w:t>
      </w:r>
    </w:p>
    <w:p>
      <w:r>
        <w:t>103. Regarding the third element, the Court of Cassation ruled that "the sensitive nature of the direct or indirect, potential or actual, effect on intra-Community trade results from a set of criteria, among which are the nature of the practices, the nature of the products concerned, and the market position of the companies involved"58.</w:t>
      </w:r>
    </w:p>
    <w:p>
      <w:r>
        <w:t>2. ASSESSMENT IN THIS CASE</w:t>
        <w:br/>
        <w:t>104. Wavin, COC Environnement, and Saint Dizier contest the European dimension of the practices and the applicability of Article 101 TFEU.</w:t>
        <w:br/>
        <w:t>105. Nevertheless, several elements in the file tend to demonstrate that trade between Member States is likely to be affected by the contested practices.</w:t>
        <w:br/>
        <w:t>106. Firstly, there is a flow of exchanges between Member States regarding hydrocarbon separators. Thus, Wavin indicates in its observations in response to the statement of objections that all hydrocarbon separators it integrates into its comprehensive solutions are produced by the Finnish subsidiary of the group (managed by Wavin Denmark) and "are not subject to any adaptation for the French market"59. Similarly, the ACO group states that it produces all of its hydrocarbon separators in Germany60. COC Environnement also stated to the investigating services that "My polyester and polyethylene separators are manufactured in Montady, and those made of steel are produced in Spain and then finished here."61. Therefore, even if, as alleged by some parties, normative differences may exist between certain Member States, these differences have evidently not prevented the development of exchanges within the single market.</w:t>
        <w:br/>
        <w:t>107. It should also be noted that, contrary to what these companies assert, the fact that the relevant market has been defined as having a national dimension does not affect the applicability of Article 101 TFEU to the practices in question, this issue being, as the Commission explains in point 22 of its guidelines recalled above, independent of the definition of the relevant market.</w:t>
        <w:br/>
        <w:t>108. Secondly, the practices relate to the normative requirements applicable to hydrocarbon separators for their marketing in France. These practices are likely to compromise market access for operators from other Member States who do not meet the criteria proposed by the ISGH union. The practices are therefore likely to affect trade between Member States.</w:t>
        <w:br/>
        <w:t>109. Thirdly, the practices concern the main operators active in the hydrocarbon separator market in France, who represent a substantial share of the market. The contested practices, in that they could result in imposing non-mandatory standards on all operators active in the market, are likely to compartmentalize the French hydrocarbon separator market.</w:t>
        <w:br/>
        <w:t>58 Judgment of January 31, 2012, Orange Caraïbe cited above; see also, in this sense, judgment of the Paris Court of Appeal, March 28, 2013, Société des pétroles Shell e. a. RG No. 2011/18 245 and judgment of the Court of Cassation of January 20, 2015, Société Chevron Products Company e. a. appeal No. 13-16.745.</w:t>
        <w:br/>
        <w:t>59 Reference 11657.</w:t>
        <w:br/>
        <w:t>60 Reference 11947.</w:t>
        <w:br/>
        <w:t>61 Reference 2039.</w:t>
      </w:r>
    </w:p>
    <w:p>
      <w:r>
        <w:t>110. It follows from the above that the practices in question are likely to have significantly affected trade between Member States. They must, consequently, be examined both in light of Union competition rules and internal rules.</w:t>
      </w:r>
    </w:p>
    <w:p>
      <w:r>
        <w:t>B. DEFINITION OF THE RELEVANT MARKET</w:t>
        <w:br/>
        <w:t>111. In its communication on the definition of the relevant market for the purposes of Community competition law, the Commission recalls that "a relevant product market comprises all products and/or services that the consumer considers interchangeable or substitutable by reason of their characteristics, their price, and the use to which they are put"62.</w:t>
        <w:br/>
        <w:t>112. At the national level,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can reasonably be thought to be alternative means between which demanders can arbitrate to satisfy the same demand"63.</w:t>
        <w:br/>
        <w:t>113. Nevertheless, it follows from Union case law that "the obligation to delineate the relevant market in a decision adopted under Article [101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market"64.</w:t>
        <w:br/>
        <w:t>114. The same applies to the decision-making practice of the Competition Council and that of the Authority which, when "the practices (...) are investigated under the prohibition of cartels (...)" considers that "(...) it is not necessary to define the market precisely, as in the case of abuse of a dominant position, as long as the sector and the markets have been sufficiently identified to allow the practices observed to be qualified and attributed to the operators who implemented them"65.</w:t>
      </w:r>
    </w:p>
    <w:p>
      <w:r>
        <w:t>62 Communication from the Commission on the definition of the relevant market for the purposes of Community competition law (97/C 372/03), point 7.</w:t>
        <w:br/>
        <w:t>63 See, in particular, decisions No. 10-D-13 of the Competition Authority of April 15, 2010, concerning practices implemented in the handling sector for the transport of containers at the port of Le Havre, point 220, and No. 10-D-19 of the Competition Authority of June 24, 2010, concerning practices implemented in the markets for the supply of gas, heating installations, and the management of heating networks and collective boilers, points 158 and 159.</w:t>
        <w:br/>
        <w:t>64 Judgment of the Court of First Instance of March 19, 2003, case T-213/00, CMA CGM and others/Commission (FETTCSA), point 206.</w:t>
        <w:br/>
        <w:t>65 Decision of the Competition Council No. 05-D-27 of June 15, 2005, concerning practices observed in the white tuna sector, point 28, and decisions of the Competition Authority No. 10-D-13, cited above, point 221; and No. 11-D-02 of January 26, 2011, concerning practices implemented in the sector of restoration of historical monuments, point 364.</w:t>
      </w:r>
    </w:p>
    <w:p>
      <w:r>
        <w:t>115. In this case, the practices observed have been implemented in the stormwater treatment sector and particularly in the manufacturing and marketing of hydrocarbon separators. They have taken on a national dimension.</w:t>
        <w:br/>
        <w:t>116. It follows from the above that the market concerned by the observed practices is the French market for the manufacturing and marketing of hydrocarbon separators, without the need to determine a finer segmentation.</w:t>
      </w:r>
    </w:p>
    <w:p>
      <w:r>
        <w:t>C. ON THE MERITS OF THE NOTIFIED GRIEVANCE</w:t>
        <w:br/>
        <w:t>117. The notified grievance concerns the development, adoption, and dissemination, by the members of the ISGH union, of a charter relating to hydrocarbon separators containing specifications likely to exclude certain competitors from the hydrocarbon separator market. It will therefore be necessary to analyze, first, whether the alleged behavior results from an agreement of wills among the various parties involved constituting a decision of association of undertakings (1) and then to examine whether it has an anti-competitive character (2).</w:t>
      </w:r>
    </w:p>
    <w:p>
      <w:r>
        <w:t>1. ON THE EXISTENCE OF AN AGREEMENT OF WILLS</w:t>
        <w:br/>
        <w:t>a) Applicable principles</w:t>
        <w:br/>
        <w:t>118. Articles 101, paragraph 1 of the TFEU and L. 420-1 of the Commercial Code prohibit agreements, concerted practices, and decisions of association of undertakings that restrict competition resulting from agreements of wills between autonomous entities.</w:t>
        <w:br/>
        <w:t>119. Regarding practices implemented by collective bodies (unions, associations, professional orders, etc.), the Court of Cassation ruled, in a landmark judgment of May 16, 2000, that these bodies represent "the collective of [their] members and (...) [that] a practice likely to have an anti-competitive object or effect implemented by such a body necessarily reveals an agreement, within the meaning of Article 7 of the ordinance of December 1, 1986, among its members."</w:t>
        <w:br/>
        <w:t>120. It follows from consistent case law that this type of agreement can result from any act emanating from the bodies of a professional group, such as a professional regulation, internal regulation, scale, or circular. Indeed, "the preparation and dissemination, at the initiative of a professional union, of a document intended for all its members may (...) constitute an agreement, a concerted action contrary to Article L. 420-1 of the Commercial Code if they have the object or effect of preventing, restricting, or distorting competition"67.</w:t>
        <w:br/>
        <w:t>121. Thus, professional organizations can be sanctioned for practices that, although appearing unilateral, actually constitute agreements in that they express the collective will of their members. This principle has been reiterated by the Authority in the decision.</w:t>
      </w:r>
    </w:p>
    <w:p>
      <w:r>
        <w:rPr>
          <w:b/>
        </w:rPr>
        <w:t>[Pages 28–30]</w:t>
      </w:r>
    </w:p>
    <w:p>
      <w:r>
        <w:t xml:space="preserve">n° 18-D-06 of May 23, 2018, which states that "the decisions of collective bodies, although presented as unilateral acts, result from an agreement of will of their members and are, to this extent, likely to fall under the rules prohibiting collusion."  </w:t>
        <w:br/>
        <w:t xml:space="preserve">122. Indeed, this type of infringement constitutes a decision of business association. This notion concerns "the institutionalized forms of cooperation, that is to say, situations where economic operators act through a collective structure or a common body."  </w:t>
        <w:br/>
        <w:t xml:space="preserve">123. Such a qualification requires that the association be composed of businesses. Furthermore, the decision in question must constitute a faithful expression of the association's will to coordinate the behavior of its members in the market.  </w:t>
        <w:br/>
        <w:t xml:space="preserve">b) Application in this case  </w:t>
        <w:br/>
        <w:t xml:space="preserve">124. Stradal contests that the decisions of the ISGH, concerning the development of the charter and documents aimed at disseminating the standards of the charter, can bind all members of the union. According to Stradal, it was not a member of the union at the time of the charter's development and compliance with the charter would not, in its view, constitute a condition for membership in the union.  </w:t>
        <w:br/>
        <w:t xml:space="preserve">125. Nevertheless, as noted in paragraphs 62 to 72 above, the charter was revised six times between 2006 and 2014, the last modification dating from September 27, 2011. The various versions of the charter were either signed by all members of the union or approved at the general assembly following the revision. While it is true that the commitment to comply with the charter by active members, as a condition of membership in the union, was only added during the amendment of the statutes on September 27, 2011, the charter, whose title explicitly refers to active members until 2011, has existed since the creation of the union in 2006 and has been modified several times with the explicit or implicit approval of all active members of the union.  </w:t>
        <w:br/>
        <w:t xml:space="preserve">126. Therefore, by adopting the charter or by joining the union while the charter was in effect, all members of the ISGH union expressed their willingness to adhere to the approach described in this document and, in particular, to comply with the 190-second rule as a guarantee of product quality.  </w:t>
        <w:br/>
        <w:t xml:space="preserve">127. It should be noted, in this regard, that it also follows from paragraphs 73 to 80 above that either the charter or the various communication materials regarding the charter or the 190-second rule were discussed at various general assemblies of the ISGH.  </w:t>
        <w:br/>
        <w:t xml:space="preserve">128. It follows from the above that the charter constitutes a decision of business association aimed at imposing on the members of the ISGH union compliance with a certain number of conditions in the development of the products they marketed, among which is the 190-second standard.  </w:t>
        <w:br/>
        <w:t xml:space="preserve">2. ON THE RESTRICTION OF COMPETITION  </w:t>
        <w:br/>
        <w:t xml:space="preserve">a) Applicable principles  </w:t>
        <w:br/>
        <w:t xml:space="preserve">129. It follows from consistent case law of the Court of Justice that "to fall under the prohibition set out in Article 101(1) TFEU, an agreement must have 'as its object or effect' the prevention, restriction, or distortion of competition within the internal market. According to consistent case law of the Court since the judgment of June 30, 1966, LTM (56/65, EU:C:1966:38), the alternative nature of this condition, marked by the conjunction 'or', first leads to the necessity of considering the very object of the agreement."  </w:t>
        <w:br/>
        <w:t xml:space="preserve">130. The Union judge has specified that "in order to assess whether an agreement between businesses or a decision of business association presents a sufficient degree of harmfulness to be considered a restriction of competition 'by object' within the meaning of Article 81(1) EC,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market(s) in question."  </w:t>
        <w:br/>
        <w:t xml:space="preserve">131. The Court of Justice also indicates that "in the event that the analysis of a type of coordination between businesses does not present a sufficient degree of harmfulness to competition, it would be necessary, on the other hand, to examine its effects and, to prohibit it, to require the gathering of elements establishing that the play of competition has, in fact, either been prevented, restricted, or distorted in a significant manner."  </w:t>
        <w:br/>
        <w:t xml:space="preserve">132. Competition authorities generally consider that standardization agreements between businesses, which aim to define the technical or quality requirements that products must meet, have substantial positive economic effects and can therefore have a pro-competitive nature. Nevertheless, as the Authority points out in its Study on Professional Organizations, "poorly conceived standardization can affect economic efficiency and restrict competition; this is particularly the case if it allows the approval of a biased standard in favor of certain market players, who can then use it to erect a barrier to entry for competitors or innovators. These agreements can produce restrictive effects on competition, particularly when they limit and control production in the markets, innovation, or technical developments."  </w:t>
        <w:br/>
        <w:t xml:space="preserve">133. Indeed, as highlighted by the Commission's guidelines on horizontal agreements, "once a technology has been selected and the standard has been defined, competing technologies and companies may face a barrier to entry and be potentially excluded from the market." Thus, a restriction by object constitutes "an agreement allowing a national association of manufacturers to set a standard and exert pressure on third parties not to market products that do not meet this standard." Nevertheless, the Commission specifies that "[i]n the absence of market power, a standardization agreement is not capable of producing restrictive effects on competition. These are therefore unlikely when there is effective competition between several standards whose application is optional."  </w:t>
        <w:br/>
        <w:t xml:space="preserve">134. In this regard, the Union Court also had the opportunity to recall in a judgment of May 12, 2010, EMC Development/Commission that, for a standard adopted by a collective body to constitute a restriction of competition, it must be demonstrated that "the situation in the market has been altered due to the adoption of the standard."  </w:t>
        <w:br/>
        <w:t xml:space="preserve">135. Thus, the fact that a professional association imposes on its members (notably, for membership in the association or to ensure their permanence within it) compliance with a standard that goes beyond the applicable regulatory requirements is only likely to constitute a restriction of competition if the imposition of this standard is likely to restrict or make access to the market or to an essential or significant share of the market more difficult.  </w:t>
        <w:br/>
        <w:t xml:space="preserve">136. In this regard, access to the market (or to an essential or significant share of the market) can be made more difficult, in particular, firstly, if membership in the association that imposes compliance with the standard as a condition of membership is necessary or constitutes a competitive advantage for operating in the relevant market or, secondly, if the actions of the association result in making compliance with this standard mandatory or necessary in the eyes of customers or other operators in the market.  </w:t>
        <w:br/>
        <w:t xml:space="preserve">137. According to the first approach, a collective certification approach such as, for example, the establishment of a quality label or the establishment of a professional identification system leading to the selection of companies based on their ability to perform work or based on certain quality criteria, constitutes a collusion among the businesses that adhere to this approach.  </w:t>
        <w:br/>
        <w:t xml:space="preserve">138. Such collusion is illegal if:  </w:t>
        <w:br/>
        <w:t>- on the one hand, obtaining the label or certification is essential to carry out an activity; and,</w:t>
      </w:r>
    </w:p>
    <w:p>
      <w:r>
        <w:rPr>
          <w:b/>
        </w:rPr>
        <w:t>[Pages 31–33]</w:t>
      </w:r>
    </w:p>
    <w:p>
      <w:r>
        <w:t xml:space="preserve">− on the other hand, if the criteria for granting this certification are not sufficiently objective and clear and lend themselves to discriminatory application, thereby allowing the exclusion of competitors from the market concerned by the label or another qualification, by means other than those based on the merits of the company.  </w:t>
        <w:br/>
        <w:t xml:space="preserve">139. In this regard, the same approach is adopted by the Authority's decision-making practice concerning rules that condition membership in a business grouping. Indeed, such rules can only fall under the prohibition of agreements if their application leads to distortion of competition, by preventing or limiting access to the market or to an essential or significant share of the market for companies that are not admitted to this grouping. In this respect, the Paris Court of Appeal ruled that no anti-competitive agreement was established against a trade union as long as the membership conditions of this organization "cannot have the effect of preventing, restricting, or distorting competition in the relevant market." More specifically, the ruling states that: "if the admission by co-optation of new members within a professional organization does not in itself constitute a practice contrary to competition law, such a practice may undermine the functioning of free competition if membership in this professional organization is a condition for access to the market."  </w:t>
        <w:br/>
        <w:t xml:space="preserve">140. However, as the Authority specified in its decision No. 18-D-04 regarding practices implemented in the sector of production and marketing of meat in Martinique, the notion of restriction of competition is not limited to this single case, which may seem inappropriate in certain market situations. Thus, the Authority also admits that a restriction of competition is established if membership in the grouping is a condition for "access to an essential share of the market," or if it is "an essential factor for contact with the local clientele," which results in the refusal of admission potentially "limiting the access of artisans excluded from the grouping to the clientele."  </w:t>
        <w:br/>
        <w:t xml:space="preserve">141. According to the second approach, outside the case where membership in the grouping that promotes the collective certification approach is necessary to carry out an activity, this collective approach may have a significant influence on the dynamics of competition if it takes on the character of a standard in the eyes of customers.  </w:t>
        <w:br/>
        <w:t xml:space="preserve">142. Thus, for example, in a ruling of November 8, 1983, IAZ/Commission, the Court of Justice recalled that "a recommendation, even devoid of binding effect, does not escape the scope of Article 85, paragraph 1, when the acceptance of the recommendation by the recipient companies exerts a significant influence on the dynamics of competition in the relevant market." After noting that distributors systematically checked the application of the certification recommended by the collective body on the products of suppliers, it concluded that, in this case, "these recommendations therefore determined the behavior of a significant portion of the members of the Anseau."  </w:t>
        <w:br/>
        <w:t xml:space="preserve">143. In decision No. 17-D-20, concerning practices consisting of eliminating all marketing efforts regarding the environmental characteristics of products, the Authority took into account the fact that "this agreement was implemented by the manufacturers members of the SFEC, who represent the majority of players in the sector, in a stable oligopolistic market characterized by barriers to entry (...). It occurred at a time when the environmental performance of flooring materials was becoming one of the main criteria for choice by general contractors and distributors, and when the sensitivity of customers, both intermediaries and end-users, to the environmental performance of flooring products - particularly regarding VOC emission values - was increasingly significant."  </w:t>
        <w:br/>
        <w:t xml:space="preserve">144. Among the competition concerns analyzed in decision No. 10-D-20 of June 25, 2010, regarding practices implemented in the discount coupon sector, the Authority noted that the operators concerned had communicated around the Webcoupon standard they had adopted in such a way that distributors "could have deduced from these elements that they were at risk of not being reimbursed for the amounts advanced during the acceptance in question of non-Webcoupon e-coupons."  </w:t>
        <w:br/>
        <w:t xml:space="preserve">b) Application in this case  </w:t>
        <w:br/>
        <w:t xml:space="preserve">Arguments of the defendants  </w:t>
        <w:br/>
        <w:t xml:space="preserve">145. The defendants contest the anti-competitive nature of the practices in question. They indicate, first of all, that membership in the ISGH union is not a condition for access to the market. Indeed, some operators who have never been part of the union, such as PR. OCIDO, have not experienced any difficulties in marketing their products that would be related to their lack of membership in the union, and some operators who left it, such as SIMOP and Franceaux, did not see their sales decrease as a result of this departure.  </w:t>
        <w:br/>
        <w:t xml:space="preserve">146. The defendants also emphasize the justification of the 190-second standard as it is inspired by mandatory standards applicable in other Member States, such as Germany, and aims to guarantee the minimum capacity of the hydrocarbon separator that prevents the risk of releasing harmful products into the environment.  </w:t>
        <w:br/>
        <w:t xml:space="preserve">147. Furthermore, the defendants highlight the absence of an exclusion strategy in the union's approach, as nearly all products available on the market de facto comply with the 190-second rule, regardless of the manufacturing material of the hydrocarbon separator. They point out that most members of the union offer polyethylene separators and that, therefore, contrary to what the investigation services claim, the practice in question could not have aimed to specifically disadvantage producers of this type of separator, including PR. OCIDO.  </w:t>
        <w:br/>
        <w:t xml:space="preserve">148. Finally, the defendants contest the development, by the union, of a specific communication strategy regarding compliance with the 190-second rule, as well as the perception of this rule as a standard by buyers.  </w:t>
        <w:br/>
        <w:t xml:space="preserve">Assessment of the Authority  </w:t>
        <w:br/>
        <w:t xml:space="preserve">149. By the notified grievance, the defendants are accused of having adopted and disseminated, within their union, the ISGH, a charter concerning hydrocarbon separators imposing on manufacturers of these equipment the compliance with the 190-second passage time rule. This technical specification would be likely to exclude a number of competitors from the market, particularly those producing small-sized polyethylene hydrocarbon separators like the company PR. OCIDO, which are unable to meet this rule. This charter was imposed on the active members of the ISGH union and, therefore, on all the defendants (see paragraph 53 above). It should be recalled that compliance with the 190-second rule is not imposed by the applicable regulations in France.  </w:t>
        <w:br/>
        <w:t xml:space="preserve">150. It follows from the elements of the file recalled above in paragraphs 74 and following that a number of dissemination materials on the applicable regulations and the ISGH charter were developed at the initiative of the union.  </w:t>
        <w:br/>
        <w:t xml:space="preserve">151. Finally, the investigation report also revealed that the 190-second rule appeared in six calls for tenders and a request for quotes from clients.  </w:t>
        <w:br/>
        <w:t xml:space="preserve">152. As a result of the principles recalled above, it is necessary to analyze whether the adoption of the charter including the requirement to comply with the 190-second rule is likely to have prevented, restricted, or distorted competition.  </w:t>
        <w:br/>
        <w:t xml:space="preserve">On membership in the union as a condition for access to the market or to an essential or significant share of the market  </w:t>
        <w:br/>
        <w:t xml:space="preserve">153. It follows from the elements in the file that membership in the ISGH is not a condition for access to the French market for marketing hydrocarbon separators or to an essential or significant share of the market. Indeed, even if this union included a substantial number of French manufacturers present in this market, other competitors, particularly medium-sized ones like PR. OCIDO and MSE, have been able to be active in the market without ever being members. As noted by ACO, which acquired the company PR. OCIDO in 2020, in its observations in response to the notification of grievances, the revenue generated by the company PR. OCIDO has remained stable throughout the infringement period, unlike that of the union members, which has experienced significant erosion due to the development of alternative technologies to hydrocarbon separators.  </w:t>
        <w:br/>
        <w:t>154. Furthermore, SIMOP and Franceaux, who left the union in 2010 following a disagreement over the 190-second rule, did not see their activity affected by this departure. In its observations, SIMOP (which merged with Franceaux in 2011) does not report any difficulties.</w:t>
      </w:r>
    </w:p>
    <w:p>
      <w:r>
        <w:rPr>
          <w:b/>
        </w:rPr>
        <w:t>[Pages 34–36]</w:t>
      </w:r>
    </w:p>
    <w:p>
      <w:r>
        <w:t>in the sale of its products after leaving the union, but only a cooling of its relations with certain members of the union. It follows from the administrative investigation report that, in 2015, five years after leaving the union, SIMOP was the third player in the market with a 25% market share, behind Techneau (32%) and Saint Dizier (27%).</w:t>
      </w:r>
    </w:p>
    <w:p>
      <w:r>
        <w:t>155. Finally, ACO left the union for two years without this absence having an impact on its activity.</w:t>
      </w:r>
    </w:p>
    <w:p>
      <w:r>
        <w:t>156. Consequently, no element in the file allows us to conclude that membership in the union constitutes a condition for access to the market or to an essential or significant share of the market, or that the lack of membership in this organization is likely to restrict or make it more difficult to operate in the French market for hydrocarbon separators.</w:t>
      </w:r>
    </w:p>
    <w:p>
      <w:r>
        <w:t>157. Thus, the fact that this union imposed standards on its members that went beyond the regulatory framework appears to have no impact on the market since they were free to leave the union without it affecting their activity.</w:t>
      </w:r>
    </w:p>
    <w:p>
      <w:r>
        <w:t>On the dissemination of the 190-second rule and its perception in the market</w:t>
      </w:r>
    </w:p>
    <w:p>
      <w:r>
        <w:t>158. As noted in paragraphs 74 and following above, the union expressed its desire to communicate on the standards included in the charter on hydrocarbon separators in order to prevent the risks it associated with the undersizing of separators. It is appropriate to analyze the impact that the union's communication policy regarding the passage time rule may have had on the market and, in particular, whether, following this communication, market operators perceived this rule as having a mandatory or necessary character.</w:t>
      </w:r>
    </w:p>
    <w:p>
      <w:r>
        <w:t>159. First, regarding the document titled "Warning" reproduced in paragraph 76 above, it should be noted, as raised by several parties, that this document does not refer at all to the passage time rule. It only refers to the requirements of CE marking, compliance with which is mandatory in France. However, the development by a professional organization of a communication support on the risks associated with violating mandatory regulations cannot, by itself, restrict, limit, or make competition in the market more difficult.</w:t>
      </w:r>
    </w:p>
    <w:p>
      <w:r>
        <w:t>160. Secondly, regarding the document titled "Notice" reproduced in paragraph 78, it will be noted, as indicated by the parties, that the document does not only refer to the passage time rule but proposes three alternatives for a hydrocarbon separator to comply with the applicable European regulation (EN 858), namely, (i) being labeled NF; (ii) being certified by an independent laboratory; and (iii) complying with the 190-second rule. While it is true that the 190-second passage time rule is mentioned only as one alternative among others, it should be noted that none of the three conditions mentioned is mandatory for a separator to comply with the EN 858 standard. However, the presentation of this document could lead clients or project owners to consider that compliance with one of the three conditions was imposed by the applicable regulation.</w:t>
      </w:r>
    </w:p>
    <w:p>
      <w:r>
        <w:t>161. Nevertheless, there is no element in the file that establishes that the union actually disseminated the "Notice" document. On the contrary, several minutes of meetings mentioned in paragraph 77 above indicate that this document was not intended to be disseminated by the union but only by its members who, moreover, based on the elements submitted to the file, listed in paragraphs 81 to 91 above, would have disseminated it very limitedly.</w:t>
      </w:r>
    </w:p>
    <w:p>
      <w:r>
        <w:t>162. Indeed, only Techneau and COC Environnement would have attached this document to certain quotes. Bonna Sabla, for its part, without disseminating the document as such, included a warning phrase about the 190-second rule in a catalog after referring to the ISGH charter (see paragraph 84 above). In contrast, several companies such as Saint Dizier, Stradal, and Wavin stated that they had never disseminated it. The other references to the ISGH charter included in the catalogs of the parties did not refer to the passage time rule as a mandatory or necessary standard, but rather as a quality standard of the ISGH union to which these companies had decided to adhere.</w:t>
      </w:r>
    </w:p>
    <w:p>
      <w:r>
        <w:t>163. Consequently, the elements in the file do not allow us to consider that the ISGH's communication regarding its charter could have led clients and other actors in the hydrocarbon separator market to perceive the passage time rule as a necessary or mandatory standard. On the contrary, the elements in the file allow us to exclude any communication on this rule outside the instances of the union. The few communication elements disseminated by some of its members included in the file do not establish the existence of communication from the union that could have impacted the perception of the passage time rule by market operators.</w:t>
      </w:r>
    </w:p>
    <w:p>
      <w:r>
        <w:t>164. Finally, the Authority notes, as indicated above in paragraph 17, that the main clients of the parties are traders and, in particular, two traders (PLUM Plastiques and Frans Bonhomme) who are informed professionals and it can be legitimately expected that they are aware of the applicable regulations.</w:t>
      </w:r>
    </w:p>
    <w:p>
      <w:r>
        <w:t>165. This conclusion is not called into question by the very occasional presence of the passage time rule in certain calls for tenders and requests for quotes, examined below.</w:t>
      </w:r>
    </w:p>
    <w:p>
      <w:r>
        <w:t>On the calls for tenders and requests for quotes</w:t>
      </w:r>
    </w:p>
    <w:p>
      <w:r>
        <w:t>166. As noted in paragraphs 92 to 94 above, the investigation revealed that the requirement to comply with the 190-second rule appeared in the specifications of six calls for tenders and one request for a quote.</w:t>
      </w:r>
    </w:p>
    <w:p>
      <w:r>
        <w:t>167. Nevertheless, it should be noted, first, that these documents do not establish a link between the presence of this requirement in these specifications and the union's desire to impose compliance with the passage time rule in the market. Indeed, on the one hand, only one call for tenders mentions the ISGH charter and, on the other hand, no element in the file allows us to determine whether compliance with this sizing criterion was necessary for the contemplated work or, on the contrary, was not necessary and could therefore result from a misperception by the prescribers and clients regarding the binding nature of the rule due to the incriminated practice.</w:t>
      </w:r>
    </w:p>
    <w:p>
      <w:r>
        <w:t>168. Secondly, the six calls for tenders and the quote (representing the purchase of seven hydrocarbon separators) constitute a poorly representative sample while, as noted in the investigation conducted in 2015 by the ISGH attached to the notification of grievances, the number of hydrocarbon separators sold in France between 2010 and 2015 varied between 9,400 and 7,800 units per year.</w:t>
      </w:r>
    </w:p>
    <w:p>
      <w:r>
        <w:t>169. Furthermore, it is not established that the incriminated practice pursued a strategy of exclusion against certain competitors and, in particular, producers of polyethylene hydrocarbon separators such as PR. OCIDO. Indeed, it follows, in particular, from the data provided by the company Wavin, that these separators represent the majority of separators sold in France and that the main market players, such as Techneau, SIMOP, and Saint Dizier, offer this type of product.</w:t>
      </w:r>
    </w:p>
    <w:p>
      <w:r>
        <w:t>170. It follows from the above that no element in the file allows us to conclude that the incriminated practice was likely to limit, restrict, or make competition in the market more difficult. Indeed, on the one hand, membership in the union imposing compliance with the passage time rule by its members does not constitute a condition for access to the market or to an essential or significant share of it and, on the other hand, no element in the file allows us to consider that the practices in question were likely to distort the perception of market operators regarding the mandatory or necessary nature of the passage time rule.</w:t>
      </w:r>
    </w:p>
    <w:p>
      <w:r>
        <w:t>171. In conclusion, and without the need to analyze the technically justified nature of the rule regarding passage time, it is appropriate to conclude that the practice attributed to the members of the ISGH could not have had either an object or an anticompetitive effect in the sense of the case law and decision-making practice recalled above. There is therefore no need to continue the procedure.</w:t>
      </w:r>
    </w:p>
    <w:p>
      <w:r>
        <w:rPr>
          <w:b/>
        </w:rPr>
        <w:t>[Pages 37–37]</w:t>
      </w:r>
    </w:p>
    <w:p>
      <w:r>
        <w:t>DECISION</w:t>
        <w:br/>
        <w:t>Sole Article: The Competition Authority considers, based on the information available to it, that the conditions for a conviction under Articles 101 TFEU and L. 420-1 of the Commercial Code are not met. There is therefore no reason to continue the procedure.</w:t>
        <w:br/>
        <w:t>Deliberated on the oral report of Ms. Frédérique Laporte, rapporteur, and the intervention of Ms. Pascale Déchamps, deputy general rapporteur, by Ms. Irène Luc, vice-president, chairing the session, Ms. Catherine Prieto, Mr. Savinien Grignon-Dumoulin, and Mr. Jérôme Pouyet, members.</w:t>
        <w:br/>
        <w:t>The session secretary, The session chair,</w:t>
        <w:br/>
        <w:t>Armelle Hillion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