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https://www.autoritedelaconcurrence.fr/fr/decision/relative-des-pratiques-mises-en-oeuvre-dans-le-secteur-de-la-fourniture-de-donnees-de</w:t>
      </w:r>
    </w:p>
    <w:p>
      <w:r>
        <w:t>Pages translated : 5</w:t>
      </w:r>
    </w:p>
    <w:p/>
    <w:p>
      <w:r>
        <w:rPr>
          <w:b/>
        </w:rPr>
        <w:t>[Pages 1–3]</w:t>
      </w:r>
    </w:p>
    <w:p>
      <w:r>
        <w:t xml:space="preserve">FRENCH REPUBLIC  </w:t>
        <w:br/>
        <w:t xml:space="preserve">Decision No. 14-D-12 of October 10, 2014  </w:t>
        <w:br/>
        <w:t xml:space="preserve">regarding practices implemented in the sector of  </w:t>
        <w:br/>
        <w:t>the provision of health data by the National Health Insurance Fund for Salaried Workers and the SESAM-Vitale Economic Interest Group</w:t>
      </w:r>
    </w:p>
    <w:p>
      <w:r>
        <w:t xml:space="preserve">The Competition Authority,  </w:t>
        <w:br/>
        <w:t xml:space="preserve">Having regard to the letter, registered on June 27, 2013, under number 13/0044F, by which the company Celtipharm referred to the Competition Authority practices implemented by the National Health Insurance Fund and the SESAM-Vitale GIE;  </w:t>
        <w:br/>
        <w:t xml:space="preserve">Having regard to Articles 101 or 102 of the Treaty on the Functioning of the European Union;  </w:t>
        <w:br/>
        <w:t xml:space="preserve">Having regard to Book IV of the Commercial Code;  </w:t>
        <w:br/>
        <w:t xml:space="preserve">Having regard to Decision No. 14-JU-04 dated September 29, 2014, by which the President of the Competition Authority designated, based on the last paragraph of Article L. 461-3 of the Commercial Code, Mr. Thierry Dahan, Vice-President, to adopt alone the decision to be rendered on the referral mentioned above;  </w:t>
        <w:br/>
        <w:t xml:space="preserve">Having regard to the other documents in the file;  </w:t>
        <w:br/>
        <w:t xml:space="preserve">The rapporteur, the deputy rapporteur general, and the representatives of the company Celtipharm heard during the session of the Competition Authority on October 2, 2014;  </w:t>
        <w:br/>
        <w:t>Adopts the following decision:</w:t>
      </w:r>
    </w:p>
    <w:p>
      <w:r>
        <w:t xml:space="preserve">I. FINDINGS  </w:t>
        <w:br/>
        <w:t xml:space="preserve">A. REFERRAL  </w:t>
        <w:br/>
        <w:t xml:space="preserve">1. The Competition Authority was referred, on June 27, 2013, a complaint by the company Celtipharm against the National Health Insurance Fund for Salaried Workers (hereinafter "CNAMTS") and the SESAM-Vitale Economic Interest Group (hereinafter "the GIE").  </w:t>
        <w:br/>
        <w:t>2. The company Celtipharm accuses the CNAMTS and the GIE of refusing it real-time access to data from electronic health care forms (FSE) that transit through the SESAM-Vitale system. This data is only accessible through decryption keys that the GIE exclusively uses. According to the complainant, by refusing to allow it access to this essential infrastructure, which it deems necessary for the development of its business, the CNAMTS and the GIE have committed an abuse of dominant position contrary to Articles L. 420-2 of the Commercial Code and 102 of the TFEU.</w:t>
      </w:r>
    </w:p>
    <w:p>
      <w:r>
        <w:t xml:space="preserve">B. THE COMPANIES INVOLVED  </w:t>
        <w:br/>
        <w:t xml:space="preserve">The CNAMTS and the GIE SESAM-Vitale  </w:t>
        <w:br/>
        <w:t xml:space="preserve">3. The CNAMTS is a national public establishment of an administrative nature, enjoying legal personality and financial autonomy. It is subject to dual supervision: that of the ministry responsible for Social Security and that of the ministry responsible for the economy and finance.  </w:t>
        <w:br/>
        <w:t xml:space="preserve">4. The GIE SESAM-Vitale is the economic interest group constituted by the national funds of the basic health insurance schemes, under the aegis of the CNAMTS, in accordance with the provisions of Article L. 115-5 of the Social Security Code.  </w:t>
        <w:br/>
        <w:t xml:space="preserve">5. Its purpose is to carry out the common tasks related to the processing of information pertaining to the mission entrusted to the national health insurance funds by Article L. 161-29 of the CSS, namely the automated processing of all data and information related to reimbursable health care acts, services provided to insured persons, and diagnosed pathologies.  </w:t>
        <w:br/>
        <w:t>6. The GIE SESAM-Vitale is the operator that ensures the implementation and supervision of the infrastructure of electronic health care forms (FSE), a dematerialized system of health care forms established since 1998, when the first smart cards ("Carte Vitale") were deployed on a large scale. Through the FSE, pharmacists communicate to the relevant health insurance organizations, among other information, the number of acts performed and services provided to the insured. The FSE are established under conditions that prohibit the reading of confidential data by a third party. Only the GIE SESAM-Vitale holds the decryption keys for these data flows.</w:t>
      </w:r>
    </w:p>
    <w:p>
      <w:r>
        <w:t xml:space="preserve">The company Celtipharm  </w:t>
        <w:br/>
        <w:t>7. The company Celtipharm is a research and statistics company that has developed, since its creation, expertise in the exploitation of pharmaceutical data. It specializes in the engineering of economic data in the health sector and seeks to develop a commercial use of this data.</w:t>
      </w:r>
    </w:p>
    <w:p>
      <w:r>
        <w:t>8. According to it, the health database market would notably include the sector of providing historical aggregated data in which the CNAMTS is involved and the emerging sector of providing real-time data flow analyses of drug consumption, which would be the one concerned by the practice.</w:t>
      </w:r>
    </w:p>
    <w:p>
      <w:r>
        <w:t xml:space="preserve">C. THE ALLEGED PRACTICES  </w:t>
        <w:br/>
        <w:t xml:space="preserve">9. In its complaint, the company Celtipharm accuses the GIE SESAM-Vitale and the CNAMTS of having refused to provide it with the decryption keys for electronic health care forms, which would have been possible through the use of a black box allowing access to this information while ensuring the anonymization and confidentiality of individual data, and of having rejected its requests for accreditation as a front organization that could join the GIE.  </w:t>
        <w:br/>
        <w:t>10. It should be noted that, in parallel to its referral to the Authority, the company Celtipharm filed, on August 23, 2012, with the Administrative Court of Nantes and, on June 6, 2013, with the Administrative Court of Paris, appeals for excess of power against the decisions of rejection by the CNAMTS and the GIE of its requests for access to the decryption keys for electronic health care forms. These two procedures before the administrative judge are still pending.</w:t>
      </w:r>
    </w:p>
    <w:p>
      <w:r>
        <w:t xml:space="preserve">II. DISCUSSION  </w:t>
        <w:br/>
        <w:t>11. Under Article L. 462-8 of the Commercial Code, "The Competition Authority may declare, by reasoned decision, the referral inadmissible .../…if it considers that the facts invoked do not fall within the scope of its competencies."</w:t>
      </w:r>
    </w:p>
    <w:p>
      <w:r>
        <w:t xml:space="preserve">1. THE LEGAL FRAMEWORK  </w:t>
        <w:br/>
        <w:t xml:space="preserve">12. Under Article L. 410-1 of the Commercial Code, the rules defined in Title II of its book apply "to all activities of production, distribution, and services, including those carried out by public entities, notably within the framework of public service delegation agreements."  </w:t>
        <w:br/>
        <w:t xml:space="preserve">13. However, in its Decision No. 86-224 of January 23, 1987, the Constitutional Council established the principle that the administrative judge remains solely competent "for the annulment or reform of decisions made, in the exercise of public authority prerogatives, by administrative authorities."  </w:t>
        <w:br/>
        <w:t xml:space="preserve">14. The criteria for the distribution of competencies between judicial and administrative authorities to address violations of competition law have subsequently been clarified, notably by several decisions of the Tribunal des conflits.  </w:t>
        <w:br/>
        <w:t>15. In this regard, the ruling of the Tribunal des conflits of October 18, 1999, Aéroport de Paris, established the principle that decisions by which public entities: "carry out the public service mission incumbent upon them using public authority prerogatives fall within the jurisdiction of the administrative court."</w:t>
      </w:r>
    </w:p>
    <w:p>
      <w:r>
        <w:rPr>
          <w:b/>
        </w:rPr>
        <w:t>[Pages 4–5]</w:t>
      </w:r>
    </w:p>
    <w:p>
      <w:r>
        <w:t>16. More recently, the Tribunal des conflits refined the criteria for the distribution of jurisdiction between courts in its decision Sociétés Éditions Jean-Paul Gisserot v. Centre des monuments nationaux, dated May 4, 2009, by considering that the jurisdiction of the Competition Authority was not established "with regard to decisions or acts concerning the organization of the public service or implementing public authority prerogatives."</w:t>
      </w:r>
    </w:p>
    <w:p>
      <w:r>
        <w:t>17. It follows from this case law that the Competition Authority is not competent to address practices that pertain to the organization of a public service or the implementation of public authority prerogatives.</w:t>
      </w:r>
    </w:p>
    <w:p>
      <w:r>
        <w:t>2. APPLICATION TO THE CASE AT HAND</w:t>
        <w:br/>
        <w:t>a) On the existence of a public service mission entrusted to the parties involved</w:t>
      </w:r>
    </w:p>
    <w:p>
      <w:r>
        <w:t>18. It follows from the decision of the Tribunal des conflits dated September 23, 2002, Société Sotrame and Metalforme v. GIE SESAM Vitale, rendered in the context of a dispute concerning the harm suffered by a company resulting from the rejection of its application by the GIE in the context of a call for tenders launched by the latter, that a public administrative service mission has been entrusted to the GIE and the CNAMTS.</w:t>
      </w:r>
    </w:p>
    <w:p>
      <w:r>
        <w:t>19. According to this decision: "if the GIE SESAM-Vitale has the character of a legal entity under private law, the decision at the origin of the dispute opposing it to the company SOTRAME was taken by it in the context of the mission it assumes on behalf of and for the account of the funds that constituted it, and notably of the national health insurance fund for salaried workers, for the very execution of the public administrative service of implementing the electronic data entry system for health insurance for which it has been granted exclusive rights."</w:t>
      </w:r>
    </w:p>
    <w:p>
      <w:r>
        <w:t>20. Consequently, the management of the electronic data entry system for health insurance is indeed a public service mission for which the GIE and the CNAMTS have public authority prerogatives.</w:t>
      </w:r>
    </w:p>
    <w:p>
      <w:r>
        <w:t>b) On the decisions to refuse access opposed to the company Celtipharm</w:t>
      </w:r>
    </w:p>
    <w:p>
      <w:r>
        <w:t>21. The encryption of electronic health care forms constitutes a mandatory step in the process of transmitting confidential patient data, for which responsibility has been entrusted by law to the GIE SESAM-Vitale. The decryption keys serve to ensure the security and confidentiality of these information flows.</w:t>
      </w:r>
    </w:p>
    <w:p>
      <w:r>
        <w:t>22. Therefore, any decision related to the decryption process, whether it is a decision to grant the keys or a decision to refuse, is connected to the organization of the public administrative service of implementing the electronic data entry system for health insurance.</w:t>
      </w:r>
    </w:p>
    <w:p>
      <w:r>
        <w:t>23. During the session, the company Celtipharm argued that it was only requesting the communication of the decryption keys as a means of accessing the data flow of the FSE, but that it was open to other means of access, for example, a modification of the coding of commercially useful information that would render the use of encryption keys unnecessary.</w:t>
      </w:r>
    </w:p>
    <w:p>
      <w:r>
        <w:t>24. However, these other means of access would only aim to circumvent the decisions to refuse the granting of the decryption keys and would, in any case, also pertain to the organization of the public administrative service of implementing the electronic data entry system for health insurance. The same applies to the GIE's decision to refuse Celtipharm its accreditation as a front organization, which had been proposed as an alternative solution to the communication of the decryption keys.</w:t>
      </w:r>
    </w:p>
    <w:p>
      <w:r>
        <w:t>25. Finally, it should be noted that, in its appeals before the administrative courts, the complainant considers that the decisions to refuse access to the decryption keys are administrative acts.</w:t>
      </w:r>
    </w:p>
    <w:p>
      <w:r>
        <w:t>26. It follows from the above that the practices attributed to the GIE and the CNAMTS in the present complaint pertain to the organization of a public administrative service and, consequently, do not fall within the jurisdiction of the Competition Authority.</w:t>
      </w:r>
    </w:p>
    <w:p>
      <w:r>
        <w:t>27. Therefore, it is necessary to apply Article L.462-8 of the Commercial Code and declare the referral inadmissible.</w:t>
      </w:r>
    </w:p>
    <w:p>
      <w:r>
        <w:t>DECISION</w:t>
        <w:br/>
        <w:t>Sole Article: The referral by the company Celtipharm is declared inadmissible.</w:t>
        <w:br/>
        <w:t>Deliberated on the oral report of Mr. Pierre Larcher, rapporteur, and the intervention of Mr. Éric Cuziat, deputy rapporteur general, by Mr. Thierry Dahan, session president.</w:t>
        <w:br/>
        <w:t>The session secretary, The vice-president,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