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https://www.autoritedelaconcurrence.fr/fr/decision/relative-des-pratiques-mises-en-oeuvre-dans-le-secteur-de-la-genealogie</w:t>
      </w:r>
    </w:p>
    <w:p>
      <w:r>
        <w:t>Pages translated : 2</w:t>
      </w:r>
    </w:p>
    <w:p/>
    <w:p>
      <w:r>
        <w:rPr>
          <w:b/>
        </w:rPr>
        <w:t>[Pages 1–2]</w:t>
      </w:r>
    </w:p>
    <w:p>
      <w:r>
        <w:t xml:space="preserve">FRENCH REPUBLIC  </w:t>
        <w:br/>
        <w:t xml:space="preserve">Decision No. 03-D-49 of October 27, 2003  </w:t>
        <w:br/>
        <w:t xml:space="preserve">concerning practices implemented in the genealogy sector  </w:t>
        <w:br/>
        <w:t xml:space="preserve">The Competition Council (permanent commission),  </w:t>
        <w:br/>
        <w:t xml:space="preserve">Having regard to the letter registered on October 12, 2001, under number F 1351, by which Mr. X... referred to the Competition Council practices implemented by associations of genealogists;  </w:t>
        <w:br/>
        <w:t xml:space="preserve">Having regard to Book IV of the Commercial Code, relating to the freedom of prices and competition, Decree No. 86-1309 of December 29, 1986, as amended, as well as Decree No. 2002-689 of April 30, 2002, setting the conditions for the application of Book IV of the Commercial Code;  </w:t>
        <w:br/>
        <w:t xml:space="preserve">Having regard to the other documents in the file;  </w:t>
        <w:br/>
        <w:t xml:space="preserve">Having regard to the observations presented by the Government Commissioner;  </w:t>
        <w:br/>
        <w:t xml:space="preserve">The rapporteur, the general rapporteur, the Government Commissioner heard during the session of September 10, 2003; Mr. X..., having been duly summoned;  </w:t>
        <w:br/>
        <w:t xml:space="preserve">Adopts the following decision:  </w:t>
        <w:br/>
        <w:t xml:space="preserve">1. By letter of October 8, 2001, registered with the Council on October 12, Mr. X..., transmitting to the Council a file concerning the Genealogical and Heraldic Center of Marne, argued that the fact that this association, which engaged in a lucrative activity and was subject to tax, could benefit from employment-solidarity and youth employment contracts would constitute an anti-competitive practice to the detriment of professional genealogists.  </w:t>
        <w:br/>
        <w:t xml:space="preserve">2. By letter of August 30, 2002, the designated rapporteur for this case requested the applicant to specify on what grounds he was referring the matter to the Council, in light of the rules of Article L. 462-5 of the Commercial Code.  </w:t>
        <w:br/>
        <w:t xml:space="preserve">3. Mr. X... responded, by letter of October 9, 2002, that he was not a professional genealogist and that, as a result, he did not have the legal standing to refer the matter to the Council. He did, however, report anti-competitive practices attributable to associations of genealogists, which would harm professional genealogists, and requested the Council to take up these practices ex officio.  </w:t>
        <w:br/>
        <w:t xml:space="preserve">4. By letter of August 4, 2003, and in response to the summons to the session of September 10, 2003, which had been sent to him for the examination of the admissibility of the case, the applicant specified that this summons constituted "a procedural error" insofar as he had previously indicated that he knew he was not among the persons authorized to refer matters to the Council. He clarified that his various letters were intended solely to inform the Council of certain practices and that "the Council cannot rule on the admissibility of a referral that does not exist."  </w:t>
        <w:br/>
        <w:t>5. The investigation having thus established that Mr. X... did not have standing to refer the matter to the Council, it is appropriate, by application of the provisions of Article L. 462-8 of the Commercial Code, to declare his referral inadmissible and to close the case.</w:t>
      </w:r>
    </w:p>
    <w:p>
      <w:r>
        <w:t xml:space="preserve">DECISION  </w:t>
        <w:br/>
        <w:t xml:space="preserve">Sole Article – The case registered under number F 1351 is closed.  </w:t>
        <w:br/>
        <w:t xml:space="preserve">Deliberated, on the oral report of Ms. Chaulet-Philippe, by Ms. Hagelsteen, president, Ms. Pasturel, vice-president, and Mr. Piot, member.  </w:t>
        <w:br/>
        <w:t xml:space="preserve">The session secretary, The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