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https://www.autoritedelaconcurrence.fr/fr/decision/relative-des-pratiques-mises-en-oeuvre-dans-le-secteur-de-la-gestion-de-musees-et-des</w:t>
      </w:r>
    </w:p>
    <w:p>
      <w:r>
        <w:t>Pages translated : 7</w:t>
      </w:r>
    </w:p>
    <w:p/>
    <w:p>
      <w:r>
        <w:rPr>
          <w:b/>
        </w:rPr>
        <w:t>[Pages 1–3]</w:t>
      </w:r>
    </w:p>
    <w:p>
      <w:r>
        <w:t>FRENCH REPUBLIC</w:t>
        <w:br/>
        <w:t>Decision No. 17-D-22 of November 29, 2017</w:t>
        <w:br/>
        <w:t>regarding practices implemented in the sector</w:t>
        <w:br/>
        <w:t>of museum and monument management</w:t>
        <w:br/>
        <w:t>The Competition Authority (Vice-President ruling alone),</w:t>
        <w:br/>
        <w:t>Having regard to the letter, registered on May 29, 2017, under number 17/0181 F, by which EURL Saint Jean et Saint Vincent and the Association for the Promotion of the Montmartre Museum referred to the Competition Authority practices implemented by the InterMusées association in the sector of museum and monument management;</w:t>
        <w:br/>
        <w:t>Having regard to Book IV of the Commercial Code;</w:t>
        <w:br/>
        <w:t>Having regard to the other documents in the file;</w:t>
        <w:br/>
        <w:t>Having regard to Decision No. 17-JU-05 of September 28, 2017, by which the President of the Competition Authority designated Mr. Thierry Dahan, Vice-President, to adopt alone the decision resulting from the examination of the referral registered under number 17/0181 F;</w:t>
        <w:br/>
        <w:t>The rapporteur, the Deputy General Rapporteur having been heard during the session of November 15, 2017, the Government Commissioner and the representatives of EURL Saint Jean et Saint Vincent and the Association for the Promotion of the Montmartre Museum having been regularly summoned;</w:t>
        <w:br/>
        <w:t>Adopts the following decision:</w:t>
      </w:r>
    </w:p>
    <w:p>
      <w:r>
        <w:t>I. Findings</w:t>
        <w:br/>
        <w:t>1. By letter registered on May 29, 2017, under number 17/0181 F, EURL Saint Jean et Saint Vincent and the Association for the Promotion of the Montmartre Museum referred to the Competition Authority (hereinafter "the Authority") practices of exclusion implemented by the InterMusées association in the museum management sector.</w:t>
        <w:br/>
        <w:t>A. THE SECTOR AND THE COMPANIES CONCERNED</w:t>
        <w:br/>
        <w:t>1. THE SALE OF MUSEUM TICKETS IN ILE-DE-FRANCE</w:t>
        <w:br/>
        <w:t>2. When visiting Paris, a tourist can choose to pay for entry to a museum or monument individually or purchase bundled tickets that provide access to several sites for a flat fee. The Paris Museum Pass falls into this latter category, allowing access, for a limited period, to about fifty sites in Ile-de-France, including prestigious establishments such as the Louvre, the Palace of Versailles, the Georges Pompidou Center, or the Quai Branly Museum. The price of the Pass ranges from 48 euros for a validity period of 2 days to 74 euros for 6 days. During this period, the holder of the Pass can visit these museums without limit and without using the ticketing system.</w:t>
        <w:br/>
        <w:t>3. There are other combined ticket options in Paris. For example, the Paris Museum Card allows, for 40 euros, unlimited and permanent access to all exhibitions of the museums of the City of Paris. Other cooperations between different sites can also be established on a temporary or permanent basis, such as the combined ticket for entry to the Musée d'Orsay and the Orangerie.</w:t>
        <w:br/>
        <w:t>4. According to official figures from the Ministry of Culture, the number of entries recorded by museums in Ile-de-France amounted to over 37 million in 2014, including a portion of free entries. However, the available data does not allow for distinguishing between entries made by occasional visitors, such as foreign tourists likely to be interested in the Paris Museum Pass, and those attributable to residents of the Île-de-France region, nor to isolate entries with bundled options such as the Paris Museum Pass.</w:t>
        <w:br/>
        <w:t>2. THE COMPANIES CONCERNED</w:t>
        <w:br/>
        <w:t>a) The Montmartre Museum</w:t>
        <w:br/>
        <w:t>5. The Montmartre Museum was created in 1960 by the City of Paris, which owns it. More specifically, the City Hall holds the 18th-century private mansion where the collections of the Society of History and Archaeology of the 9th and 18th arrondissements have been gathered since 1889. Its attendance was 60,000 visitors in 2011 and nearly 115,000 visitors in 2016.</w:t>
        <w:br/>
        <w:t>6. The museum was operated, until 2011, by the association Le Vieux Montmartre. In 2011, the management of the establishment was entrusted, by the City of Paris, to a commercial company, EURL Saint Jean et Saint Vincent, which has since benefited from a long-term emphyteutic lease and a works concession for a duration of 53 years. This lease entrusts the lessee, registered in the commercial register, "the responsibility to renovate, occupy, and exploit privately" the entrusted properties and specifies as an essential condition of the contract: "It is understood that no public service mission is entrusted to the Lessee" (reference 32).</w:t>
        <w:br/>
        <w:t>7. In 2014, the Association for the Promotion of the Montmartre Museum was created with the purpose "to contribute to the public service and general interest missions of the Municipal Museum of Montmartre," notably by providing it with new resources through sponsorship. It also plans to replace EURL Saint Jean et Saint Vincent for a potential membership in the InterMusées association. An agreement between these two structures has been signed to this effect.</w:t>
        <w:br/>
        <w:t>b) The InterMusées Association</w:t>
        <w:br/>
        <w:t>8. The InterMusées association is an association governed by the law of 1901 whose purpose is to "implement the necessary means to contribute to the realization of the cultural interest projects of its members; for this purpose, and in particular, it ensures the creation, coordination, and development of an inter-museum-historical monuments payment title aimed at facilitating access to museums and monuments, a system referred to as the 'museum-monuments card'." Established in 1988, it is managed by a board of directors whose members come from the 16 founding active members, including the City of Paris, the Réunion des Musées nationaux, and the National Museums Center.</w:t>
        <w:br/>
        <w:t>9. It markets the Paris Museum Pass, which currently provides access to approximately 50 museums and monuments exclusively located in Ile-de-France. Since its creation, InterMusées has sold over 10 million Passes. In 2016, 500,000 Paris Museum Passes were sold. For the last three years, the revenue from this marketing has been 31 million euros in 2014, 35 million in 2015, and 20 million in 2016.</w:t>
        <w:br/>
        <w:t>B. THE CONDEMNED PRACTICES</w:t>
        <w:br/>
        <w:t>10. In 2013, the commercial company managing the Montmartre Museum approached InterMusées to inquire about the conditions for membership in the association with a view to being included in the Paris Museum Pass. In response, the InterMusées association indicated that membership was reserved for public establishments or non-profit organizations, which was not the case for EURL Saint Jean et Saint Vincent, which, moreover, presented itself in its correspondence as "the Kléber Rossillon company" named after the group of companies to which it belongs (reference 111).</w:t>
        <w:br/>
        <w:t>11. According to the complainant's own statements, the creation of the Association for the Promotion of the Montmartre Museum and the agreement made by it with EURL Saint Jean et Saint Vincent aimed to circumvent this difficulty. The devised arrangement was that the non-profit promotional association would be responsible for the marketing of the Pass in the event that it was itself admitted to InterMusées. This friends' association is chaired by Ms. X..., who is also a co-manager of EURL.</w:t>
        <w:br/>
        <w:t>12. However, this solution did not receive the approval of InterMusées, which maintained its objection regarding VAT and, in a letter dated April 4, 2016, also noted that the friends' association of the museum did not have any management mandate for the museum itself and could therefore not be one of its members. It thus refused the membership of the Montmartre Museum in this new form of a friends' association.</w:t>
      </w:r>
    </w:p>
    <w:p>
      <w:r>
        <w:rPr>
          <w:b/>
        </w:rPr>
        <w:t>[Pages 4–6]</w:t>
      </w:r>
    </w:p>
    <w:p>
      <w:r>
        <w:t>13. Faced with this obstacle, the Association for the Promotion of the Montmartre Museum, by letter dated June 26, 2016, submitted a request to the General Directorate of Public Finances for a tax ruling guaranteeing that the ticketing sold by it under the Pass would not be subject to VAT. The potential response from the tax administration is not included in the file.</w:t>
      </w:r>
    </w:p>
    <w:p>
      <w:r>
        <w:t>14. The management company of the Montmartre Museum ultimately submitted a complaint to the Authority on May 29, 2017, to establish a discriminatory access refusal attributable to an association of companies or, alternatively, an abusive discriminatory practice by a company in a dominant position.</w:t>
      </w:r>
    </w:p>
    <w:p>
      <w:r>
        <w:t>II. Discussion</w:t>
        <w:br/>
        <w:t>A. THE POSSIBILITIES OF DISMISSAL OF A COMPLAINT PROVIDED BY THE CODE OF COMMERCE</w:t>
      </w:r>
    </w:p>
    <w:p>
      <w:r>
        <w:t>15. Pursuant to the second paragraph of Article L. 462-8 of the Commercial Code, the Authority "may also dismiss the complaint by reasoned decision when the facts invoked are not supported by sufficiently probative elements."</w:t>
      </w:r>
    </w:p>
    <w:p>
      <w:r>
        <w:t>16. Pursuant to the third paragraph of the same article, as amended by Law No. 2015-990 of August 6, 2015, "It may also dismiss the complaint by reasoned decision when the facts invoked can be addressed by the minister responsible for the economy in accordance with Article L. 464-9."</w:t>
      </w:r>
    </w:p>
    <w:p>
      <w:r>
        <w:t>17. The latter article is worded as follows: "The minister responsible for the economy may order companies to cease the practices referred to in Articles L. 420-1 to L. 420-2-2 and L. 420-5 or contrary to the measures taken in accordance with Article L. 410-3 of which they are the authors when these practices affect a market of local dimension, do not concern facts falling under Articles 81 and 82 of the Treaty establishing the European Community, and provided that the turnover that each of them has achieved in France during the last closed financial year does not exceed 50 million euros and that their combined turnover does not exceed 200 million euros."</w:t>
      </w:r>
    </w:p>
    <w:p>
      <w:r>
        <w:t>B. APPLICATION TO THE CASE AT HAND</w:t>
        <w:br/>
        <w:t>1. REGARDING THE EVIDENTIARY ELEMENTS</w:t>
      </w:r>
    </w:p>
    <w:p>
      <w:r>
        <w:t>18. The complainant bases its complaint on two decisions of the Competition Council, decision No. 96-D-04 of January 23, 1996, concerning the breakdown sector, and decision No. 00-D-78 of March 21, 2001, concerning the taxi sector in Besançon, arguing that: "The case law imposes the necessity of objective criteria for the admission or exclusion of economic actors from a professional association" (reference 8).</w:t>
      </w:r>
    </w:p>
    <w:p>
      <w:r>
        <w:t>19. However, according to the decision-making practice of the Council and then the Authority, a grouping or association of companies cannot be reproached for anti-competitive collusion solely because its membership rules are not objective, transparent, and non-discriminatory. This qualification is only conceivable if the failure of its membership rules or their improper application leads to preventing or limiting access to the market for companies that are not admitted.</w:t>
      </w:r>
    </w:p>
    <w:p>
      <w:r>
        <w:t>20. This condition of the existence of a restriction of competition due to the exclusion of certain market players has been regularly confirmed by decision-making practice, for example, by decision No. 01-D-32 of June 27, 2001, concerning the taxi sector in St-Laurent-du-Var: "the absence of objective selection criteria and the discretionary nature of the GIE's decision, reflected by the lack of motivation for the admission refusal decisions, may have obstructed a new entrant's access to the concerned market or, at least, may have limited the access of artisans excluded from the grouping to the clientele; that such practices, implemented by a grouping of companies likely to limit access to the market and the free exercise of competition, are prohibited by Article L. 420-1 of the Commercial Code."</w:t>
      </w:r>
    </w:p>
    <w:p>
      <w:r>
        <w:t>21. This decision-making practice, which requires a restriction of market access, has been confirmed by the Paris Court of Appeal: "Considering that the Competition Council rightly states that while the co-optation admission of new members within a professional organization does not in itself constitute a practice contrary to competition law, such a practice may harm the functioning of free competition if membership in this professional organization is a condition for access to the market" (emphasis added) 1.</w:t>
      </w:r>
    </w:p>
    <w:p>
      <w:r>
        <w:t>22. This criterion is assessed based on a concrete analysis of the functioning of the market, which has led the Council and then the Authority to issue several decisions of no further action when it appeared that the refusal of admission was not likely to prevent access to the market or did not constitute a real handicap to obtaining a sufficient share of it, for example, when alternative solutions were already being used by some operators in the sector. Thus, the 1996 decision, on which the complainant bases its complaint, indicates: "But considering in this case that membership in the association, which, moreover, only grouped a small number of companies, did not constitute a condition for access to the market and, consequently, the grievances retained against the AAF on this ground must be abandoned" 2.</w:t>
      </w:r>
    </w:p>
    <w:p>
      <w:r>
        <w:t>23. In the case at hand, it should be noted that attendance at the Montmartre Museum increased from 60,000 visitors in 2011 to nearly 115,000 visitors in 2016. It therefore seems difficult to consider that the fact that it was not a member of the Paris Museum Pass during this period could have hindered its access to the market.</w:t>
      </w:r>
    </w:p>
    <w:p>
      <w:r>
        <w:t>24. Furthermore, it must be noted that if such a handicap for accessing the market existed, it would have to affect a large number of other establishments placed in a comparable situation. Indeed, the Paris Museum Pass only offers access to 30 Parisian sites, of which a quarter are not museums but historical monuments, whereas, according to figures provided by the Paris Tourism and Congress Observatory, the city of Paris had 206 museums in 2016. More than a hundred of these museums are therefore in the same situation as the Montmartre Museum for several years.</w:t>
      </w:r>
    </w:p>
    <w:p>
      <w:r>
        <w:t>1 Paris Court of Appeal, May 27, 2003, Chamber of Trade of Moving and Storage Companies of France, No. 2002/18680.</w:t>
        <w:br/>
        <w:t>2 Competition Council, decision No. 96-D-04 of January 23, 1996, concerning the breakdown sector in Pays de Loire and Brittany.</w:t>
      </w:r>
    </w:p>
    <w:p>
      <w:r>
        <w:t>25. Moreover, there is a specific system for the museums of the City of Paris, the "Paris Museums Card," which groups 14 establishments that are not members of the Paris Museum Pass, several of which are very popular, such as the Museum of Modern Art, the Petit Palais, the Museum of Romantic Life, the Fashion Museum-Palais Galliera, and the Cernuschi Museum of Asian Art. The Montmartre Museum, which is precisely a museum of the City of Paris, is not, however, a member of the Paris Museums Card, a system that is a priori open to it.</w:t>
      </w:r>
    </w:p>
    <w:p>
      <w:r>
        <w:t>26. Finally, and as a subsidiary point, it should be noted that the reason for refusal put forward by the InterMusées association is essentially based on the commercial nature of the complaining company, which thus sees its ticketing subject to VAT while the Paris Museum Pass is not. This reason does not seem, at this stage, to present a non-objective and discriminatory character.</w:t>
      </w:r>
    </w:p>
    <w:p>
      <w:r>
        <w:t>27. Similarly, the attempt to go through a friends' association as a substitute member for the commercial company was dismissed by InterMusées on the grounds that this association does not manage any museum, as indicated by its statutes and as confirmed by Article 1 of the management agreement entered into in 2016 with EURL Saint Jean and Saint Vincent, which intends only to entrust it with a mandate of "representation of the Montmartre Museum within the framework of its membership in the InterMusées association" (reference 169). This reason also seems, at this stage, objective and non-discriminatory.</w:t>
      </w:r>
    </w:p>
    <w:p>
      <w:r>
        <w:t>28. In the state of the file, the complaint is therefore not supported by sufficiently probative elements to substantiate the assertion that the market situation described by the complainant meets the criteria of the case law recalled in points 19 to 21 above.</w:t>
      </w:r>
    </w:p>
    <w:p>
      <w:r>
        <w:t>2. REGARDING THE COMPETENCE OF THE MINISTER</w:t>
      </w:r>
    </w:p>
    <w:p>
      <w:r>
        <w:t>29. As recalled in point 17 above, the competence of the minister of the economy to directly address an anti-competitive practice is subject to three cumulative conditions: that the market is of local dimension, that European law does not apply, and that the turnover of the companies involved is less than 50 million euros.</w:t>
      </w:r>
    </w:p>
    <w:p>
      <w:r>
        <w:t>30. Now, first, in its decision of April 26, 2007, Merlin/Tussauds3, concerning the takeover of the Tussauds group, which manages, among other things, the Madame Tussauds Museum in London, the European Commission considered that the market for tourist attractions is local. Its limit is the city of establishment itself and a bordering area whose size depends on transport infrastructure.</w:t>
      </w:r>
    </w:p>
    <w:p>
      <w:r>
        <w:t>31. The Paris Museum Pass is, as its name indicates, a Pass granting access to places predominantly located in Paris and, more marginally, in Ile-de-France. Furthermore, its validity period is very short - two, four, or six days - which reinforces the local nature of its use while limiting the number of sites likely to be visited. The local nature of the concerned market can therefore be presumed.</w:t>
      </w:r>
    </w:p>
    <w:p>
      <w:r>
        <w:t>32. Secondly, in its decision of January 21, 2003, concerning the Ecomusée of Alsace, which is located in a border area, the Commission excluded any risk of affecting trade between Member States by noting that "with the exception of a few museums of significant and internationally recognized importance, residents of Member States do not cross borders primarily to visit a museum"4.</w:t>
      </w:r>
    </w:p>
    <w:p>
      <w:r>
        <w:t>3 EC Decision, April 26, 2007, Merlin/Tussauds, COMP/M.4615</w:t>
        <w:br/>
        <w:t>4 EC Decision, January 21, 2003, Measures concerning the Ecomusée of Alsace, NN 136/A02</w:t>
      </w:r>
    </w:p>
    <w:p>
      <w:r>
        <w:rPr>
          <w:b/>
        </w:rPr>
        <w:t>[Pages 7–7]</w:t>
      </w:r>
    </w:p>
    <w:p>
      <w:r>
        <w:t>33. In the present case, it should be noted that the annual attendance of the Montmartre Museum is 115,000 visitors, that the sale of the Paris Museum Pass represents approximately 500,000 units per year, and that these figures should be compared to the 37 million entry tickets sold annually for museums and monuments in Ile-de-France. The presence or absence of the Montmartre Museum within the Paris Museum Pass is therefore likely to have no impact on the structure of the public visiting Parisian museums and consequently on the potential allocation of commerce within the European market.</w:t>
      </w:r>
    </w:p>
    <w:p>
      <w:r>
        <w:t>34. Furthermore, the Commission's guidelines provide that the significant impact of a practice on trade between Member States is very unlikely when the turnover of the practitioner is below 40 million euros and their market share is below 5% at the European level. However, the turnover generated by the sale of the Paris Museum Pass, amounting to 20.8 million euros in 2016, is below the threshold of 40 million euros per year set by the guidelines, and its market share is therefore probably below 5% at the European level.</w:t>
      </w:r>
    </w:p>
    <w:p>
      <w:r>
        <w:t>35. Thirdly, the InterMusées association generated a turnover of 20.8 million euros in 2016, which is below the threshold of 50 million euros set by Article L. 464-9 of the Commercial Code to define the competence of the minister.</w:t>
      </w:r>
    </w:p>
    <w:p>
      <w:r>
        <w:t>36. The practices denounced, as they appear in the current state of the file, can therefore be addressed directly by the Minister of Economy under the competence conferred upon him by Article L. 464-9 of the Commercial Code.</w:t>
      </w:r>
    </w:p>
    <w:p>
      <w:r>
        <w:t>III. Conclusion</w:t>
        <w:br/>
        <w:t>37. In the circumstances of the case and in the current state of the file, the Authority decides to reject the complaint based on the combined provisions of the third paragraph of Article L. 462-8 and Article L. 464-9 of the Commercial Code.</w:t>
      </w:r>
    </w:p>
    <w:p>
      <w:r>
        <w:t>DECISION</w:t>
        <w:br/>
        <w:t>Single Article: The complaint registered under number 17/0181 F is rejected.</w:t>
        <w:br/>
        <w:t>Deliberated on the oral report of Mr. Jérôme d’Huart, rapporteur, and the intervention of Ms. Juliette Théry-Schultz, deputy general rapporteur, by Mr. Thierry Dahan, vice-president, chair of the session.</w:t>
        <w:br/>
        <w:t>The session secretary, The chair of the session,</w:t>
        <w:br/>
        <w:t>Caroline Orsel Thierry Dahan</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