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https://www.autoritedelaconcurrence.fr/fr/decision/relative-des-pratiques-mises-en-oeuvre-dans-le-secteur-de-la-gestion-des-droits-dauteurs</w:t>
      </w:r>
    </w:p>
    <w:p>
      <w:r>
        <w:t>Pages translated : 14</w:t>
      </w:r>
    </w:p>
    <w:p/>
    <w:p>
      <w:r>
        <w:rPr>
          <w:b/>
        </w:rPr>
        <w:t>[Pages 1–3]</w:t>
      </w:r>
    </w:p>
    <w:p>
      <w:r>
        <w:t xml:space="preserve">RÉPUBLIQUE FRANÇAISE  </w:t>
        <w:br/>
        <w:t xml:space="preserve">Decision No. 10-D-34 of December 9, 2010  </w:t>
        <w:br/>
        <w:t>regarding practices implemented in the sector of copyright management of audiovisual works</w:t>
      </w:r>
    </w:p>
    <w:p>
      <w:r>
        <w:t xml:space="preserve">The Competition Authority (section V),  </w:t>
        <w:br/>
        <w:t xml:space="preserve">Having regard to the letter registered on November 27, 2009, under number 09/0131 F, by which the association "Group of 152" referred to the Competition Authority a case concerning certain practices of the Société des auteurs et compositeurs dramatiques, implemented in the sector of audiovisual works;  </w:t>
        <w:br/>
        <w:t xml:space="preserve">Having regard to the Treaty on the Functioning of the European Union and in particular Article 102;  </w:t>
        <w:br/>
        <w:t xml:space="preserve">Having regard to Book IV of the Commercial Code relating to price and competition freedom;  </w:t>
        <w:br/>
        <w:t xml:space="preserve">Having regard to the decisions protecting business secrets No. 10-DSA-54 of March 9, 2010, No. 10-DSA-83 of May 17, 2010, No. 10-DSA-84 of June 2, 2010;  </w:t>
        <w:br/>
        <w:t xml:space="preserve">Having regard to the other documents in the file;  </w:t>
        <w:br/>
        <w:t xml:space="preserve">Having regard to the observations presented by the Government Commissioner and by the Group of 152;  </w:t>
        <w:br/>
        <w:t xml:space="preserve">The rapporteur, the deputy general rapporteur, the Government Commissioner, and the representatives of the association "Group of 152" heard during the session of November 9, 2010;  </w:t>
        <w:br/>
        <w:t>Adopts the following decision:</w:t>
      </w:r>
    </w:p>
    <w:p>
      <w:r>
        <w:t xml:space="preserve">1. The association "Group of 152" aims to defend the author status of directors of television fiction films and the enhancement of the broadcasting rights enjoyed by them.  </w:t>
        <w:br/>
        <w:t>2. It denounces the practices of the Société des auteurs et compositeurs dramatiques (hereinafter "SACD") concerning the remuneration of copyright for directors of television fiction films and the representation modalities of the interested parties in the bodies of the SACD.</w:t>
      </w:r>
    </w:p>
    <w:p>
      <w:r>
        <w:t xml:space="preserve">I. Findings  </w:t>
        <w:br/>
        <w:t xml:space="preserve">A. REMUNERATION OF CREATORS OF AUDIOVISUAL WORKS  </w:t>
        <w:br/>
        <w:t xml:space="preserve">1. THE AUDIOVISUAL WORK  </w:t>
        <w:br/>
        <w:t xml:space="preserve">a) Copyright  </w:t>
        <w:br/>
        <w:t xml:space="preserve">3. Under Article L. 111-1 of the Intellectual Property Code, "the author of a work of the mind enjoys, by the mere fact of its creation, an exclusive and enforceable incorporeal property right over this work. This right includes attributes of an intellectual and moral nature as well as attributes of a patrimonial nature (...)." Under the moral rights, Article L. 121-1 of the same code adds that "the author enjoys the right to respect for his name, his quality, and his work (...). It is perpetual, inalienable, and imprescriptible (...)." Under the patrimonial rights, Article L. 122-1 specifies that the exploitation right belonging to the author includes the right of representation and the right of reproduction.  </w:t>
        <w:br/>
        <w:t xml:space="preserve">4. Representation may be made in the form of communication of the work to the public by broadcasting (Article L. 122-2). Broadcasting is understood as the transmission by any telecommunication means of sounds, images, documents, data, and messages of any kind.  </w:t>
        <w:br/>
        <w:t xml:space="preserve">5. Works of the mind within the meaning of the said code are considered to be "cinematographic works and other works consisting of animated sequences of images, whether sound or not, collectively referred to as audiovisual works (...)" (Article L. 112-2). Decree No. 90-66 of January 17, 1990, amended by the decree of December 23, 2004, defines audiovisual works as "programs not falling under one of the following genres: feature-length cinematographic works; news and information programs; variety shows; games; programs other than fictions predominantly made on set; sports broadcasts; advertising messages; teleshopping; self-promotion; teletext service."  </w:t>
        <w:br/>
        <w:t>6. The authors of an audiovisual work are "(...) the natural person(s) who realize the intellectual creation of this work. Unless proven otherwise, the following are presumed co-authors of an audiovisual work created in collaboration: 1° The author of the screenplay; 2° The author of the adaptation; 3° The author of the spoken text; 4° The author of the musical compositions with or without lyrics specially created for the work; 5° The director" (Article L. 113-7 of the Intellectual Property Code).</w:t>
      </w:r>
    </w:p>
    <w:p>
      <w:r>
        <w:t xml:space="preserve">b) The creation of the audiovisual work  </w:t>
        <w:br/>
        <w:t xml:space="preserve">7. An audiovisual fiction work requires, beforehand, the writing of a screenplay telling a story originating from the imagination of one or more screenwriters.  </w:t>
        <w:br/>
        <w:t xml:space="preserve">8. The screenplay is the culmination of the initial project carried by the screenwriter(s), following the various stages which include, notably, the argument or main idea (in English, pitch), the synopsis (the detailed summary of the film's story, in ten to fifteen pages), the dialogue continuity, also called sequential breakdown (the chronological visual and auditory description of the story), and the technical breakdown (the fragmentation of the dialogue continuity into shots containing all indications). The screenplay is the initial support on which the entire artistic team of the film relies.  </w:t>
        <w:br/>
        <w:t xml:space="preserve">9. The finalization of the screenplay then allows for the launch of the production of the project, according to three stages: pre-production, production, and post-production.  </w:t>
        <w:br/>
        <w:t>10. In this context, the role of the director is to take charge of the direction of the production of the audiovisual work based on the screenplay. He must organize, prior to the actual production, the shooting, which includes notably choosing the actors and technicians, conducting location scouting, and breaking down the screenplay into shots. During the shooting, he must direct the work of the actors and technicians and make artistic and technical choices while respecting the budget and the allotted time. In the post-production period, he supervises the editing and choices related to the soundtrack of the work. Finally, he decides on the standard copy (in television, the "PAD" copy, meaning ready to broadcast).</w:t>
      </w:r>
    </w:p>
    <w:p>
      <w:r>
        <w:t xml:space="preserve">2. REMUNERATION OF CREATORS  </w:t>
        <w:br/>
        <w:t xml:space="preserve">a) The SACD  </w:t>
        <w:br/>
        <w:t xml:space="preserve">11. The SACD is the oldest authors' society and has more than 40,000 members, authors of live performance works and audiovisual works. In the field of live performance, the main repertoires are those of theater, opera, musical comedy, and circus arts, and in the audiovisual field, the works concerned are short and feature films, television films, television series, soap operas, and animation. All these works constitute the repertoire of the SACD.  </w:t>
        <w:br/>
        <w:t xml:space="preserve">12. The social purpose of the SACD, defined in Article 3 of its statutes, is to defend the rights of its members against all users and, more generally, to defend the moral and material interests of the members of the society and the profession of author, the exercise and administration in all countries of all rights relating to the representation or reproduction of the works of its members, the collection and distribution of remuneration arising from the exercise of these rights, the implementation of means to enhance the repertoire of the society and to promote it to the public, actions of foresight and solidarity in favor of the different categories of members, their families, and their relatives.  </w:t>
        <w:br/>
        <w:t xml:space="preserve">13. The SACD is a society for the collection and distribution of copyright (Article L. 321-1 of the Intellectual Property Code), constituted in the form of a civil society.  </w:t>
        <w:br/>
        <w:t>14. It is Law No. 85-660 of July 3, 1985, relating to copyright and the rights of performers, producers of phonograms and videograms, and the</w:t>
      </w:r>
    </w:p>
    <w:p>
      <w:r>
        <w:rPr>
          <w:b/>
        </w:rPr>
        <w:t>[Pages 4–6]</w:t>
      </w:r>
    </w:p>
    <w:p>
      <w:r>
        <w:t xml:space="preserve">SACD ».  </w:t>
        <w:br/>
        <w:t xml:space="preserve">34. Les auteurs peuvent également bénéficier de la gestion collective de leurs droits par la SACD, qui leur permet de percevoir des redevances pour l'utilisation de leurs œuvres dans le cadre de la diffusion audiovisuelle.  </w:t>
        <w:br/>
        <w:t xml:space="preserve">35. La SACD s'engage à assurer une répartition équitable des droits d'auteur entre ses membres, en tenant compte des spécificités de chaque type d'œuvre et de chaque mode d'exploitation.  </w:t>
        <w:br/>
        <w:t xml:space="preserve">36. Les décisions concernant la répartition des droits sont prises par le conseil d'administration de la SACD, qui se compose de représentants élus des différents secteurs de la création artistique.  </w:t>
        <w:br/>
        <w:t xml:space="preserve">37. La SACD veille à ce que les auteurs soient informés des modalités de répartition des droits et des montants perçus au titre de leurs œuvres.  </w:t>
        <w:br/>
        <w:t xml:space="preserve">38. En cas de litige concernant la répartition des droits, les auteurs peuvent saisir les instances compétentes de la SACD pour obtenir des clarifications et des solutions.  </w:t>
        <w:br/>
        <w:t xml:space="preserve">39. La SACD est également responsable de la défense des droits de ses membres auprès des instances judiciaires et administratives, afin de garantir le respect de leurs droits d'auteur.  </w:t>
        <w:br/>
        <w:t>40. Enfin, la SACD s'efforce de promouvoir les œuvres de ses membres et de sensibiliser le public à l'importance des droits d'auteur dans le domaine de la création artistique.</w:t>
      </w:r>
    </w:p>
    <w:p>
      <w:r>
        <w:rPr>
          <w:b/>
        </w:rPr>
        <w:t>[Pages 7–9]</w:t>
      </w:r>
    </w:p>
    <w:p>
      <w:r>
        <w:t xml:space="preserve">on the use of works registered in their repertoire." Article 10 of the SACD's general regulations states that "the declaration form allows for the allocation of royalties generated by the declared work, an allocation that is carried out among the signatories according to the keys defined by the Board of Directors or, in the absence of these, by mutual agreement among the said signatories." The declaration form is the identity sheet of the work, completed and signed by all co-authors, which allows for the distribution of rights among them. It is therefore the responsibility of the Board of Directors to define the distribution keys among the different authors of the work.  </w:t>
        <w:br/>
        <w:t xml:space="preserve">34. The Group of 152 believes that, due to the unequal distribution of board member positions between directors and screenwriters of television fiction works, the SACD has imposed unfair trading conditions on directors, which have significant economic consequences for them.  </w:t>
        <w:br/>
        <w:t xml:space="preserve">2. ARTICLE 21 OF THE SACD STATUTES (DELEGATION TO THE TELEVISION SPECIALIZED COMMISSION)  </w:t>
        <w:br/>
        <w:t xml:space="preserve">35. The referral also challenges Article 21 of the SACD statutes, which states that "the Board of Directors, the president, and the general director have the authority to delegate certain of their prerogatives to specialized commissions [...] under the conditions and limits provided for by the internal regulations of the Board of Directors." From this provision, the Group of 152 concludes that if "a subject relates to a point directly concerning audiovisual matters, the commission will be composed of nine members, the majority of whom are screenwriters," and therefore that "television work directors, unlike film directors, are statutorily in the minority within their commission in the Board of Directors and ad hoc committees."  </w:t>
        <w:br/>
        <w:t xml:space="preserve">3. ARTICLE 13 OF THE SACD STATUTES (CONDITIONS OF ACCESS TO THE BOARD OF DIRECTORS AND COMMITMENTS PREVIOUSLY MADE BY THE SACD TO THE COMPETITION COUNCIL)  </w:t>
        <w:br/>
        <w:t xml:space="preserve">36. Finally, the referral challenges Article 13 of the statutes regarding the general conditions of access to the Board of Directors, which would exacerbate the effects of unequal representation in the decision-making bodies of certain authors of the image resulting from Article 12 of the statutes. Article 13 of the SACD statutes states that "any member may apply for a position on the Board of Directors in the discipline or quality of their choice provided that they [...] have not limited their contribution to the Society in accordance with Article 9 of the statutes." The referral emphasizes "that in manifest violation of the commitments [made] before the Competition Council, the SACD continues [through the provisions of Article 13] to dissuade authors from splitting their rights."  </w:t>
        <w:br/>
        <w:t xml:space="preserve">37. In its decision No. 05-D-16 of April 26, 2005, regarding practices implemented by the SACD, the Competition Council, having taken the initiative to address competition issues posed by certain clauses of its statutes, accepted commitments to close the procedure. The SACD, to resolve competition issues related to the lack of possibility for authors to split their contributions by categories of works in the statutes, had indeed proposed commitments to the Competition Council. It notably proposed to allow authors to split their contributions by distinguishing three categories: dramatic works, audiovisual works, and images. The SACD committed to implementing this splitting option on January 1, 2006. It also proposed the option to withdraw certain categories of works from its management during the social life under certain conditions and limits.  </w:t>
        <w:br/>
        <w:t xml:space="preserve">38. The commitments were to be reflected in the amendment of Articles 9 and 40 of the statutes and Article 1 of the general regulations. The Competition Council also took note of the proposed statutory reforms referred to in Article 8 on splitting by territory and the fact that the SACD did not exclude a pricing modulation based on the options chosen by the authors. However, at that time, the amendment of Article 13 of the statutes was not deemed necessary to resolve the identified competition issues, and it was not mentioned in decision No. 05-D-16.  </w:t>
        <w:br/>
        <w:t xml:space="preserve">II. Discussion  </w:t>
        <w:br/>
        <w:t xml:space="preserve">39. Article L. 464-6 of the Commercial Code states that "when no practice likely to harm competition in the market is established, the Competition Authority may decide, after the author of the referral and the government commissioner have been given the opportunity to consult the file and make their observations, that there is no need to continue the procedure."  </w:t>
        <w:br/>
        <w:t xml:space="preserve">40. In this case, a proposal for non-suit was communicated on July 29, 2010.  </w:t>
        <w:br/>
        <w:t xml:space="preserve">A. ON THE MARKET AND THE POSITION OF THE SACD  </w:t>
        <w:br/>
        <w:t xml:space="preserve">41. As noted by the Competition Council in its decision No. 04-D-27 of July 1, 2004, regarding the practices of certain television channels towards producers of audiovisual works, in terms of audiovisual works, "it is necessary to distinguish between a market for the production of audiovisual works and a market for the management of rights to the same works."  </w:t>
        <w:br/>
        <w:t xml:space="preserve">42. In its aforementioned decision No. 05-D-16, the Competition Council specified that "in the relationship between a collective management society and the author, the relevant market to consider is not the management of the repertoire in its entirety, but the provision of management services for a category of rights attached to this repertoire." In this context, the Council identified the relevant market as the market for rights to audiovisual works.  </w:t>
        <w:br/>
        <w:t xml:space="preserve">43. In the same decision, it also found that "authors, in order to recover their television rights, have no real choice but to join the SACD, which is in a de facto monopoly position." It added that "the collective management of audiovisual rights [was] currently unavoidable."  </w:t>
        <w:br/>
        <w:t xml:space="preserve">B. ON THE EXISTENCE OF DISCRIMINATORY PRACTICES  </w:t>
        <w:br/>
        <w:t xml:space="preserve">44. The SACD provides services to its members, who are the rights holders, acting as intermediaries with users regarding the negotiation and collection of copyright. The competitive analysis must therefore take into account the effectiveness in terms of the service provided to rights holders, but also from the perspective of broadcasters who purchase a right to use the entirety of the SACD's repertoire.  </w:t>
        <w:br/>
        <w:t xml:space="preserve">45. The Court of Justice of the European Communities indicated, in the judgment of 27 (21) March 1974 Belgische Radio en Televisie and Société belge des auteurs, compositeurs et éditeurs v. SV SABAM and NV Fonior (127/73, Rec. p. 313), that "pursuant to Article 86, paragraph 2, a, of the Treaty [now Article 102, paragraph 2, TFEU], it must be considered an abusive practice, in particular, to impose directly or indirectly unfair trading conditions; it is therefore necessary to ascertain whether the copyright society, by virtue of its statutes or the contracts it concludes with its members, imposes directly or indirectly on them or on third parties, unfair conditions (...)." It added that "the fact that an undertaking entrusted with the exploitation of copyright, occupying a dominant position within the meaning of Article 86, would impose on its members commitments that are not essential to the realization of its corporate purpose and that would thus unfairly hinder a member's freedom in exercising their copyright, may constitute abusive exploitation," and that it is "up to the judge to assess whether, and to what extent, any abusive practices found affect the interests of the authors or third parties concerned in order to draw the consequences on the validity and effect of the disputed contracts or certain of their clauses."  </w:t>
        <w:br/>
        <w:t xml:space="preserve">46. As the European Parliament stated in its resolution of January 15, 2004, on a community framework for collective management societies in the field of copyright and related rights, "the de jure or de facto monopolies generally exercised by collective management societies do not in themselves constitute a competition problem, provided that they do not impose unreasonable limitations on their members."  </w:t>
        <w:br/>
        <w:t xml:space="preserve">1. ON THE DISTRIBUTION OF RIGHTS.  </w:t>
        <w:br/>
        <w:t xml:space="preserve">47. According to the terms of the referral, "the distributions of rights between screenwriters and directors of cinematographic and audiovisual works are different even though the work is identical in both cases."  </w:t>
        <w:br/>
        <w:t xml:space="preserve">48. However, Decree No. 90-66 of January 17, 1990, taken for the application of Law No. 86-1067 of September 30, 1986, and setting out the general principles concerning the broadcasting of cinematographic and audiovisual works by television service providers, establishes a distinction between cinematographic works and audiovisual works, a distinction based on the difference in nature and conditions of creation and exploitation of the two categories of works.  </w:t>
        <w:br/>
        <w:t xml:space="preserve">49. Regarding the allegedly unequal distribution of broadcasting rights between directors and screenwriters of audiovisual works, it should be noted that this decision, resulting from a vote of the general assembly of the SACD, concerns two distinct professions, operating in different markets and therefore not competing with each other.  </w:t>
        <w:br/>
        <w:t>50. Under these conditions, in the absence of competitive impact, it is not for the Competition Authority to take a position on the alleged inequity in the distribution of broadcasting rights between directors and screenwriters of audiovisual works.</w:t>
      </w:r>
    </w:p>
    <w:p>
      <w:r>
        <w:rPr>
          <w:b/>
        </w:rPr>
        <w:t>[Pages 10–12]</w:t>
      </w:r>
    </w:p>
    <w:p>
      <w:r>
        <w:t xml:space="preserve">2. ON THE REPRESENTATION WITHIN THE ORGANS OF THE SACD  </w:t>
        <w:br/>
        <w:t xml:space="preserve">a) The composition of the board of directors (Article 12 of the statutes)  </w:t>
        <w:br/>
        <w:t xml:space="preserve">51. Before 1996, the representation of authors of television works on the commission (a term that was replaced by the term board of directors in December 2000) did not distinguish between the status of screenwriter and that of director. The members of the commission elected by the general assembly were distributed as follows:  </w:t>
        <w:br/>
        <w:t xml:space="preserve">seven dramatic authors;  </w:t>
        <w:br/>
        <w:t xml:space="preserve">three dramatic composers;  </w:t>
        <w:br/>
        <w:t xml:space="preserve">one author of choreographic works;  </w:t>
        <w:br/>
        <w:t xml:space="preserve">three authors of cinematographic works;  </w:t>
        <w:br/>
        <w:t xml:space="preserve">six authors of television works;  </w:t>
        <w:br/>
        <w:t xml:space="preserve">one author of radio works;  </w:t>
        <w:br/>
        <w:t xml:space="preserve">one author of radio or cinematographic works.  </w:t>
        <w:br/>
        <w:t xml:space="preserve">52. The distinction between the status of screenwriter and that of director of television works proposed at that time by the commission (which became the board of directors in December 2000), with broad support from directors, was adopted by the members during the extraordinary general assembly on December 11, 1996. This reform consisted of increasing the number of elected members on the commission for television works from six to eight and providing for a distinction between the status of screenwriter and that of director, each of the two categories having four seats. The objective of this reform was to better reflect the evolution of television professions. Following this statutory reform, the members elected by the general assembly were distributed as follows:  </w:t>
        <w:br/>
        <w:t xml:space="preserve">seven dramatic authors;  </w:t>
        <w:br/>
        <w:t xml:space="preserve">three dramatic composers;  </w:t>
        <w:br/>
        <w:t xml:space="preserve">one author of choreographic works;  </w:t>
        <w:br/>
        <w:t xml:space="preserve">four authors of cinematographic works;  </w:t>
        <w:br/>
        <w:t xml:space="preserve">eight authors of television works, divided into four authors of writing and four authors of image;  </w:t>
        <w:br/>
        <w:t xml:space="preserve">one author of multimedia works;  </w:t>
        <w:br/>
        <w:t xml:space="preserve">one author of radio works.  </w:t>
        <w:br/>
        <w:t xml:space="preserve">53. During the ordinary general assembly on June 17, 2004, two deliberation requests presented by two screenwriters were adopted by the members. The first concerned the creation of an additional vice-presidency within the audiovisual commission so that screenwriters and directors would be equally represented by a vice-presidency. The second consisted of creating an additional seat for a screenwriter of television works on the board of directors.  </w:t>
        <w:br/>
        <w:t xml:space="preserve">54. The statutory amendment was then unanimously proposed by the board of directors of the SACD on February 24, 2005, and adopted by the extraordinary general assembly on June 16, 2005, with 11,453 votes in favor, 4,862 votes against, and 370 abstentions. Since this statutory amendment, the board of directors, regarding the representation of authors of audiovisual works, includes five screenwriters and four directors. However, no category of authors holds a sufficient number of seats within the board of directors, a decision-making body composed of twenty-eight directors, to guarantee it a predominance in decisions.  </w:t>
        <w:br/>
        <w:t xml:space="preserve">55. In these conditions, the criticism that directors are in the minority on the board of directors of the SACD and have been subject to discrimination does not fall under competition law.  </w:t>
        <w:br/>
        <w:t xml:space="preserve">b) The decision-making power of the television specialized commission  </w:t>
        <w:br/>
        <w:t xml:space="preserve">56. The specialized commissions provided for in Article 21 of the statutes of the SACD do not have decision-making power. According to the internal regulations of the board of directors, it only delegates to these commissions the study of issues within their remit (Article 12), the board of directors being the only body authorized to examine the proposals of the specialized commissions and to decide on the follow-up (Article 14).  </w:t>
        <w:br/>
        <w:t xml:space="preserve">57. The board of directors must "determine, when the rights brought [to the SACD] must be exercised through collective management, the distribution scales between works as well as the distribution keys between authors or rights holders, particularly within the framework of general contracts for the use of works managed [by the SACD] concluded with all broadcasting organizations" (Article 21 of the statutes).  </w:t>
        <w:br/>
        <w:t xml:space="preserve">58. The television commission is chaired by two vice-presidents, one representing the screenwriters' college, the other representing the directors' college. This commission has as its only decision-making attribution cultural action in the field of television. In practice, the board of directors of the SACD is organized around two main specialized commissions: the audiovisual commission and the live performance commission. The board of directors meets once a month. In the meantime, the two specialized commissions meet. The audiovisual commission consists of representatives from the television repertoire (nine directors), cinema (four directors), radio (one director), and animation (one director).  </w:t>
        <w:br/>
        <w:t xml:space="preserve">59. Decisions are made solely by the board of directors and not by the specialized commissions. The pooling of the SACD's repertoires implies that there is no decision and voting by repertoire. In other words, no decision is made within the television commission, except for the allocation of funds derived from revenues related to private copying, allocated to cultural action.  </w:t>
        <w:br/>
        <w:t xml:space="preserve">60. Furthermore, at the board of directors, each director can request to address a question not on the agenda once a year (Article 6, paragraph 2, of the internal regulations of the board of directors). Each director can also address a topic within the framework of miscellaneous questions. It is up to the directors to assert their rights in this regard.  </w:t>
        <w:br/>
        <w:t xml:space="preserve">61. Similarly, Article 18 of the statutes of the SACD provides that "a group of members representing at least two thousand votes may request that any question not presenting any individual character be included on the agenda of the board of directors by asking three weeks in advance. If the group expresses the wish, the representative it designates is heard by the board of directors."  </w:t>
        <w:br/>
        <w:t xml:space="preserve">62. A blockage at the level of a specialized commission, if it occurs, can therefore be circumvented, even if these commissions are in principle responsible for preparing the files for the board of directors.  </w:t>
        <w:br/>
        <w:t xml:space="preserve">c) Conclusion  </w:t>
        <w:br/>
        <w:t xml:space="preserve">63. The examination of the rules of composition of the bodies of the SACD at the level of its board of directors reveals a differentiated treatment between directors and screenwriters of audiovisual works.  </w:t>
        <w:br/>
        <w:t xml:space="preserve">64. However, this differentiated treatment results from the free choice of members, as expressed in the general assembly of the SACD in accordance with the rules of common corporate law.  </w:t>
        <w:br/>
        <w:t xml:space="preserve">65. Furthermore, it has appeared that directors and screenwriters of audiovisual works are not placed in an identical situation in the process of creating a work as they are complementary and not competitors.  </w:t>
        <w:br/>
        <w:t xml:space="preserve">66. In terms of competition law, a differentiated practice is not discriminatory as long as the economic actors concerned belong to different categories and operate in distinct markets.  </w:t>
        <w:br/>
        <w:t xml:space="preserve">67. Therefore, the practices alleged by the Group of 152 have no impact on competition and cannot be apprehended under the rules prohibiting anti-competitive practices.  </w:t>
        <w:br/>
        <w:t xml:space="preserve">3. ON ACCESS TO THE BOARD OF DIRECTORS AND THE COMMITMENTS MADE BY THE SACD BEFORE THE COMPETITION COUNCIL  </w:t>
        <w:br/>
        <w:t xml:space="preserve">68. On June 16, 2005, the general assembly of the SACD adopted a modification of Article 13 of the statutes. In the context of the procedure leading to decision No. 05-D-16, a modification of Article 13 of the statutes had been proposed by the SACD during the discussion of commitments with the Competition Council, but it did not appear necessary to remedy the competition concerns highlighted and was therefore not included in the text of the commitments. The modification resulting in the current wording of Article 13, different from that proposed during the aforementioned discussion, nevertheless occurred following the Council's decision, like the other statutory modifications.  </w:t>
        <w:br/>
        <w:t xml:space="preserve">69. During the procedure before the Competition Council, the SACD, by letter dated February 8, 2005, proposed the following modification of Articles 13 and 36 of the statutes, to draw the consequences of the fragmentation of contributions. Regarding Article 13, the SACD proposed that "any member may apply for election to the board of directors in the discipline or quality of their choice, provided that, on the date of the election, they have contributed their rights in the relevant discipline, […]. To be eligible, the member must also have declared, during the period indicated below prior to the election, one or more works that have generated at least the following number of shares, in the discipline or quality in which they are presenting themselves (...)" and, regarding Article 36, that "any member has the right to participate in general assemblies with voting rights. However, the member may only participate in the election of members of the board of directors in the disciplines for which they have contributed their rights to the Society. (…)".  </w:t>
        <w:br/>
        <w:t>70. The SACD justified these proposed modifications by stating that, even though the SACD does not recognize voting by college, it seemed difficult to admit that "an author who has deliberately removed a category of works from the management of the society could elect representatives of said works or be elected themselves to represent them while they [would have] entrusted their management to another authors' society."</w:t>
      </w:r>
    </w:p>
    <w:p>
      <w:r>
        <w:rPr>
          <w:b/>
        </w:rPr>
        <w:t>[Pages 13–14]</w:t>
      </w:r>
    </w:p>
    <w:p>
      <w:r>
        <w:t>71. The principle of strict interpretation of injunctions extends to commitments as the Competition Council indicated in its opinion No. 08-A-01 of January 28, 2008, regarding the compliance with commitments made by the TF1 and AB groups in the context of the joint control of TMC. The Competition Authority recently reiterated: "commitments, like injunctions, are subject to strict interpretation, as the Paris Court of Appeal recalled in a judgment of September 10, 1996 (société méditerranéenne de béton)" (cf. decision No. 10-D-21 of June 30, 2010, regarding compliance by Neopost France and Satas with the commitments made in the Competition Council decision No. 05-D-49 of July 25, 2005).</w:t>
      </w:r>
    </w:p>
    <w:p>
      <w:r>
        <w:t>72. In this case, the commitments made mandatory by decision No. 05-D-16 have not been disregarded since this decision does not address either Article 13 or Article 36 of the statutes. Nevertheless, the content of the current Article 13 can be examined.</w:t>
      </w:r>
    </w:p>
    <w:p>
      <w:r>
        <w:t>73. The Competition Council had, in decision No. 05-D-16, recalled that the CJEU in the aforementioned SABAM judgment invited an assessment of the clauses imposed by copyright societies based on their purpose and effects, through a case-by-case analysis.</w:t>
      </w:r>
    </w:p>
    <w:p>
      <w:r>
        <w:t>74. In the context of the present case, the SACD confirmed, regarding the drafting of Article 13, that it initially considered a partial ineligibility of the member who had divided their contributions, meaning their ineligibility only in the repertoire not contributed to the SACD. This principle was initially presented to the Competition Council on February 8, 2005.</w:t>
      </w:r>
    </w:p>
    <w:p>
      <w:r>
        <w:t>75. However, the SACD considered that a partial ineligibility raised a serious difficulty as it would have posed the risk of having one or more elected members on the board of directors who, although having removed the management of their works from the SACD in respect of a repertoire, would have retained the ability to vote on decisions in the non-contributed or withdrawn sector. According to the principle of mutualization that governs the functioning of the SACD, decisions of the board of directors are indeed not adopted by colleges, but by all directors, regardless of the repertoire in which they were elected and regardless of the sector of activity concerned by the decision (audiovisual or live performance). Total ineligibility for the board of directors of the author who has divided their contributions also appeared necessary to the SACD in order to preserve the confidentiality of the preparatory files for the board's decisions and to avoid any situation of conflict of interest for a director who has made a partial contribution of their rights to a competing authors' society.</w:t>
      </w:r>
    </w:p>
    <w:p>
      <w:r>
        <w:t>76. Such considerations may appear legitimate and do not, a priori, have an anti-competitive purpose. Furthermore, since 2005, 152 authors have divided their contributions to the SACD, namely 90 authors of audiovisual works and 62 authors of live performance. Moreover, some authors have left the SACD following the amendment of the statutes resulting from the decision of the Competition Council. These are mainly foreign authors who decided to entrust the management of their rights to their agent. New authors are also affected by the limitation of contributions, particularly when they only fall under one repertoire. In practice, the commitments made by the SACD in 2005 before the Competition Council have therefore not led to a massive departure of authors and, conversely, the amendment of Articles 13 and 36 of the statutes has not prevented a significant number of authors from dividing their contributions.</w:t>
      </w:r>
    </w:p>
    <w:p>
      <w:r>
        <w:t>77. Consequently, the statutory amendment ultimately adopted, which is based on legitimate justifications, does not have an anti-competitive purpose. It has also not had any significant anti-competitive effect, which would be reflected by a counter-incentive to the division of contributions.</w:t>
      </w:r>
    </w:p>
    <w:p>
      <w:r>
        <w:t>CONCLUSION</w:t>
      </w:r>
    </w:p>
    <w:p>
      <w:r>
        <w:t>78. It follows from all of the above that it is not established that the SACD has violated the provisions of Article L. 420-2 of the Commercial Code.</w:t>
      </w:r>
    </w:p>
    <w:p>
      <w:r>
        <w:t>79. It is therefore appropriate to apply the provisions of Article L. 464-6 of the Commercial Code and to pronounce a dismissal of the proceedings.</w:t>
      </w:r>
    </w:p>
    <w:p>
      <w:r>
        <w:t>DECISION</w:t>
      </w:r>
    </w:p>
    <w:p>
      <w:r>
        <w:t xml:space="preserve">Sole Article: There is no need to continue the proceedings.  </w:t>
        <w:br/>
        <w:t xml:space="preserve">Deliberated on the oral report of Mr. Hugues Julié and the intervention of Mr. Jean-Marc Belorgey, deputy general rapporteur, by Mr. Patrick Spilliaert, vice-president, president of the session, Ms. Laurence Idot and Ms. Pierrette Pinot as well as Mr. Emmanuel Combe, members.  </w:t>
        <w:br/>
        <w:t xml:space="preserve">The session secretary,  </w:t>
        <w:br/>
        <w:t xml:space="preserve">The vice-president,  </w:t>
        <w:br/>
        <w:t xml:space="preserve">Marie-Anselme Lienafa  </w:t>
        <w:br/>
        <w:t xml:space="preserve">Patrick Spilliaert  </w:t>
        <w:br/>
        <w:t>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