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https://www.autoritedelaconcurrence.fr/fr/decision/relative-des-pratiques-mises-en-oeuvre-dans-le-secteur-de-la-gestion-technique-des</w:t>
      </w:r>
    </w:p>
    <w:p>
      <w:r>
        <w:t>Pages translated : 35</w:t>
      </w:r>
    </w:p>
    <w:p/>
    <w:p>
      <w:r>
        <w:rPr>
          <w:b/>
        </w:rPr>
        <w:t>[Pages 1–3]</w:t>
      </w:r>
    </w:p>
    <w:p>
      <w:r>
        <w:t>FRENCH REPUBLIC</w:t>
      </w:r>
    </w:p>
    <w:p>
      <w:r>
        <w:t>Decision No. 21-D-05 of March 4, 2021</w:t>
      </w:r>
    </w:p>
    <w:p>
      <w:r>
        <w:t>concerning practices implemented in the sector of technical building management in Lille metropolitan urban community</w:t>
      </w:r>
    </w:p>
    <w:p>
      <w:r>
        <w:t>The Competition Authority (permanent commission),</w:t>
      </w:r>
    </w:p>
    <w:p>
      <w:r>
        <w:t>Having regard to the letter of April 8, 2019, registered under number 19/0016 F, by which the Minister of Economy and Finance referred to the Competition Authority practices implemented in the sector of technical building management in Lille metropolitan urban community;</w:t>
      </w:r>
    </w:p>
    <w:p>
      <w:r>
        <w:t>Having regard to Book IV of the Commercial Code and in particular its Article L. 420-1;</w:t>
      </w:r>
    </w:p>
    <w:p>
      <w:r>
        <w:t>Having regard to the decision of the General Rapporteur of June 22, 2020, stating that the case will be subject to a decision by the Competition Authority without prior establishment of a report;</w:t>
      </w:r>
    </w:p>
    <w:p>
      <w:r>
        <w:t>Having regard to the observations presented by the companies Santerne Nord Tertiaire, Vinci Energies France, Vinci Energies, Vinci, and the Government Commissioner;</w:t>
      </w:r>
    </w:p>
    <w:p>
      <w:r>
        <w:t>Having regard to the other documents in the file;</w:t>
      </w:r>
    </w:p>
    <w:p>
      <w:r>
        <w:t>The rapporteur, the deputy general rapporteur, the representatives of the companies Santerne Nord Tertiaire, Vinci Energies France, Vinci Energies, Vinci, and the Government Commissioner heard during the session of the Competition Authority on December 9, 2020;</w:t>
      </w:r>
    </w:p>
    <w:p>
      <w:r>
        <w:t>Adopts the following decision:</w:t>
      </w:r>
    </w:p>
    <w:p>
      <w:r>
        <w:t>Summary1</w:t>
      </w:r>
    </w:p>
    <w:p>
      <w:r>
        <w:t>By this decision, the Competition Authority has jointly imposed a sanction of 435,000 euros on the company Santerne Nord Tertiaire (hereinafter "Santerne") as the perpetrator and on several companies of the Vinci group in their capacity as parent companies, for having implemented a concerted practice aimed at distorting competition, prohibited by Article L. 420-1 of the Commercial Code.</w:t>
      </w:r>
    </w:p>
    <w:p>
      <w:r>
        <w:t>The decision follows an investigation conducted by the DGCCRF in the sector of technical building management and a refusal of settlement by the company Santerne, which led to the referral to the Authority.</w:t>
      </w:r>
    </w:p>
    <w:p>
      <w:r>
        <w:t>Santerne participated in exchanges of information with another candidate company regarding the awarding of the maintenance and transformation contract for the technical building management installations of Lille metropolitan urban community. These exchanges occurred prior to the submission of bids and concerned significant elements of the market (prices of the most important equipment and materials and content of the technical offer). The submission of two separate offers, and thus apparently independent, necessarily misled the contracting authority regarding the intensity of competition that took place between the candidates. Such exchanges distorted the free play of competition and are therefore prohibited by Article L. 420-1 of the Commercial Code.</w:t>
      </w:r>
    </w:p>
    <w:p>
      <w:r>
        <w:t>1 This summary is strictly informative. Only the reasons for the decision numbered below are authoritative.</w:t>
      </w:r>
    </w:p>
    <w:p>
      <w:r>
        <w:t>Summary</w:t>
      </w:r>
    </w:p>
    <w:p>
      <w:r>
        <w:t>I. FINDINGS ................................................................................ 5</w:t>
      </w:r>
    </w:p>
    <w:p>
      <w:r>
        <w:t>A. RECALL OF THE PROCEDURE .................................................................................. 5</w:t>
      </w:r>
    </w:p>
    <w:p>
      <w:r>
        <w:t>B. THE SECTOR AND THE COMPANY ............................................................................ 6</w:t>
      </w:r>
    </w:p>
    <w:p>
      <w:r>
        <w:t>1. THE COMPANY CONCERNED ....................................................................................... 6</w:t>
      </w:r>
    </w:p>
    <w:p>
      <w:r>
        <w:t>2. THE SECTOR ................................................................................................................. 6</w:t>
      </w:r>
    </w:p>
    <w:p>
      <w:r>
        <w:t>3. THE RELEVANT MARKET .............................................................................................. 7</w:t>
      </w:r>
    </w:p>
    <w:p>
      <w:r>
        <w:t>C. THE PRACTICES OBSERVED ...................................................................................... 9</w:t>
      </w:r>
    </w:p>
    <w:p>
      <w:r>
        <w:t>1. THE EXCHANGES OF INFORMATION BETWEEN NEU AND SANTERNE ................................. 9</w:t>
      </w:r>
    </w:p>
    <w:p>
      <w:r>
        <w:t>2. THE NATURE OF THE INFORMATION EXCHANGED ......................................................... 11</w:t>
      </w:r>
    </w:p>
    <w:p>
      <w:r>
        <w:t>3. THE PRICE DIFFERENTIAL BETWEEN THE TWO OFFERS ........................................................ 12</w:t>
      </w:r>
    </w:p>
    <w:p>
      <w:r>
        <w:t>D. RECALL OF THE NOTIFIED GRIEVANCES ........................................................................... 13</w:t>
      </w:r>
    </w:p>
    <w:p>
      <w:r>
        <w:t>II. DISCUSSION ........................................................................................ 13</w:t>
      </w:r>
    </w:p>
    <w:p>
      <w:r>
        <w:t>A. THE RELEVANT MARKET ....................................................................................... 13</w:t>
      </w:r>
    </w:p>
    <w:p>
      <w:r>
        <w:t>B. ON THE MERITS OF THE NOTIFIED GRIEVANCES ................................................... 14</w:t>
      </w:r>
    </w:p>
    <w:p>
      <w:r>
        <w:t>1. RECALL OF DECISIONAL PRACTICE .............................................................. 14</w:t>
      </w:r>
    </w:p>
    <w:p>
      <w:r>
        <w:t>2. APPLICATION TO THE CASE AT HAND ............................................................................... 15</w:t>
      </w:r>
    </w:p>
    <w:p>
      <w:r>
        <w:t>a) On the absence of information exchange among all bidders in the call for tenders and counterpart in favor of Santerne ............................................................ 15</w:t>
      </w:r>
    </w:p>
    <w:p>
      <w:r>
        <w:t>b) On the technical necessity for Santerne to use the services of Neu .................................................. 16</w:t>
      </w:r>
    </w:p>
    <w:p>
      <w:r>
        <w:t>c) On the limitation of the content of exchanges to the subcontracting service of Neu ................................ 17</w:t>
      </w:r>
    </w:p>
    <w:p>
      <w:r>
        <w:t>d) On the necessary knowledge of the existence of a subcontracting project between Santerne and Neu by the contracting authority .................................................. 18</w:t>
      </w:r>
    </w:p>
    <w:p>
      <w:r>
        <w:t>e) On the absence of effects of the practice on the conduct of the market ........................................ 19</w:t>
      </w:r>
    </w:p>
    <w:p>
      <w:r>
        <w:t>C. ON THE ATTRIBUTION OF PRACTICES ............................................................ 20</w:t>
      </w:r>
    </w:p>
    <w:p>
      <w:r>
        <w:t>1. RECALL OF PRINCIPLES .......................................................................................... 20</w:t>
      </w:r>
    </w:p>
    <w:p>
      <w:r>
        <w:t>2. APPLICATION TO THE CASE AT HAND ......................................................................... 21</w:t>
      </w:r>
    </w:p>
    <w:p>
      <w:r>
        <w:t>a) On the alleged violation of Article L. 464-9 of the Commercial Code .................................. 22</w:t>
      </w:r>
    </w:p>
    <w:p>
      <w:r>
        <w:t>b) On the reversal of the presumption of decisive influence .................................................. 23</w:t>
      </w:r>
    </w:p>
    <w:p>
      <w:r>
        <w:t>c) Conclusion ................................................................................................ 25</w:t>
      </w:r>
    </w:p>
    <w:p>
      <w:r>
        <w:t>D. THE SANCTIONS ........................................................................................................ 25</w:t>
      </w:r>
    </w:p>
    <w:p>
      <w:r>
        <w:t>1. ON THE FINANCIAL SANCTION ................................................................................ 25</w:t>
      </w:r>
    </w:p>
    <w:p>
      <w:r>
        <w:t>a) On the principles relating to the determination of sanctions .................................. 26</w:t>
      </w:r>
    </w:p>
    <w:p>
      <w:r>
        <w:rPr>
          <w:b/>
        </w:rPr>
        <w:t>[Pages 4–6]</w:t>
      </w:r>
    </w:p>
    <w:p>
      <w:r>
        <w:t xml:space="preserve">b) On the determination of the base amount of sanctions ...................... 26  </w:t>
        <w:br/>
        <w:t xml:space="preserve">On the method used for determining the base amount .................. 26  </w:t>
        <w:br/>
        <w:t xml:space="preserve">On the severity of the facts and the importance of the damage caused to the economy ........ 28  </w:t>
        <w:br/>
        <w:t xml:space="preserve">c) On the individualization of the sanction ..................................................... 30  </w:t>
        <w:br/>
        <w:t xml:space="preserve">Regarding the situation of the Vinci group companies ..................................... 30  </w:t>
        <w:br/>
        <w:t xml:space="preserve">Reiteration ....................................................................................................... 31  </w:t>
        <w:br/>
        <w:t xml:space="preserve">Interim conclusion ......................................................................................... 32  </w:t>
        <w:br/>
        <w:t xml:space="preserve">d) On the final adjustments ...................................................................... 32  </w:t>
        <w:br/>
        <w:t xml:space="preserve">On the verification of compliance with the legal maximum ................................ 32  </w:t>
        <w:br/>
        <w:t xml:space="preserve">On the financial situation of the company .......................................................... 33  </w:t>
        <w:br/>
        <w:t xml:space="preserve">On the final amount of the sanction .................................................................... 33  </w:t>
        <w:br/>
        <w:t xml:space="preserve">2. THE OBLIGATION OF PUBLICATION ............................................................................. 33  </w:t>
        <w:br/>
        <w:t>DECISION ......................................................................................................................... 35</w:t>
      </w:r>
    </w:p>
    <w:p>
      <w:r>
        <w:t xml:space="preserve">I. Findings  </w:t>
        <w:br/>
        <w:t xml:space="preserve">A. RECALL OF THE PROCEDURE  </w:t>
        <w:br/>
        <w:t xml:space="preserve">1. The Interregional Competition Investigation Brigade (hereinafter "BIEC") of Lille drafted an administrative investigation report on September 4, 2017, in which it found the implementation of practices involving the exchange of confidential information in response to two calls for tenders held respectively in 2013 and 2014, contrary to Article L. 420-1 of the Commercial Code, in the sector of technical building management of Lille metropolitan urban community (hereinafter "LMCU"), which became the European Metropolis of Lille (hereinafter "MEL") as of January 1, 2015.  </w:t>
        <w:br/>
        <w:t xml:space="preserve">2. This report was transmitted by the Minister of Economy to the General Rapporteur of the Competition Authority (hereinafter "the Authority"). The latter, by letter dated December 29, 2017, responded that he did not intend to propose to the Authority to take up this case ex officio.  </w:t>
        <w:br/>
        <w:t xml:space="preserve">3. In accordance with the provisions of Article L. 464-9 of the Commercial Code, the Directorate General for Competition, Consumer Affairs and Fraud Control (hereinafter "DGCCRF") initiated an injunction and settlement procedure that the companies Neu Automation (hereinafter "Neu") and Société de téléphone et de télédistribution nord (hereinafter "STTN") accepted.  </w:t>
        <w:br/>
        <w:t xml:space="preserve">4. By a letter dated December 17, 2018, the company Santerne Nord Tertiaire (hereinafter "Santerne") informed the DGCCRF services that it did not wish to settle.  </w:t>
        <w:br/>
        <w:t xml:space="preserve">5. In accordance with Article L. 464-9 of the Commercial Code, which states that "the execution within the deadlines of the obligations resulting from the injunction and the acceptance of the settlement extinguishes any action before the Competition Authority for the same facts," the action was therefore extinguished for the companies Neu and STTN.  </w:t>
        <w:br/>
        <w:t xml:space="preserve">6. By a letter registered on April 11, 2019, the Minister of Economy referred, pursuant to Articles L. 464-9 and R. 464-9-3 of the Commercial Code, the Authority regarding practices implemented in the sector of technical building management of LMCU concerning the company Santerne, the only company that did not wish to settle. This referral was registered under number 19/0016 F.  </w:t>
        <w:br/>
        <w:t xml:space="preserve">7. By a decision dated June 22, 2020, made pursuant to Articles L. 463-3 and R. 463-12 of the Commercial Code, the General Rapporteur decided that the case would be examined by the Authority without prior establishment of a report.  </w:t>
        <w:br/>
        <w:t>8. In accordance with the aforementioned provisions, a simplified notification of grievances was sent to the companies Santerne, Vinci Energies France, Vinci Energies, Vinci, and the Government Commissioner on June 22, 2020.</w:t>
      </w:r>
    </w:p>
    <w:p>
      <w:r>
        <w:t xml:space="preserve">B. THE SECTOR AND THE COMPANY  </w:t>
        <w:br/>
        <w:t xml:space="preserve">1. THE COMPANY CONCERNED  </w:t>
        <w:br/>
        <w:t xml:space="preserve">9. The company Santerne Nord Tertiaire, registered with the Arras Trade and Companies Register under number 528 862 733, primarily engages in electrical and HVAC (heating, ventilation, and air conditioning) installation work. In 2018, Santerne achieved a turnover of 37.9 million euros. The Santerne Tertiaire et Santé establishment is a secondary establishment of Santerne, specializing in electrical engineering work for tertiary operations, particularly in the fields of health (public and private), education (public and private), and large public real estate complexes in the Nord-Pas-de-Calais. Its main activity is high current electrical installation (power supply) and low current (information cabling, home automation control).  </w:t>
        <w:br/>
        <w:t xml:space="preserve">10. At the time of the practices noted, Santerne was wholly owned by Vinci Energies France Nord, a 100% subsidiary of Vinci Energies, whose capital was almost entirely (99.34%) held by the public limited company Vinci.  </w:t>
        <w:br/>
        <w:t xml:space="preserve">11. On April 18, 2016, Vinci Energies France Nord underwent a merger absorption in favor of Vinci Energies France and was removed from the Trade and Companies Register on June 30, 2016.  </w:t>
        <w:br/>
        <w:t xml:space="preserve">12. Since then, Santerne has been a 100% subsidiary of Vinci Energies France, a 100% subsidiary of Vinci Energies, whose capital is almost entirely (99.34%) held by the public limited company Vinci.  </w:t>
        <w:br/>
        <w:t xml:space="preserve">2. THE SECTOR  </w:t>
        <w:br/>
        <w:t xml:space="preserve">13. Technical building management (hereinafter "BMS") corresponds, in the context of building operation, to all services ensuring the following three functions:  </w:t>
        <w:br/>
        <w:t xml:space="preserve">− monitoring of technical installations (electrical equipment, lighting, heating, ventilation, air conditioning, hot water, sanitary, alarms, access controls, elevators, etc.) to ensure their safety and availability;  </w:t>
        <w:br/>
        <w:t xml:space="preserve">− supervision of these installations, aimed at ensuring occupant comfort while optimizing operating costs (measurements, counts, adjustment and programming of equipment);  </w:t>
        <w:br/>
        <w:t xml:space="preserve">− monitoring to measure in detail the building's consumption and to implement a monitoring plan (measuring energy efficiency, assessments, improvement suggestions, etc.).  </w:t>
        <w:br/>
        <w:t>14. To carry out these various missions, the building manager can rely on a BMS computer system defined as "the set of information processing systems for each family of technical equipment, themselves individually regulated by measurement and action systems (meters, sensors, detectors, etc.)."</w:t>
      </w:r>
    </w:p>
    <w:p>
      <w:r>
        <w:rPr>
          <w:b/>
        </w:rPr>
        <w:t>[Pages 7–9]</w:t>
      </w:r>
    </w:p>
    <w:p>
      <w:r>
        <w:t>actioners)”. This system operates based on programmable and communicative automata that allow for remote monitoring and control of a building's technical equipment.</w:t>
      </w:r>
    </w:p>
    <w:p>
      <w:r>
        <w:t>15. BMS systems are based on a three-level organization, corresponding to each of the missions presented above:</w:t>
        <w:br/>
        <w:t>− a "field" system consisting of meters, sensors, detectors, or actuators;</w:t>
        <w:br/>
        <w:t>− a "regulation" system that measures, programs, regulates, and actuates the equipment;</w:t>
        <w:br/>
        <w:t>− an "archiving" system that communicates, records, processes, and synthesizes information.</w:t>
      </w:r>
    </w:p>
    <w:p>
      <w:r>
        <w:t>16. These systems can thus be compared to home automation in the individual or collective housing sector.</w:t>
      </w:r>
    </w:p>
    <w:p>
      <w:r>
        <w:t>17. BMS constitutes an emerging market with significant economic and industrial stakes that is closely linked to the issue of energy transition.</w:t>
      </w:r>
    </w:p>
    <w:p>
      <w:r>
        <w:t>3. THE MARKET CONCERNED</w:t>
      </w:r>
    </w:p>
    <w:p>
      <w:r>
        <w:t>18. The public contract in question pertains to the maintenance and transformation of the BMS installations of LMCU.</w:t>
      </w:r>
    </w:p>
    <w:p>
      <w:r>
        <w:t>19. On April 11, 2014, LMCU launched a call for tenders for the maintenance and transformation of BMS installations, the consultation regulations specifying that:</w:t>
        <w:br/>
        <w:t>− the duration of validity of the contract was set at one year from its notification, tacitly renewable three times for a period of one year, for a maximum duration of four years;</w:t>
        <w:br/>
        <w:t>− the evaluation of offers was based on the following criteria: price, accounting for 40% of the overall score; technical value, accounting for 60% of the overall score, of which 30% for the relevance of the solution provided in relation to the specifications, 20% for the proposed human resources, and 10% for the relevance of the operating and maintenance method implemented.</w:t>
      </w:r>
    </w:p>
    <w:p>
      <w:r>
        <w:t>20. The contract included, on the one hand, fixed-price services (upgrading the BMS software and dismantling the old BMS system) and, on the other hand, non-fixed-price services (annual preventive maintenance, upgrading the BMS software at sites not included in the fixed price, corrective maintenance on purchase orders, and ordering materials on purchase orders).</w:t>
      </w:r>
    </w:p>
    <w:p>
      <w:r>
        <w:t>Services included in the contract</w:t>
        <w:br/>
        <w:t>Fixed-price services</w:t>
        <w:br/>
        <w:t>Non-fixed-price services</w:t>
        <w:br/>
        <w:t>Order of materials</w:t>
        <w:br/>
        <w:t>Upgrading the</w:t>
        <w:br/>
        <w:t>Maintenance</w:t>
        <w:br/>
        <w:t>software of</w:t>
        <w:br/>
        <w:t>BMS on the</w:t>
        <w:br/>
        <w:t>dismantling of</w:t>
        <w:br/>
        <w:t>annual sites not</w:t>
        <w:br/>
        <w:t>the old</w:t>
        <w:br/>
        <w:t>included in</w:t>
        <w:br/>
        <w:t>BMS Siemens the fixed price</w:t>
      </w:r>
    </w:p>
    <w:p>
      <w:r>
        <w:t>21. More specifically, the special technical specifications (hereinafter "CCTP") recalled that the areas of intervention of LMCU's BMS system entirely covered technical installations (HVAC, electricity, technical alarms) and that the contract should notably include the following services:</w:t>
        <w:br/>
        <w:t>− the transformation and installation of equipment related to the following functions: monitoring of electrical energy consumption, consumption analysis, taking into account climatic conditions to "predict" heating operation over several days, considering occupancy to optimize the regulation of air treatment installations, recording temperatures in hot water tanks, controlling office and circulation lighting from a system based on lighting controllers, etc.;</w:t>
        <w:br/>
        <w:t>− reception operations including, for example, visual inspections of installations on-site or in the factory during prefabrication, functional tests of software modules, operational checks, and testing of installed equipment in the presence of the contract holder, etc.;</w:t>
        <w:br/>
        <w:t>− commissioning operations and assistance to the operator through the provision of personnel, informing the personnel, or establishing a 24/7 on-call service;</w:t>
        <w:br/>
        <w:t>− upgrading the supervision software: the contractor was required to propose implementing any new version corresponding to the software installed on the BMS of the contract (fixed-price service);</w:t>
        <w:br/>
        <w:t>− dismantling the old Siemens BMS system (fixed-price service);</w:t>
        <w:br/>
        <w:t>− preventive and corrective maintenance services;</w:t>
        <w:br/>
        <w:t>− technical assistance, training of technical personnel (service included in the fixed fee) as well as case-by-case training;</w:t>
        <w:br/>
        <w:t>− analysis and programming for the optimization of operations, including the regular establishment of a written document proposing improvements to the installation to ensure better operation or efficiency.</w:t>
      </w:r>
    </w:p>
    <w:p>
      <w:r>
        <w:t>22. The consultation regulations stipulated that the application files must notably include a letter of application, a declaration from the individual candidate or the member of the grouping, the completed commitment act, the unit price schedule ("BPU") serving as an estimated quantitative detail ("DQE") and outlining the prices of certain equipment, materials, and services of the offer, the technical memory framework detailing the technical response proposed by the candidate, as well as several documents relating, for example, to the technical, professional, and financial capacity of the candidate.</w:t>
      </w:r>
    </w:p>
    <w:p>
      <w:r>
        <w:t>23. By the deadline for receiving offers, set for May 28, 2014, three files had been submitted:</w:t>
        <w:br/>
        <w:t>− Neu, offer received on May 28, 2014, at 10:34 AM;</w:t>
        <w:br/>
        <w:t>− Santerne Tertiaire et Santé, offer received on May 28, 2014, at 11:08 AM;</w:t>
        <w:br/>
        <w:t>− Eiffage Energie Tertiaire Nord, offer received on May 28, 2014, at 11:33 AM.</w:t>
      </w:r>
    </w:p>
    <w:p>
      <w:r>
        <w:t>24. The contract was ultimately awarded on October 28, 2014, to the company Neu.</w:t>
      </w:r>
    </w:p>
    <w:p>
      <w:r>
        <w:t>C. OBSERVED PRACTICES</w:t>
      </w:r>
    </w:p>
    <w:p>
      <w:r>
        <w:t>1. INFORMATION EXCHANGES BETWEEN NEU AND SANTERNE</w:t>
      </w:r>
    </w:p>
    <w:p>
      <w:r>
        <w:t>25. During the call for tenders launched in 2014 by LMCU, Santerne and Neu exchanged information before the deadline for submitting offers.</w:t>
      </w:r>
    </w:p>
    <w:p>
      <w:r>
        <w:t>26. On May 14, 2014, a first telephone contact took place between Santerne and Neu, as evidenced by an email of the same day between the two companies and the statements of the head of the Santerne design office: "we contacted NEU by phone once we had the consultation file in our possession to request a price as a supplier of equipment and software. On this occasion, Mr. X... indicated to me that the company NEU would apply directly."</w:t>
      </w:r>
    </w:p>
    <w:p>
      <w:r>
        <w:t>27. Following this first telephone contact, at least nine emails were exchanged between the two companies between May 14, 2014, and May 27, 2014 (the day before the deadline for submitting offers), as acknowledged by the head of the Santerne design office: "subsequently, we exchanged emails with Mr. X... so that he could provide us with NEU's rates as a supplier."</w:t>
      </w:r>
    </w:p>
    <w:p>
      <w:r>
        <w:t>28. In a first email on May 14, 2014, at 5:15 PM, Santerne requested Neu to provide its offer as well as the corresponding part of the technical memory by May 21, 2014. This email included attached the blank BPU template and the CCTP of "the matter referred to in the subject," namely the "fixed-price software upgrade and preventive maintenance."</w:t>
      </w:r>
    </w:p>
    <w:p>
      <w:r>
        <w:t>29. On May 23, 2014, at 11:58 AM, in response to this first email, Neu sent Santerne a first version of the completed BPU except for the "implementation" and "coefficient and unit price for items outside the BPU" sections. The prices indicated in the...</w:t>
      </w:r>
    </w:p>
    <w:p>
      <w:r>
        <w:rPr>
          <w:b/>
        </w:rPr>
        <w:t>[Pages 10–12]</w:t>
      </w:r>
    </w:p>
    <w:p>
      <w:r>
        <w:t>document therefore concerned elements related to the materials and equipment rendered "necessary in the context of an evolution of the supervision system" (notably controllers), as well as a significant portion of preventive and corrective maintenance. In contrast, the prices of items classified by the MEL as "less important" (cables, ducts, tubes, etc.) were not included in this document. This first version of the BPU from Neu also mentions a total estimated amount of 423,062.70 euros. In the body of the email, the sales director of Neu further specifies that "for the commitment act, the fixed price for the migration is 198,682.90 euros."</w:t>
      </w:r>
    </w:p>
    <w:p>
      <w:r>
        <w:t>30. Five documents are also attached to this email, three of which relate to three software programs from the Struxure Ware suite of Schneider Electric, the implementation of which is included in Neu's technical offer.</w:t>
      </w:r>
    </w:p>
    <w:p>
      <w:r>
        <w:t>31. This email is supplemented by two messages sent on the same day at 12:11 and at 12:12 containing attachments corresponding to technical descriptions of certain equipment whose installation is also proposed in Neu's technical memorandum.</w:t>
      </w:r>
    </w:p>
    <w:p>
      <w:r>
        <w:t>32. Neu sent a version of its technical memorandum to Santerne by email dated May 26, 2014, at 01:16. Although incomplete, this version contains the essential elements of the technical offer considered by Neu: deployed human resources, description of the migration methods of the supervision system, characteristics of the software and materials proposed for installation.</w:t>
      </w:r>
    </w:p>
    <w:p>
      <w:r>
        <w:t>33. This email also contains a new BPU established by Neu, which includes and updates the items listed in the first document sent to Santerne on May 23, 2014, as well as an updated total estimated amount of 414,533.76 euros.</w:t>
      </w:r>
    </w:p>
    <w:p>
      <w:r>
        <w:t>34. In the body of the email, it is specified that "for the price of the commitment act, one must account for the disassembly of Siemens equipment and the assembly of programming and new automation equipment. On my side, the price rises to 209,939 euros. You need to account for the amount (1 AS and a few I/O modules) and especially the disassembly of the existing system (I have a bit of trouble quantifying it)."</w:t>
      </w:r>
    </w:p>
    <w:p>
      <w:r>
        <w:t>35. In its response dated the same day at 13:47, Santerne requests the transmission of the "annexes you refer to in the example memorandum CV and functional analysis."</w:t>
      </w:r>
    </w:p>
    <w:p>
      <w:r>
        <w:t>36. The requested annexes are included in the attachments of a response email sent by Neu on May 26, 2014, at 19:52. These include a functional analysis conducted by Neu as part of a "data center" project in Tunisia and the CVs of the five participants whose names appear in Neu's technical memorandum.</w:t>
      </w:r>
    </w:p>
    <w:p>
      <w:r>
        <w:t>37. Two emails were also exchanged on May 27, 2014, at 12:23, in which Santerne asks Neu to "confirm that your software migration solution includes the update of the latest version at the end of the contract," and at 14:49, in which the sales director of Neu confirms "the update of the latest version of the software at the end of the contract," also mentioning a "telephone conversation."</w:t>
      </w:r>
    </w:p>
    <w:p>
      <w:r>
        <w:t>2. THE NATURE OF THE INFORMATION EXCHANGED</w:t>
      </w:r>
    </w:p>
    <w:p>
      <w:r>
        <w:t>38. The elements transmitted by Neu to Santerne are listed in the diagram below.</w:t>
      </w:r>
    </w:p>
    <w:p>
      <w:r>
        <w:t>Elements transmitted to Santerne by Neu among those to be included in the offers</w:t>
        <w:br/>
        <w:t>Commitment Act Unit Price Schedule (BPU) or Detailed Quantitative Estimation Framework (DQE)</w:t>
        <w:br/>
        <w:t>Update of the BMS software on new sites not included in the fixed price</w:t>
        <w:br/>
        <w:t>Presentation of the candidate company Human resources</w:t>
        <w:br/>
        <w:t>Materials and equipment rendered necessary in the context of the migration of the supervision system:</w:t>
        <w:br/>
        <w:t>- for the sites not included in the fixed price at the time of the market notification;</w:t>
        <w:br/>
        <w:t>Presentation of potential co-contractors Migration solution for the supervision system</w:t>
        <w:br/>
        <w:t>Presentation of potential subcontractors - for additional equipment to be supervised, Methodology for taking over the old Siemens BMS at the request of the project owner (on the site subject to the market but for equipment that would have been added after the market notification for example); Characteristics of the software and its mode of operation</w:t>
        <w:br/>
        <w:t>Price of the fixed service - for corrective maintenance.</w:t>
        <w:br/>
        <w:t>Materials and equipment related to the implementation Characteristics of the equipment proposed for installation</w:t>
        <w:br/>
        <w:t>Unit prices for maintenance services Preventive maintenance taking into account LMCU "Kimoce"</w:t>
        <w:br/>
        <w:t>Planning and protocols provided for in the execution of preventive and corrective maintenance services</w:t>
        <w:br/>
        <w:t>Hourly labor rate</w:t>
        <w:br/>
        <w:t>Update of the BMS software on new sites not included in the fixed price automation</w:t>
      </w:r>
    </w:p>
    <w:p>
      <w:r>
        <w:t>39. The information transmitted by Neu to Santerne concerned unit prices. Thus, of the 162 items (excluding subtotals and totals) that the BPU of the public contract in question contained, 76 items (47%) were listed in the document sent by Neu to Santerne on May 26, 2014, and 60 items (37% of the total items and 79% of the listed items) were identical in the BPU sent to Santerne and in the BPU ultimately included in Neu's offer. In total, Santerne thus had 47% of Neu's final financial offer, excluding the fixed part related to the software migration, and 34% of its total financial offer.</w:t>
      </w:r>
    </w:p>
    <w:p>
      <w:r>
        <w:t>Santerne was also aware of a significant portion of Neu's technical memorandum. Only the parts related to preventive and corrective maintenance and the consideration of the computer-assisted maintenance management (GMAO) of LMCU were missing from the document sent on May 26, 2014.</w:t>
      </w:r>
    </w:p>
    <w:p>
      <w:r>
        <w:t>40. The information transmitted by Neu also concerned its technical memorandum, with only the parts related to preventive and corrective maintenance and the consideration of the computer-assisted maintenance management (GMAO) of LMCU missing from the document sent on May 26, 2014.</w:t>
      </w:r>
    </w:p>
    <w:p>
      <w:r>
        <w:t>3. THE PRICE DIFFERENTIAL BETWEEN THE TWO OFFERS</w:t>
      </w:r>
    </w:p>
    <w:p>
      <w:r>
        <w:t>41. The table below presents the price differentials between the offers of Santerne and Neu.</w:t>
      </w:r>
    </w:p>
    <w:p>
      <w:r>
        <w:t>Price differential between the offers of Santerne and Neu</w:t>
        <w:br/>
        <w:t>BPU Fixed Price</w:t>
        <w:br/>
        <w:t>in euros Total</w:t>
        <w:br/>
        <w:t>"corrective maintenance" "software migration"</w:t>
        <w:br/>
        <w:t>"Offer" transmitted by Neu to Santerne 414,533.76 209,939.00 624,472.76</w:t>
        <w:br/>
        <w:t>Neu's Offer 594,006.69 215,339.00 809,345.69</w:t>
        <w:br/>
        <w:t>of which elements transmitted to Santerne 421,462.70 215,339.00 636,801.70</w:t>
        <w:br/>
        <w:t>share of elements transmitted in the offer 71% 100% 78.7%</w:t>
        <w:br/>
        <w:t>Santerne's Offer 1,079,280.36 238,550.00 1,317,830.36</w:t>
        <w:br/>
        <w:t>of which elements transmitted by Neu 891,663.29 238,550.00 1,130,213.29</w:t>
        <w:br/>
        <w:t>share of elements transmitted in the offer 82.6% 100% 85.8%</w:t>
      </w:r>
    </w:p>
    <w:p>
      <w:r>
        <w:t>42. It appears from the analysis report of the offers and the offers of the operators that the total amount of Santerne's offer (1,317,830.36 euros) is more than 1.6 times higher than that of Neu's offer (809,345.69 euros).</w:t>
      </w:r>
    </w:p>
    <w:p>
      <w:r>
        <w:t>43. Santerne justifies the price differential between the offers of the two companies by the margin it would have applied on the various items it would have subcontracted to Neu and "different rates on the items of the BPU individually priced by both companies."</w:t>
      </w:r>
    </w:p>
    <w:p>
      <w:r>
        <w:t>44. Regarding the "corrective maintenance" part, which, as specified by the MEL, actually covered a broader scope including: "corrective maintenance, preventive maintenance as well as a list of equipment and materials rendered necessary by the migration of the supervision system. The migration of the supervision consisted of the evolution of the software and equipment (controllers) identically, in terms of information recovery, from the old controllers. The equipment included in the estimated amount of corrective maintenance allowed us to meet new needs (for example, to recover more temperature probes) or to take into account the equipment to be controlled between the time the market was notified and the migration of said...</w:t>
      </w:r>
    </w:p>
    <w:p>
      <w:r>
        <w:rPr>
          <w:b/>
        </w:rPr>
        <w:t>[Pages 13–15]</w:t>
      </w:r>
    </w:p>
    <w:p>
      <w:r>
        <w:t>site"42, the price proposed by Santerne (€1,079,280.30) was more than 1.8 times higher than that proposed by Neu (€594,006.69).</w:t>
      </w:r>
    </w:p>
    <w:p>
      <w:r>
        <w:t>45. Considering only the lines for which Santerne was aware of the prices considered by Neu, the price of Santerne's offer (€891,663.29) turned out to be more than twice higher than both the BPU submitted by Neu on May 26, 2014 (€414,553.76) and the BPU ultimately included in Neu's offer (€421,462.70).</w:t>
      </w:r>
    </w:p>
    <w:p>
      <w:r>
        <w:t>46. Regarding the fixed price for the "software migration," the price difference between the two offers amounted to €28,611, to the detriment of Santerne (€238,550), compared to the BPU submitted by Neu on May 26, 2014 (€209,939) and €23,211, to the detriment of Santerne, compared to the price ultimately included in Neu's offer (€215,339). The price proposed by Santerne was more than 1.13 times higher than that proposed by Neu.</w:t>
      </w:r>
    </w:p>
    <w:p>
      <w:r>
        <w:t>D. RECALL OF THE NOTIFIED GRIEVANCES</w:t>
      </w:r>
    </w:p>
    <w:p>
      <w:r>
        <w:t>47. On June 22, 2020, the following grievances were notified: "The company Santerne Nord Tertiaire is accused as the author of the practices, and the companies Vinci Energies France, Vinci Energies, and Vinci as parent companies, of having exchanged sensitive information regarding their offers with Neu before May 28, 2014, the date of receipt of the offers by the contracting authority, in view of the awarding of the contract for the maintenance and transformation of the technical management installations of Lille Métropole Communauté Urbaine 2014-2018. These practices, which had the purpose and effect of limiting access to the market or the free exercise of competition by other companies and obstructing price setting through the free play of competition to the detriment of Lille Métropole Communauté Urbaine, are prohibited by Article L. 420-1 of the Commercial Code."</w:t>
      </w:r>
    </w:p>
    <w:p>
      <w:r>
        <w:t>II. Discussion</w:t>
      </w:r>
    </w:p>
    <w:p>
      <w:r>
        <w:t>48. The relevant market (A), the merits of the notified grievances (B), the attribution (C), and the sanctions (D) will be examined successively.</w:t>
      </w:r>
    </w:p>
    <w:p>
      <w:r>
        <w:t>A. THE RELEVANT MARKET</w:t>
      </w:r>
    </w:p>
    <w:p>
      <w:r>
        <w:t>49. In accordance with the decisional practice of the Authority43, each public contract awarded through the tendering procedure constitutes a relevant market. This market results from the confrontation of a demand from the contracting authority and the proposals made by the candidates responding to the call for tenders.</w:t>
      </w:r>
    </w:p>
    <w:p>
      <w:r>
        <w:t>42 Cote 2087.</w:t>
      </w:r>
    </w:p>
    <w:p>
      <w:r>
        <w:t>43 Decision No. 10-D-10 of March 10, 2010, regarding practices identified during a tender by the General Council of Alpes-Maritimes for landscaping work.</w:t>
      </w:r>
    </w:p>
    <w:p>
      <w:r>
        <w:t>50. In this case, the public contract related to the maintenance and transformation of the BMS installations launched by LMCU through a call for tenders on April 11, 2014, constitutes the relevant market.</w:t>
      </w:r>
    </w:p>
    <w:p>
      <w:r>
        <w:t>B. ON THE MERITS OF THE NOTIFIED GRIEVANCES</w:t>
      </w:r>
    </w:p>
    <w:p>
      <w:r>
        <w:t>1. RECALL OF DECISIONAL PRACTICE</w:t>
      </w:r>
    </w:p>
    <w:p>
      <w:r>
        <w:t>51. Article L. 420-1 of the Commercial Code prohibits concerted actions, agreements, express or tacit understandings between companies when they have the purpose or may have the effect of preventing, restricting, or distorting competition in a market.</w:t>
      </w:r>
    </w:p>
    <w:p>
      <w:r>
        <w:t>52. In terms of public contracts, according to the consistent decisional practice of the Authority, it is established that companies have entered into an anti-competitive agreement as soon as proof is provided that they have agreed to coordinate their offers or that they exchanged information prior to the submission of the offers, whether concerning the existence of competitors, their names, their importance, their availability in personnel and equipment, their interest or lack of interest in the market in question, or the prices they intended to propose44.</w:t>
      </w:r>
    </w:p>
    <w:p>
      <w:r>
        <w:t>53. Indeed, the exchange of information between bidding companies before the submission of offers, especially those concerning prices, necessarily disrupts the play of competition. In a tender based notably on the criterion of the lowest bid, each bidder faces two opposing incentives: to offer a high price to maximize profit, or to offer a low price to maximize chances of winning the contract. The competitive integrity of the market assumes that each party chooses its risk and makes its choice independently, without having any privileged information regarding one or more competitors. Indeed, any privileged information illuminating the choices made by other competitors, especially information regarding the prices that these competitors are likely to have retained, artificially reduces the risk taken by the one who benefits from this information when establishing the price of their offer, by reducing or eliminating the uncertainty in which they must remain regarding the behavior of other competitors. Consequently, the mere act of exchanging information before the submission of offers, especially regarding prices, is sufficient to characterize an agreement of intentions among companies aimed at distorting the competition that should occur between them.</w:t>
      </w:r>
    </w:p>
    <w:p>
      <w:r>
        <w:t>54. However, in accordance with the decisional practice of the Authority and the case law of the Paris Court of Appeal, the ability for a company to submit an offer in cooperation with another company, in order to acquire skills that it does not possess internally, is not illegal in itself. In this regard, the Council and then the Competition Authority have repeatedly recalled that the formation, by independent and competing companies, of groups to respond to a call for tenders can have a "pro-competitive" effect if it allows the companies thus grouped to compete when they would not have been able to do so individually, or allows them to compete on the basis of a more competitive or higher quality offer45.</w:t>
      </w:r>
    </w:p>
    <w:p>
      <w:r>
        <w:t>44 Decision No. 13-D-09 of April 17, 2013, regarding practices implemented in the market for the reconstruction of watchtowers at the Perpignan prison, paragraph 82.</w:t>
      </w:r>
    </w:p>
    <w:p>
      <w:r>
        <w:t>45 Decision No. 18-D-19 of September 24, 2018, regarding practices implemented in the public lighting works sector in Ardèche, paragraph 62; decision No. 09-D-03 of January 21, 2009, regarding practices implemented in the school and intercity transport sector by coach in the Pyrénées-Orientales, paragraph 105 and ruling of the Paris Court of Appeal of January 5, 2010, Société d’exploitation de l’entreprise Ponsaty e.a., No. 2009/02679, p. 7.</w:t>
      </w:r>
    </w:p>
    <w:p>
      <w:r>
        <w:t>55. While the cooperation of independent and competing companies in order to respond to a call for tenders is not anti-competitive in itself, this cooperation must not lead to exchanges of information that could distort competition. In a ruling of January 13, 1998, the Paris Court of Appeal recalled that "while it is permissible for a company that is not able to carry out all the work concerned by a call for tenders to exchange information with a potential subcontractor, it must do so while respecting the rules of competition"46.</w:t>
      </w:r>
    </w:p>
    <w:p>
      <w:r>
        <w:t>56. It follows from the decisional practice of the Authority and the case law of the Paris Court of Appeal that when companies have exchanged confidential information among themselves to respond to a call for tenders within the framework of a subcontracting contract project, they can no longer submit individual bids subsequently for that same call for tenders. In this regard, in its decision No. 07-D-47, the Competition Council recalled that "when companies exchange information about their prices for potential subcontracting in view of executing a contract through a call for tenders, they cannot then simultaneously submit separate offers for that contract. In this case, their offers are not independent, even partially, and competition is distorted"47.</w:t>
      </w:r>
    </w:p>
    <w:p>
      <w:r>
        <w:t>2. APPLICATION TO THE CASE AT HAND</w:t>
      </w:r>
    </w:p>
    <w:p>
      <w:r>
        <w:t>57. It appears from the elements of the file that exchanges of information, particularly regarding prices, occurred between the companies Santerne and Neu, both bidders for the call for tenders launched by LMCU in the context of its maintenance and transformation contract for the BMS installations.</w:t>
      </w:r>
    </w:p>
    <w:p>
      <w:r>
        <w:t>58. These exchanges occurred before the respective submissions of offers by these two companies and concerned a significant part of Neu's technical and financial offer. The reality of these exchanges is not contested by either of these two companies.</w:t>
      </w:r>
    </w:p>
    <w:p>
      <w:r>
        <w:t>59. Santerne, on the other hand, contests the anti-competitive nature of these exchanges by invoking several arguments that will be analyzed successively below.</w:t>
      </w:r>
    </w:p>
    <w:p>
      <w:r>
        <w:t>a) On the absence of information exchange among all bidders for the call for tenders and compensation in favor of Santerne</w:t>
      </w:r>
    </w:p>
    <w:p>
      <w:r>
        <w:t>60. Santerne argues that in the context of public contracts, the exchanges of information that have been qualified as anti-competitive by the Authority were multilateral, concerned several markets, and always revealed a game of reciprocal compensations among the bidding companies to allocate the contracts. According to Santerne, when an anti-competitive exchange of information concerns a single call for tenders, it should, in order to be qualified as anti-competitive, be accompanied by a financial compensation in favor of the company that submitted a cover offer. However, Santerne points out that in this case, the exchange of information concerns a single market, did not involve all bidders, and that it itself did not receive any financial compensation from Neu.</w:t>
      </w:r>
    </w:p>
    <w:p>
      <w:r>
        <w:rPr>
          <w:b/>
        </w:rPr>
        <w:t>[Pages 16–18]</w:t>
      </w:r>
    </w:p>
    <w:p>
      <w:r>
        <w:t>61. The elements put forward by Santerne are not sufficient to call into question the anti-competitive nature of the practice.</w:t>
      </w:r>
    </w:p>
    <w:p>
      <w:r>
        <w:t>62. First of all, the fact that the exchange of information only involved a portion of the bidders for the call for tenders launched in May 2014, namely Neu and Santerne, has no impact on the qualification of anti-competitive agreement. An agreement between two of the three bidders distorts competition. For example, in its decision n° 05-D-1748, the Competition Council found that companies had violated the provisions of Article L. 420-1 of the Commercial Code, even though other companies, outside the agreement, had submitted bids for the calls for tenders in question without participating in the anti-competitive exchanges.</w:t>
      </w:r>
    </w:p>
    <w:p>
      <w:r>
        <w:t>63. Furthermore, the exchange of information between companies bidding for the same contract prior to the submission of their respective offers constitutes a standalone practice, prohibited in itself given its anti-competitive object. Competition is distorted by the exchange of information. It is not relevant to ascertain the existence or not of a financial counterpart, which pertains to the examination of the parties' intentions. It is well-established jurisprudence that the anti-competitive object attached to a practice is distinct from intent and that it is of no consequence that the parties to the exchange did not intend or even realize they were distorting competition.</w:t>
      </w:r>
    </w:p>
    <w:p>
      <w:r>
        <w:t>64. The Paris Court of Appeal clarified that in the case of agreements during calls for tenders, the concurrence of wills characterizing a concerted practice within the meaning of Article L. 420-1 of the Commercial Code is established as soon as one of the companies has taken up, at least partially, elements of the other’s offer to make its own offer. Thus, the mere fact of exchanging information is sufficient to reveal the agreement of intent of the companies to distort the competition that must occur between them, without the need to demonstrate the existence of reciprocal compensations between the companies, nor even an economic interest on the part of the offenders to participate in such exchanges.</w:t>
      </w:r>
    </w:p>
    <w:p>
      <w:r>
        <w:t>65. However, it appears from the elements present in the file that the exchanges of information, which concerned both pricing elements and technical elements, were carried out with the aim of preparing Santerne's offer. This argument must therefore be dismissed.</w:t>
      </w:r>
    </w:p>
    <w:p>
      <w:r>
        <w:t>b) On the technical necessity for Santerne to use Neu's services</w:t>
      </w:r>
    </w:p>
    <w:p>
      <w:r>
        <w:t>66. Santerne justifies these exchanges by emphasizing that Neu was an indispensable subcontractor to submit an offer that met the expectations of the contracting authority, given the specifics of the market. According to Santerne, since the BMS system of LMCU is a "closed" system, any modification of it required the use of Neu's services, which had ensured its installation. However, since LMCU did not clearly define its needs, the market included a number of "off-budget" services performed and paid for following purchase orders, it would not have been possible for the two companies to establish a subcontracting contract and, consequently, to integrate Neu into the offer submitted by Santerne.</w:t>
      </w:r>
    </w:p>
    <w:p>
      <w:r>
        <w:t>67. First of all, it should be noted that the necessity to resort to Neu is not demonstrated by Santerne. Thus, the third bidder, Eiffage, submitted an independent offer. Furthermore, the consultation regulations provided for the possibility for candidates to propose variations concerning "the brand of the supervision software to be updated and the resulting equipment" without submitting a base offer. It was therefore open to Santerne to submit a completely independent offer, providing for the replacement of the supervision software without resorting to Neu's services, while complying with the expectations of the contracting authority.</w:t>
      </w:r>
    </w:p>
    <w:p>
      <w:r>
        <w:t>68. A company may consult other companies capable of providing it with expertise, materials, or technical services necessary for the preparation of its proposals in response to a call for tenders. However, when this exchange of information occurs between companies bidding for the same contract and concerns numerous pricing and technical elements, it has an anti-competitive character insofar as the companies' offers were not developed independently, while they are presented as such. The alleged necessity to resort to Neu to respond to the call for tenders is irrelevant to the assessment of the anti-competitive nature by object of the exchange of information.</w:t>
      </w:r>
    </w:p>
    <w:p>
      <w:r>
        <w:t>69. In this case, the argument that the contracting authority's need was not clearly defined, making it impossible for Santerne to provide the name of the subcontractor in the engagement document submitted during the offer submission or to conclude a subcontracting contract, does not appear to be founded and is, in any case, ineffective.</w:t>
      </w:r>
    </w:p>
    <w:p>
      <w:r>
        <w:t>70. The alleged absence of a precise definition of the need by the contracting authority did not prevent Santerne and Neu from exchanging information concerning the latter's subcontracting service, which was also able to strictly delineate the scope of its intervention and provide a quantified estimate of its services. Therefore, the contours of the market were sufficiently precise to allow both companies to determine the scope of their potential cooperation and to inform the public buyer of a proposed subcontracting agreement. The fact that the public contract included, in part, services on purchase orders did not prevent Santerne from declaring Neu as a subcontractor when submitting its offer. In this regard, the "DC4" form, which is a standard model for subcontracting declaration for public contracts, provides for the indication of the name of the subcontractor, the nature, and the maximum amount of the services that will be subcontracted. Contrary to what Santerne claimed in the hearing, this form does not in any way have the effect of committing the contract holder towards its subcontractor for a minimum amount of services to be performed.</w:t>
      </w:r>
    </w:p>
    <w:p>
      <w:r>
        <w:t>71. This argument is in any case ineffective. Indeed, even assuming that the content of the call for tenders did not allow for the definition of the contours of a subcontracting contract, it was appropriate for Santerne and Neu to submit a single offer (see paragraph 56) and to formalize the subcontracting relationship by declaring it to the contracting authority afterwards.</w:t>
      </w:r>
    </w:p>
    <w:p>
      <w:r>
        <w:t>c) On the limitation of the content of exchanges to Neu's subcontracting service</w:t>
      </w:r>
    </w:p>
    <w:p>
      <w:r>
        <w:t>72. Santerne alleges that the exchanges only concerned the subcontracting services for which Neu would be indispensable. It points out that it was only aware of the price of 76 items out of the 162 items in the BPU. It finally recalls that Neu never received Santerne's offer and that the exchanges did not lead to a coordination of the offers of the two companies.</w:t>
      </w:r>
    </w:p>
    <w:p>
      <w:r>
        <w:t>73. This argument has no bearing on the anti-competitive nature of the practice. Neither jurisprudence nor decisional practice requires, to retain the qualification of anti-competitive agreement, that the exchange of information covered all offers.</w:t>
      </w:r>
    </w:p>
    <w:p>
      <w:r>
        <w:t>74. In this regard, in its decision n° 07-D-47 of December 18, 2007, concerning practices observed in the navigation equipment sector, the Competition Council recalled that "when companies exchange information about their prices for potential subcontracting in view of executing a contract through a call for tenders, they cannot then simultaneously present separate offers for this contract. In this case, their offers are not independent, even partially, and competition is distorted."</w:t>
      </w:r>
    </w:p>
    <w:p>
      <w:r>
        <w:t>75. In this case, the elements transmitted by Neu are not marginal and concerned the most important elements of the market. If Santerne was indeed aware of the prices considered by Neu for 47% of the items in the BPU, these, along with the price of the software migration package of which Santerne was also aware, represented nearly 86% of the price offered by Santerne.</w:t>
      </w:r>
    </w:p>
    <w:p>
      <w:r>
        <w:t>76. Likewise, the fact that Neu never received Santerne's offer and that the exchanges did not lead to a coordination of the offers of the two companies does not demonstrate the absence of an agreement of wills, as Santerne solicited information from Neu, responded to emails sent by the latter, and took up part of the elements communicated to it.</w:t>
      </w:r>
    </w:p>
    <w:p>
      <w:r>
        <w:t>77. It should also be recalled that the exchanges prohibited by jurisprudence and decisional practice are not only those concerning pricing elements but more broadly all those that may concern "the existence of competitors, their names, their importance, their availability in personnel or equipment, their interest or lack of interest in the market in question." However, in this case, Santerne and Neu, although aware of their respective wishes to bid for the market launched by LMCU, indicated their interest in said market and Santerne was aware of a very significant part of Neu's technical memorandum.</w:t>
      </w:r>
    </w:p>
    <w:p>
      <w:r>
        <w:t>78. In this regard, sections 2-1 "Methodology implemented to ensure the migration of the supervision system (planning, strategy, impact)," 2-3 "Characteristics of the software and its mode of operation, particularly regarding interoperability," and 2-4 "Characteristics of the equipment proposed for installation (with technical sheets attached)" of Santerne's technical memorandum almost entirely replicate those of the technical memorandum transmitted by Neu.</w:t>
      </w:r>
    </w:p>
    <w:p>
      <w:r>
        <w:t>d) On the necessary knowledge of the existence of a subcontracting project between Santerne and Neu by the contracting authority</w:t>
      </w:r>
    </w:p>
    <w:p>
      <w:r>
        <w:t>79. Santerne argues that LMCU could not be unaware of the existence of a subcontracting agreement between it and Neu, the latter being indispensable to respond to the call for tenders. It recalls having indicated in its technical memorandum that its first technical solution...</w:t>
      </w:r>
    </w:p>
    <w:p>
      <w:r>
        <w:rPr>
          <w:b/>
        </w:rPr>
        <w:t>[Pages 19–21]</w:t>
      </w:r>
    </w:p>
    <w:p>
      <w:r>
        <w:t>specified that the software migration service for the BMS would be entrusted to Neu. It finally considers that the lack of information provided to the project owner is based on a testimony from MEL, the probative value of which should be relativized.</w:t>
      </w:r>
    </w:p>
    <w:p>
      <w:r>
        <w:t>80. In this regard, it should be recalled that MEL indicated to the investigative services that it had not been informed of the negotiations that took place between these two companies. Santerne has not provided any elements that would call into question the reliability of this testimony. MEL's response indicating that it was not aware of exchanges between Neu and Santerne is further corroborated by the fact that the frameworks related to subcontracting provided in the engagement documents were not filled out in the offers of the two companies. It should be noted that Santerne's technical memorandum specified that part of the services proposed was to be carried out by Neu.</w:t>
      </w:r>
    </w:p>
    <w:p>
      <w:r>
        <w:t>81. In any case, the fact that the project owner was aware, implicitly or explicitly, of a subcontracting project between Neu and Santerne does not justify the existence of an exchange of information between the two candidates. Thus, in its decision No. 09-D-34, the Authority stated that "it matters little to determine whether the subcontracting should have been declared to the project owner because the case law is now established in the sense that if companies exchange information in anticipation of subcontracting, they are not allowed to submit separate offers for this market."</w:t>
      </w:r>
    </w:p>
    <w:p>
      <w:r>
        <w:t>e) On the absence of effects of the practice on the conduct of the market</w:t>
      </w:r>
    </w:p>
    <w:p>
      <w:r>
        <w:t>82. Santerne argues that the exchanges of information had "no impact on the choice of the awardee made by LMCU." It notably points out that the exchanges of information that occurred did not alter Santerne's autonomy in the preparation of its offer. It concludes that "assuming such coordination is characterized, it never led to deceiving the project owner, who ultimately favored the highest-rated offer qualitatively."</w:t>
      </w:r>
    </w:p>
    <w:p>
      <w:r>
        <w:t>83. Regarding the absence of effect on the choice of the awardee, it follows from consistent case law and decisional practice that in the context of a call for tenders, the anti-competitive nature of an exchange of information prior to the submission of offers results from the reduction of the uncertainty in which the bidders must find themselves and, consequently, from the intensity of the competitive pressure to which they should have been subjected, and not from the result of the call for tenders.</w:t>
      </w:r>
    </w:p>
    <w:p>
      <w:r>
        <w:t>84. Thus, in its decision No. 05-D-17, the Competition Council recalled that "The companies Appia Sud Bourgogne and Roger Martin also argue that this exchange of information on prices had no concrete effect on competition insofar as the offers submitted by their companies were not based on the information contained in the estimated quote communicated during the meeting. But the anti-competitive nature of the exchanges of information primarily results from the reduction of the uncertainty regarding the award of the contract and the price at which it will be awarded. This reduction of uncertainty is evident from the exchange of information between the companies Roger Martin and Gerland BFC. It is therefore not necessary to demonstrate a joint elaboration of the offers based on the exchanged information to establish the anti-competitive effect of these exchanges. Furthermore, it is not required by case law, to establish an anti-competitive agreement, to provide proof that the agreement of the will of the companies party to the agreement also concerns obtaining an anti-competitive effect that they would have intentionally sought."</w:t>
      </w:r>
    </w:p>
    <w:p>
      <w:r>
        <w:t>85. Santerne is also not justified in claiming that the exchange of information did not alter its autonomy in the preparation of its offer, as it was aware of a significant part of the financial and technical offer of its competitor, on which, by indicating that it had applied its usual margin on the prices it had been informed of, it acknowledges having relied to prepare its own offer.</w:t>
      </w:r>
    </w:p>
    <w:p>
      <w:r>
        <w:t>86. The submission of two separate, and thus seemingly independent, offers necessarily misled the project owner regarding the intensity of the competition that took place between the candidates, given that information regarding this call for tenders was exchanged between them, even if the practice in question had only a limited impact on the choice of the awardee.</w:t>
      </w:r>
    </w:p>
    <w:p>
      <w:r>
        <w:t>87. It follows from the above that the exchanges of information that occurred between the companies Santerne and Neu – both bidders in the call for tenders launched by LMCU in the context of its maintenance and transformation contract for BMS installations – which concerned significant elements of the market (prices of the most important equipment and materials and content of the technical offer), altered the free play of competition and are therefore prohibited by Article L. 420-1 of the Commercial Code.</w:t>
      </w:r>
    </w:p>
    <w:p>
      <w:r>
        <w:t>C. ON THE ATTRIBUTION OF PRACTICES</w:t>
      </w:r>
    </w:p>
    <w:p>
      <w:r>
        <w:t>1. RECALL OF PRINCIPLES</w:t>
      </w:r>
    </w:p>
    <w:p>
      <w:r>
        <w:t>88. It follows from consistent case law that Articles L. 420-1 and L. 420-2 of the Commercial Code and Articles 101 and 102 of the TFEU target offenses committed by companies, understood as entities engaging in economic activity. The Union judge has clarified that the notion of a company refers to an economic unit, even if, from a legal point of view, it is made up of several natural or legal persons.</w:t>
      </w:r>
    </w:p>
    <w:p>
      <w:r>
        <w:t>89.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These solutions are based on the fact that in the absence of autonomy of the subsidiary in relation to the parent company, these two companies are part of the same economic unit and thus form a single enterprise in the sense of competition law.</w:t>
      </w:r>
    </w:p>
    <w:p>
      <w:r>
        <w:t>90. In the specific case where a parent company holds, directly or indirectly through an intermediary company, all or nearly all of the capital of its subsidiary that engages in infringing behavior, there is a rebuttable presumption that this parent company exerts a determining influence on the behavior of its subsidiary. In this scenario, the competition authority will be able to consider the parent company jointly liable for the fine imposed on its subsidiary, unless this parent company, which bears the burden of overturning this presumption, provides sufficient evidence to demonstrate that its subsidiary behaves autonomously in the market.</w:t>
      </w:r>
    </w:p>
    <w:p>
      <w:r>
        <w:t>91. In this regard, it is not required, to attribute to a parent company the acts committed by its subsidiary, to prove that the parent company was directly involved in the practices or was aware of the incriminated behaviors. As the Union judge points out, "it is therefore not a matter of a relationship of instigation regarding the offense between the parent company and its subsidiary nor, even more so, an implication of the former in the said offense, but the fact that they constitute a single enterprise in the sense of Article 81 EC that allows the Commission to address a decision imposing fines on the parent company."</w:t>
      </w:r>
    </w:p>
    <w:p>
      <w:r>
        <w:t>92. In the event of a transformation of a company, it follows from consistent case law that as long as the legal entity responsible for the operation of the company that implemented practices infringing competition rules legally exists, it must be held responsible. If this legal entity has changed its name or legal form, it nonetheless continues to be liable for the offense committed.</w:t>
      </w:r>
    </w:p>
    <w:p>
      <w:r>
        <w:t>93.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offense, and, in the absence of such a transfer, to the one that ensures its economic and functional continuity in fact. This is particularly the case when a legal entity is absorbed by another. In this case, the practices for which the absorbed company is responsible are attributed to the legal entity that absorbed it.</w:t>
      </w:r>
    </w:p>
    <w:p>
      <w:r>
        <w:t>2. APPLICATION TO THE CASE AT HAND</w:t>
      </w:r>
    </w:p>
    <w:p>
      <w:r>
        <w:t>94. The responsibility of the company Santerne as the author of the practices should be retained. This point is not contested by the accused.</w:t>
      </w:r>
    </w:p>
    <w:p>
      <w:r>
        <w:rPr>
          <w:b/>
        </w:rPr>
        <w:t>[Pages 22–24]</w:t>
      </w:r>
    </w:p>
    <w:p>
      <w:r>
        <w:t>95. The companies Vinci Energies France, Vinci Energies, and Vinci contest, however, the attribution of the practices in their capacity as parent companies.</w:t>
      </w:r>
    </w:p>
    <w:p>
      <w:r>
        <w:t>a) On the alleged violation of Article L. 464-9 of the Commercial Code</w:t>
      </w:r>
    </w:p>
    <w:p>
      <w:r>
        <w:t>96. The companies Vinci Energies France, Vinci Energies, and Vinci argue that the investigative services violated the provisions of Article L. 464-9 of the Commercial Code by notifying them of the grievances in their capacity as parent companies of Santerne. In support of this argument, the accused claim that Article L. 464-9 of the Commercial Code would prohibit the Minister of Economy from proposing a settlement procedure to a company that achieved a turnover exceeding 50 million euros in France during its last closed financial year. According to them, by considering itself competent to handle this matter, the Minister of Economy would have deemed Santerne to be an autonomous company within the Vinci group, given that the French turnover of the latter significantly exceeds the threshold of 50 million euros. They point out in this regard that the Authority was seized by the Minister of Economy "of the practices attributable to the company Santerne Nord Tertiaire," and not to their parent companies. They further invoke a violation of their rights of defense, on the grounds that they were unable to defend themselves before the DGCCRF, nor to accept, if applicable, the settlement offer proposed by the latter to their subsidiary. Finally, they claim that they were treated unequally compared to the parent company of Neu, which was not notified of any grievance.</w:t>
      </w:r>
    </w:p>
    <w:p>
      <w:r>
        <w:t>97. Article L. 464-9 of the Commercial Code states that: "The Minister responsible for the economy may order companies to cease the practices referred to in Articles L. 420-1 to L. 420-2-2 and L. 420-5 or contrary to measures taken under Article L. 410-3 of which they are the authors when these practices affect a market of local dimension, do not concern facts covered by Articles 81 and 82 of the Treaty establishing the European Community, and provided that the turnover that each of them has achieved in France during the last closed financial year does not exceed 50 million euros and that their combined turnovers do not exceed 200 million euros. The Minister responsible for the economy may also, under the same conditions, propose a settlement to them. [...]".</w:t>
      </w:r>
    </w:p>
    <w:p>
      <w:r>
        <w:t>98. The fact that the Minister of Economy proposed a settlement to the company Santerne does not in any way characterize the autonomy of this company from the Vinci group. Article L. 464-9 of the Commercial Code provides that its provisions apply to the "author companies" of the practices. Contrary to what the accused claim, the turnover thresholds referred to in this provision must therefore be calculated taking into account the turnover achieved by only the companies that are the authors of the practices, and not the group to which these companies belong. Consequently, it was permissible for the Minister of Economy to propose a settlement to Santerne, which achieves a turnover of less than 50 million euros in France, even though this company is controlled by the Vinci group, which achieves a turnover well above this threshold.</w:t>
      </w:r>
    </w:p>
    <w:p>
      <w:r>
        <w:t>99. Furthermore, while Article L. 464-9 stipulates that in the event of a refusal of settlement, the Minister responsible for the economy shall refer the matter to the Competition Authority, it does not specify that only the company accused in the procedure before the DGCCRF must be the recipient of the notification of grievances at the stage of the procedure before the Authority.</w:t>
      </w:r>
    </w:p>
    <w:p>
      <w:r>
        <w:t>100. Similarly, the fact that the Authority was seized by the Minister responsible for the economy "of the practices attributable to the company Santerne Nord Tertiaire" is irrelevant insofar as, seized in rem, the Authority is not bound by the ministerial referral. Moreover, Santerne's allegation that the Minister of Economy would have considered that Santerne constituted an autonomous company of the Vinci group by deciding to handle the matter on the basis of Article L. 464-9 of the Commercial Code is directly contradicted by the administrative investigation report of the DGCCRF attached to the act of referral to the Authority. This investigation report clearly concludes to the existence of a "decisive influence" exercised by the parent companies of the Vinci group over Santerne.</w:t>
      </w:r>
    </w:p>
    <w:p>
      <w:r>
        <w:t>101. Furthermore, while Vinci, Vinci Energies, and Vinci Energies France were not parties to the procedure before the DGCCRF, they were able to submit their observations in the context of the procedure before the Authority. The three parent companies of Santerne also provided elements in response to the notification of grievances and during the hearing, so that no violation of their rights of defense and the adversarial principle can be established against them.</w:t>
      </w:r>
    </w:p>
    <w:p>
      <w:r>
        <w:t>102. Finally, the parent company of the Safety for People and Industry (SFPI) group, to which Neu belongs, was not notified of any grievance, as its subsidiary accepted the settlement proposal from the DGCCRF. The accused are not in the same situation as this company, since Santerne refused to settle with the DGCCRF. They cannot therefore invoke the existence of unequal treatment against them.</w:t>
      </w:r>
    </w:p>
    <w:p>
      <w:r>
        <w:t>b) On the reversal of the presumption of decisive influence</w:t>
      </w:r>
    </w:p>
    <w:p>
      <w:r>
        <w:t>103. Relying in particular on decisions No. 08-D-3069 and 08-D-2570, as well as decision No. 11-D-0271 in which the Authority considered that the company Degaine, indirectly owned by Vinci, behaved autonomously in the market, the companies Vinci, Vinci Energies, and Vinci Energies France argue, first, that the Vinci group operates in a decentralized manner, with information and control of the parent companies only exercised for operations whose amounts exceed certain thresholds that exceed the amount of the public contract launched by LMCU in this case.</w:t>
      </w:r>
    </w:p>
    <w:p>
      <w:r>
        <w:t>104. The companies Vinci, Vinci Energies, and Vinci Energies France further claim that Santerne "exhibits all the characteristics of a company enjoying functional and decision-making autonomy in the market vis-à-vis its parent companies" and "a fortiori, from the parent company of the VINCI group." They particularly point out that the registered office of Santerne is distinct from those of its parent companies. In relation to third parties, Santerne would appear as an autonomous company with its own corporate name, its own logo, and specific email addresses. Furthermore, the employees of Santerne would be the only ones representing the company and its establishments to third parties.</w:t>
      </w:r>
    </w:p>
    <w:p>
      <w:r>
        <w:t>105. As a preliminary point, it should be recalled that Santerne is a 100% subsidiary of Vinci Energies France, which is 100% owned by Vinci Energies, whose capital is held by more than 99% by Vinci. The presumption that parent companies exercise a decisive influence over the behavior of their subsidiary therefore applies in this case. Thus, it is up to the accused companies to demonstrate that they do not exercise a decisive influence over the behavior of their subsidiary.</w:t>
      </w:r>
    </w:p>
    <w:p>
      <w:r>
        <w:t>106. However, the elements produced by Vinci Energies France, Vinci Energies, and Vinci are not sufficient to overturn this presumption.</w:t>
      </w:r>
    </w:p>
    <w:p>
      <w:r>
        <w:t>107. First, the decisions and case law cited by the accused do not appear relevant, as the investigative services did not use the presumption of decisive influence in these cases to attribute the practices of the subsidiaries to their parent companies. Thus, in decision No. 11-D-02, the Authority specifies that the attribution of practices to parent companies was determined not on the basis of a presumption, but on the basis of a concrete analysis of the elements relating to the economic, organizational, and legal links that unite the companies of the same group.</w:t>
      </w:r>
    </w:p>
    <w:p>
      <w:r>
        <w:t>108. Second, the arguments put forward by the accused do not seem sufficient to legally overturn the presumption of decisive influence.</w:t>
      </w:r>
    </w:p>
    <w:p>
      <w:r>
        <w:t>109. Regarding the economic links between a parent company and its subsidiary, it should be recalled that the mere fact that the parent company is a holding company, even if non-operational, is not sufficient to overturn the presumption of attribution. Regarding their organizational links, case law considers that strong decentralization does not constitute evidence of the absence of effective exercise of a decisive influence. In this sense, the absence of common personnel among the companies involved does not constitute evidence allowing the presumption of attribution to be overturned. The commercial policy being "only one element among others" and not to be "interpreted restrictively," the autonomy given to the subsidiary in its determination also does not constitute evidence of the absence of effective exercise of a decisive influence. Finally, regarding the perception by third parties of the image of a company, the Tribunal has recalled that this cannot suffice to demonstrate that a subsidiary is autonomous from its parent company.</w:t>
      </w:r>
    </w:p>
    <w:p>
      <w:r>
        <w:t>110. In any case, the arguments regarding the alleged functional autonomy of Santerne are contradicted by the factual elements in the file.</w:t>
      </w:r>
    </w:p>
    <w:p>
      <w:r>
        <w:t>111. Thus, the alleged autonomy of Santerne from its parent companies is contradicted by the statements of the head of Santerne Tertiaire et Santé: "The business strategy of SANTERNE TERTIAIRE ET SANTE is developed jointly with my director Mr. Y..., from the company VINCI ENERGIE as well as the executives of my company (business managers, head of the study office, and head of the management-secretariat pole)" and "We have a pricing database 'OPTIMA' that allows us to benefit from the discounts that the VINCI ENERGIES group has."</w:t>
      </w:r>
    </w:p>
    <w:p>
      <w:r>
        <w:rPr>
          <w:b/>
        </w:rPr>
        <w:t>[Pages 25–27]</w:t>
      </w:r>
    </w:p>
    <w:p>
      <w:r>
        <w:t>112. Santerne's application for the 2014 call for tenders also refers to multiple references to its parent companies. Santerne emphasizes its adherence to "the humanist values of the Vinci Group" and recalls that it can rely "on a synergy of companies belonging to Vinci Energies, which allows for the implementation of rapid solutions with the best regional human skills. This specificity offers us unparalleled responsiveness, regardless of the type of reinforcement needed; in production, technical expertise, or management. A single point of contact federates and mobilizes within the companies of Santerne in Nord-Pas de Calais and those of Vinci Énergies Nord, all the necessary skills for the success of your project" and that it "is part of the Vinci Energies group (the leading electrical installation group in France with over 34,000 employees). Vinci Énergie Nord totals more than 60 companies and 2,200 employees with a fundamental principle of strong networking at the heart of our operations between companies. This specificity allows for immediate access to group personnel in strict compliance with the legislation and rules in force. This provides us with unparalleled responsiveness, regardless of the type of need." It notes that "a Vinci Group entity provides training" to its employees and attaches a presentation of Vinci Energies.</w:t>
      </w:r>
    </w:p>
    <w:p>
      <w:r>
        <w:t>113. Furthermore, and as an additional point, it should be noted that Mr. Y..., president of Santerne, presents himself on social media as a regional director at Vinci Energies, which, given its corporate name, cannot be perceived by third parties as autonomous from the Vinci company of which it is a subsidiary.</w:t>
      </w:r>
    </w:p>
    <w:p>
      <w:r>
        <w:t>c) Conclusion</w:t>
      </w:r>
    </w:p>
    <w:p>
      <w:r>
        <w:t>114. In light of the above, it is appropriate to hold the parent companies responsible, which at the time of the facts held all or nearly all of the capital of Santerne, for the acts committed by the latter. Thus, Vinci Energies France (which has replaced Vinci Energies France Nord), Vinci Energies, and Vinci should be considered jointly and severally liable for the practices attributed to Santerne as parent companies.</w:t>
      </w:r>
    </w:p>
    <w:p>
      <w:r>
        <w:t>D. SANCTIONS</w:t>
      </w:r>
    </w:p>
    <w:p>
      <w:r>
        <w:t>1. ON THE FINANCIAL SANCTION</w:t>
      </w:r>
    </w:p>
    <w:p>
      <w:r>
        <w:t>115. The following will be addressed successively:</w:t>
        <w:br/>
        <w:t>− the principles relating to the determination of sanctions (a);</w:t>
        <w:br/>
        <w:t>− the determination of the base amount of the sanctions (b);</w:t>
        <w:br/>
        <w:t>− the consideration of circumstances specific to the companies concerned (c);</w:t>
        <w:br/>
        <w:t>− the final adjustments (d).</w:t>
      </w:r>
    </w:p>
    <w:p>
      <w:r>
        <w:t>a) On the principles relating to the determination of sanctions</w:t>
      </w:r>
    </w:p>
    <w:p>
      <w:r>
        <w:t>116. I of Article L. 464-2 of the Commercial Code empowers the Authority to impose financial sanctions on companies and organizations engaging in anti-competitive practices prohibited by Articles L. 420-1 and L. 420-2 of the Commercial Code.</w:t>
      </w:r>
    </w:p>
    <w:p>
      <w:r>
        <w:t>117. According to the fourth paragraph of I of Article L. 464-2 of the Commercial Code, "if the offender is not a company, the maximum amount of the sanction is 3 million euros. The maximum amount of the sanction for a company is 10% of the highest amount of worldwide turnover excluding taxes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118. Furthermore, the third paragraph of I of Article L. 464-2 of the Commercial Code provides that "financial sanctions are proportionate to the seriousness of the alleged facts,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w:t>
      </w:r>
    </w:p>
    <w:p>
      <w:r>
        <w:t>119.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each of the authors of the prohibited practices.</w:t>
      </w:r>
    </w:p>
    <w:p>
      <w:r>
        <w:t>120. In this case, the Authority will assess these legal criteria according to the practical modalities described in its press release of May 16, 2011, relating to the method of determining financial sanctions (hereinafter "the sanctions press release").</w:t>
      </w:r>
    </w:p>
    <w:p>
      <w:r>
        <w:t>121. The company involved in this case has been given the opportunity to make observations on the main elements of law and fact in the file that could, according to the investigative services, influence the determination of the sanction that may be imposed on it, following the receipt of the simplified notification of grievances. The presentation of these various elements by the investigative services does not prejudge the College's assessment of the determinants of the sanction, which is solely within its deliberation.</w:t>
      </w:r>
    </w:p>
    <w:p>
      <w:r>
        <w:t>b) On the determination of the base amount of the sanctions</w:t>
      </w:r>
    </w:p>
    <w:p>
      <w:r>
        <w:t>On the method used to determine the base amount</w:t>
      </w:r>
    </w:p>
    <w:p>
      <w:r>
        <w:t>122. Point 23 of the sanctions press release provides that the Authority takes the value of sales of all categories of products related to the infringement made by each of the companies involved, during its last complete accounting year of participation in this infringement, as the basis for their respective sanctions.</w:t>
      </w:r>
    </w:p>
    <w:p>
      <w:r>
        <w:t>123. However, this method may be adapted "in cases of anti-competitive practices concerning one or more specific calls for tenders and not constituting a complex and continuous infringement. Indeed, the value of sales does not constitute an appropriate indicator of the economic magnitude of these practices, which are instantaneous in nature, and the relative weight of each company or organization participating in them, particularly when their involvement consists of making cover bids or refraining from bidding" (point 66 of the sanctions press release).</w:t>
      </w:r>
    </w:p>
    <w:p>
      <w:r>
        <w:t>124. In this case, the Authority considers that "the base amount of the financial sanction will then result from the application of a coefficient, determined based on the seriousness of the facts and the importance of the damage caused to the economy, to the total turnover achieved in France by the organization or by the company involved, or by the group to which the company belongs, in principle during the complete accounting year in which the infringement occurred or the last complete accounting year if there are several. This coefficient will take into account the fact that these practices, which aim to deceive the contracting authorities about the very effectiveness of the tendering procedure, rank among the most serious infringements of competition rules by their very nature and are among the most difficult to detect due to their secret nature" (point 67 of the sanctions press release). The Authority has applied this method of determining the financial sanction in several decisions, confirmed by the Paris Court of Appeal and the Court of Cassation, concerning practices of information exchange during calls for tenders.</w:t>
      </w:r>
    </w:p>
    <w:p>
      <w:r>
        <w:t>125. In this case, the practices implemented by Santerne are instantaneous and were carried out during the awarding of a public contract. Given the circumstances of the case, it is therefore appropriate to apply the method provided for in points 66 and 67 of the sanctions press release, as the value of sales does not constitute an appropriate indicator in this case.</w:t>
      </w:r>
    </w:p>
    <w:p>
      <w:r>
        <w:t>126. According to the method outlined, the base amount of the financial sanction will result from the application of a coefficient, determined based on the seriousness of the facts and the importance of the damage caused to the economy, to the total turnover achieved in France by Santerne during the last complete accounting year in which the infringement occurred.</w:t>
      </w:r>
    </w:p>
    <w:p>
      <w:r>
        <w:t>127. In this case, the infringement was committed between May 14, 2014, and May 27, 2014. The total turnover achieved in France by Santerne during the 2014 financial year is 27,838,433 euros.</w:t>
      </w:r>
    </w:p>
    <w:p>
      <w:r>
        <w:rPr>
          <w:b/>
        </w:rPr>
        <w:t>[Pages 28–30]</w:t>
      </w:r>
    </w:p>
    <w:p>
      <w:r>
        <w:t>On the seriousness of the facts and the importance of the damage caused to the economy</w:t>
      </w:r>
    </w:p>
    <w:p>
      <w:r>
        <w:t>On the seriousness of the facts</w:t>
      </w:r>
    </w:p>
    <w:p>
      <w:r>
        <w:t>128. Santerne participated in the implementation of a concerted practice with Neu consisting of exchanges of confidential information with a view to the awarding of the maintenance and transformation contract for the BMS installations in Lille in 2014.</w:t>
      </w:r>
    </w:p>
    <w:p>
      <w:r>
        <w:t>129. In accordance with point 26 of the press release of May 16, 2011, regarding the method for determining monetary sanctions, to assess the seriousness of the facts, the Authority takes into account the following elements, depending on their relevance:</w:t>
        <w:br/>
        <w:t>− the nature of the infringement or infringements in question and the facts retained to characterize them as well as the nature of the competition parameters concerned;</w:t>
        <w:br/>
        <w:t>− the nature of the activities, sectors, or markets involved;</w:t>
        <w:br/>
        <w:t>− the nature of the persons likely to be affected;</w:t>
        <w:br/>
        <w:t>− and the objective characteristics of the infringement or infringements.</w:t>
      </w:r>
    </w:p>
    <w:p>
      <w:r>
        <w:t>130. Regarding, first, the nature of the infringements in question, it should be recalled that agreements between competing companies in the same market made during calls for tenders are among the most serious anti-competitive practices. The Paris Court of Appeal has thus ruled that "it cannot be seriously contested that such practices are particularly serious by nature, as they limit the intensity of the competitive pressure to which companies would have been subjected if they had acted independently, the very foundation of calls for competition residing in the secrecy that surrounds the interested companies in developing their offers, each of them having to remain unaware of the quality of their competitors, of their financial capacities to offer the best possible service or supply at the lowest price." It recalls in this regard that "the exchanges of information between companies prior to the submission of bids are intrinsically serious in that they free competitors from the uncertainty of competition and allow them to develop offers that no longer take into account only their own economic data, but those, normally confidential, of their competitors."</w:t>
      </w:r>
    </w:p>
    <w:p>
      <w:r>
        <w:t>131. Santerne cannot claim that the practice in question had no impact on the outcome of the call for tenders and the prices practiced or that the practice had no secretive character to challenge the seriousness of the practice.</w:t>
      </w:r>
    </w:p>
    <w:p>
      <w:r>
        <w:t>132. Indeed, the very purpose of the call for tenders in a public market is to ensure full and complete competition among the companies likely to respond for the benefit of the public entity. Therefore, the disruption of the normal course of tendering procedures, by preventing price setting through the free play of the market and misleading the public entity about the reality and extent of the competition exercised among the bidding companies, disrupts the sector where such practices occur and causes serious harm to the economic public order.</w:t>
      </w:r>
    </w:p>
    <w:p>
      <w:r>
        <w:t>133. Furthermore, the multi-year duration of the public contract in question, by freezing competition over a long period, contributed to increasing the seriousness of the practices.</w:t>
      </w:r>
    </w:p>
    <w:p>
      <w:r>
        <w:t>On the importance of the damage caused to the economy</w:t>
      </w:r>
    </w:p>
    <w:p>
      <w:r>
        <w:t>134. It is established case law that the importance of the damage caused to the economy is assessed globally for the practices in question, that is to say, in light of the cumulative action of all participants, without the need to identify the share attributable to each of them taken separately.</w:t>
      </w:r>
    </w:p>
    <w:p>
      <w:r>
        <w:t>135. This legal criterion does not coincide with the harm that the victims of the practices in question may have suffered, but is assessed based on the general disruption that these practices are likely to cause to the economy.</w:t>
      </w:r>
    </w:p>
    <w:p>
      <w:r>
        <w:t>136. The Authority, which is not required to precisely quantify the damage caused to the economy, must assess its existence and importance based on as complete an analysis as possible of the elements of the file and by examining the various aspects of the general disruption of the normal functioning of the economy caused by the practices in question. The existence of damage to the economy cannot therefore be presumed.</w:t>
      </w:r>
    </w:p>
    <w:p>
      <w:r>
        <w:t>137. Based on established case law, the Authority takes into account, in assessing the economic impact of the practice in question, the magnitude of the infringement as characterized, among other things, by its geographical coverage or by the cumulative market share of the parties in the relevant sector, its duration, the conjunctural or structural consequences, as well as the relevant economic characteristics of the sector concerned. Both proven and potential effects of the practice may be considered in this regard.</w:t>
      </w:r>
    </w:p>
    <w:p>
      <w:r>
        <w:t>138. While the importance of the damage to the economy cannot be mitigated by the local dimension of the market in question, the amount of the affected contract may be taken into consideration to measure the extent of the practices. In the case of agreements concerning tendering contracts, the amount of the affected contracts is indeed one of the elements for assessing the importance of the damage caused to the economy, even if the damage may take into account other parameters.</w:t>
      </w:r>
    </w:p>
    <w:p>
      <w:r>
        <w:t>139. In this case, the estimated amount of the affected contract was between 200,000 euros and 800,000 euros excluding taxes, and the amount estimated by Neu was 809,345.69 euros at the time of the call for tenders. The amount actually executed amounted to 642,711.41 euros, which is more than 20% lower than the initially estimated amount.</w:t>
      </w:r>
    </w:p>
    <w:p>
      <w:r>
        <w:t>140. The effect of the practices on the outcome of the call for tenders and the price practiced is to be relativized. The exchanges that took place between Neu and Santerne had a limited impact on the outcome of the consultation insofar as a third offer – that of Eiffage – had been submitted, and this offer was more competitive in terms of pricing. According to the offer analysis report, the outcome of the call for tenders thus relates more to the superiority of Neu's offer (compared to Eiffage's offer) in qualitative terms.</w:t>
      </w:r>
    </w:p>
    <w:p>
      <w:r>
        <w:t>141. Furthermore, in the absence of information exchange, that is to say, placed in uncertainty regarding the content of Neu's offer, Santerne could have been encouraged to submit a financial offer lower than the one it actually submitted. Nevertheless, given the rating gap between the two offers by the technical services of LMCU and the alleged necessity for Santerne to resort to Neu, it is unlikely that Santerne's offer would have been more competitive than Neu's.</w:t>
      </w:r>
    </w:p>
    <w:p>
      <w:r>
        <w:t>142. It should be concluded from the above that the practices in question caused limited damage to the economy.</w:t>
      </w:r>
    </w:p>
    <w:p>
      <w:r>
        <w:t>Conclusion on the proportion of turnover retained in terms of seriousness and damage to the economy</w:t>
      </w:r>
    </w:p>
    <w:p>
      <w:r>
        <w:t>143. Given the assessment made above of the seriousness of the facts and the importance of the damage caused to the economy in the relevant sector, the Authority will retain, to determine the base amount of the sanction for the companies involved, a proportion of 0.8% of the total turnover achieved in France by Santerne in the 2014 financial year, which corresponds to a base amount of the sanction of 222,707 euros.</w:t>
      </w:r>
    </w:p>
    <w:p>
      <w:r>
        <w:t>c) On the individualization of the sanction</w:t>
      </w:r>
    </w:p>
    <w:p>
      <w:r>
        <w:t>Regarding the situation of the Vinci group companies</w:t>
      </w:r>
    </w:p>
    <w:p>
      <w:r>
        <w:t>144. The Authority has committed to adjusting the base amounts retained in light of the legal criterion concerning the individual situation of each of the parties involved, whether they are organizations or companies, belonging, where applicable, to larger groups.</w:t>
      </w:r>
    </w:p>
    <w:p>
      <w:r>
        <w:t>145. For this purpose, and depending on the specific elements of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w:t>
      </w:r>
    </w:p>
    <w:p>
      <w:r>
        <w:t>146. In this case, the elements of the file do not reveal any elements likely to characterize the existence of aggravating or mitigating circumstances specific to Santerne.</w:t>
      </w:r>
    </w:p>
    <w:p>
      <w:r>
        <w:t>147. On the other hand, the assessment of the individual situation of a company may notably lead to taking into account not only its size and resources, beyond those derived from the products or services targeted by the infringement, but also its membership in a group that itself has a larger size, economic power, and overall resources.</w:t>
      </w:r>
    </w:p>
    <w:p>
      <w:r>
        <w:t>148. In fact, the circumstance that a company, beyond the sole products or services related to the infringement, benefits from a significant scope of activities, or has...</w:t>
      </w:r>
    </w:p>
    <w:p>
      <w:r>
        <w:rPr>
          <w:b/>
        </w:rPr>
        <w:t>[Pages 31–33]</w:t>
      </w:r>
    </w:p>
    <w:p>
      <w:r>
        <w:t>significant financial power, may justify that the sanction imposed on it for a given infringement is higher than if this were not the case, in order to ensure both the deterrent and proportionate nature of the financial penalty.</w:t>
      </w:r>
    </w:p>
    <w:p>
      <w:r>
        <w:t>149. In this case, the Authority will take into account the size of the Vinci group, to which Santerne belongs.</w:t>
      </w:r>
    </w:p>
    <w:p>
      <w:r>
        <w:t>150. The overall financial resources of the Vinci group are very significant. Thus, its consolidated global turnover for 2018 reached 43.5 billion euros.</w:t>
      </w:r>
    </w:p>
    <w:p>
      <w:r>
        <w:t>151. The turnover of Santerne used as the basis for the sanction is less than 0.1% of the total turnover of the Vinci group.</w:t>
      </w:r>
    </w:p>
    <w:p>
      <w:r>
        <w:t>152. Given these elements and while the effectiveness of the fight against anti-competitive practices requires that the sanction be effectively deterrent, considering the financial situation specific to the company at the time it is sanctioned, the base amount of the financial penalty imposed on Santerne, jointly with its parent companies Vinci Energies France, Vinci Energies, and Vinci, must be increased by 70%.</w:t>
      </w:r>
    </w:p>
    <w:p>
      <w:r>
        <w:t>Reiteration</w:t>
      </w:r>
    </w:p>
    <w:p>
      <w:r>
        <w:t>153. The reiteration, referred to autonomously by I of Article L. 464-2 of the Commercial Code, constitutes an aggravating circumstance that the Authority may take into account by increasing the amount of the sanction in order to provide a proportionate response, in terms of repression and deterrence, to the propensity of the company or organization to disregard competition rules. The jurisprudence of the Union goes in the same direction.</w:t>
      </w:r>
    </w:p>
    <w:p>
      <w:r>
        <w:t>154. It is possible to establish the existence of a reiteration when four conditions are met (paragraph 51 of the sanctions communiqué): a previous infringement of competition law must have been established before the end of the commission of the new practice; the new practice must be identical or similar, in its object or effects, to that which led to the previous finding of infringement; the latter must have acquired a definitive character by the date on which the Authority rules on the new practice; the time elapsed between the previous finding of infringement and the start of the new practice is taken into account to provide a proportionate response to the propensity of the company to disregard competition rules, it being noted that reiteration will not be retained when the time in question exceeds fifteen years.</w:t>
      </w:r>
    </w:p>
    <w:p>
      <w:r>
        <w:t>155. Furthermore, in the case of reiteration, the individualized amount may be "increased by a proportion between 15 and 50%, depending in particular on the time separating the start of the new practice from the previous finding of infringement, and the nature of the different infringements involved."</w:t>
      </w:r>
    </w:p>
    <w:p>
      <w:r>
        <w:t>156. In a ruling of September 27, 2018, the Paris Court of Appeal held that "reiteration can be retained for new practices identical or similar, in their object or effects, to those that led to the previous finding of infringement, without this qualification requiring an identity as to the practice implemented or the market concerned," and that "the two findings of infringement present, on the contrary, marked similarities, both in their object and in their effects. In both cases, the company EDF was sanctioned for implementing practices of abuse of dominant position, in violation of the same legal basis, namely Articles L. 420-2 of the Commercial Code and 102 of the TFEU."</w:t>
      </w:r>
    </w:p>
    <w:p>
      <w:r>
        <w:t>157. In this case, it should be noted that Vinci was sanctioned for having participated in horizontal collusion practices in decision n° 06-D-07 of March 21, 2006, relating to practices implemented in the public works sector in the Île-de-France region.</w:t>
      </w:r>
    </w:p>
    <w:p>
      <w:r>
        <w:t>158. The practices referred to under the first grievance also constitute horizontal collusion practices and are, in the sense of the aforementioned jurisprudence relating to reiteration, similar.</w:t>
      </w:r>
    </w:p>
    <w:p>
      <w:r>
        <w:t>159. The aforementioned decision n° 06-D-07 was definitive at the date of the start of the practices attributed (i.e. May 14, 2014) and all the more so at the date of the first finding of infringement by the Authority in the present decision.</w:t>
      </w:r>
    </w:p>
    <w:p>
      <w:r>
        <w:t>160. Finally, the time elapsed between the first finding of infringement (i.e. March 21, 2006) and the start of the practices is just under 8 years and three months.</w:t>
      </w:r>
    </w:p>
    <w:p>
      <w:r>
        <w:t>161. It follows from the above that the companies of the Vinci group are in a situation of reiteration justifying, in the circumstances of the case, an increase of 15% of the sanction.</w:t>
      </w:r>
    </w:p>
    <w:p>
      <w:r>
        <w:t>Interim conclusion</w:t>
      </w:r>
    </w:p>
    <w:p>
      <w:r>
        <w:t>162. In light of all the general and individual elements as outlined above, the amount of the sanctions imposed on the companies involved is set, at this stage of the demonstration, at the rounded sum of 435,000 euros.</w:t>
      </w:r>
    </w:p>
    <w:p>
      <w:r>
        <w:t>d) On the final adjustments</w:t>
      </w:r>
    </w:p>
    <w:p>
      <w:r>
        <w:t>On the verification of compliance with the legal maximum</w:t>
      </w:r>
    </w:p>
    <w:p>
      <w:r>
        <w:t>163. In accordance with I of Article L. 464-2 of the Commercial Code, when the offender is a company, the maximum amount of the financial penalty is 10% of the highest global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164. The turnover of Santerne is consolidated by the company Vinci. Therefore, the maximum amount of the sanction that can be imposed jointly on Santerne, Vinci Energies France, Vinci Energies, and Vinci corresponds to 10% of Vinci's global turnover excluding taxes for the year 2018 (43,519,000,000 euros), which is 4,351,900,000 euros. Indeed, the turnover excluding taxes of the company Vinci for the year 2018 is the highest since the financial year preceding the one during which the practices were implemented.</w:t>
      </w:r>
    </w:p>
    <w:p>
      <w:r>
        <w:t>165. Nevertheless, pursuant to Article L. 464-5 of the Commercial Code: "The Authority, when ruling under the simplified procedure provided for in Article L. 463-3, may impose the measures provided for in I of Article L. 464-2. However, the financial penalty may not exceed 750,000 euros for each of the authors of prohibited practices."</w:t>
      </w:r>
    </w:p>
    <w:p>
      <w:r>
        <w:t>166. The general rapporteur of the Authority having decided to apply the provisions of Article L. 463-3 of the Commercial Code, it is this latter ceiling that must be retained in this case, namely 750,000 euros.</w:t>
      </w:r>
    </w:p>
    <w:p>
      <w:r>
        <w:t>167. The sanction imposed on the companies involved is therefore below the legal ceiling.</w:t>
      </w:r>
    </w:p>
    <w:p>
      <w:r>
        <w:t>On the financial situation of the company</w:t>
      </w:r>
    </w:p>
    <w:p>
      <w:r>
        <w:t>168. In this case, the accused do not invoke any particular difficulties and have not produced financial and accounting elements demonstrating the existence of financial difficulties affecting their ability to pay the sanction that the Authority intends to impose on them.</w:t>
      </w:r>
    </w:p>
    <w:p>
      <w:r>
        <w:t>On the final amount of the sanction</w:t>
      </w:r>
    </w:p>
    <w:p>
      <w:r>
        <w:t>169. In light of all the general and individual elements as outlined above, the amount of the sanction imposed jointly on Santerne, Vinci Energies France, Vinci Energies, and Vinci is set at the rounded sum of 435,000 euros.</w:t>
      </w:r>
    </w:p>
    <w:p>
      <w:r>
        <w:t>2. THE OBLIGATION TO PUBLISH</w:t>
      </w:r>
    </w:p>
    <w:p>
      <w:r>
        <w:t>170. By application of Article L. 464-2 of the Commercial Code, the Authority may also order "the publication, dissemination, or display of its decision or an excerpt thereof according to the modalities it specifies (...). The costs are borne by the interested party."</w:t>
      </w:r>
    </w:p>
    <w:p>
      <w:r>
        <w:t>171. In order to alert the economic actors concerned by the infringement noted, it is necessary to order the publication, at the expense of the accused, in the paper edition and on the website of the newspaper "La Voix du Nord" and the magazine "Le Moniteur des travaux publics et du bâtiment" of the summary of the present decision appearing below:</w:t>
      </w:r>
    </w:p>
    <w:p>
      <w:r>
        <w:t>Summary of the decision</w:t>
      </w:r>
    </w:p>
    <w:p>
      <w:r>
        <w:t>The Competition Authority has jointly imposed a sanction of 435,000 euros on the company Santerne Nord Tertiaire (hereinafter "Santerne") and several companies of the Vinci group (Vinci Energies France, Vinci Energies, and Vinci), for having implemented a concerted practice of collusion aimed at distorting competition, thereby violating Article L. 420-1 of the Commercial Code.</w:t>
      </w:r>
    </w:p>
    <w:p>
      <w:r>
        <w:t>The decision rendered follows an investigation conducted by the DGCCRF in the sector of technical building management.</w:t>
      </w:r>
    </w:p>
    <w:p>
      <w:r>
        <w:t>Santerne participated in information exchanges with the company Neu Automation with a view to the awarding of the maintenance and transformation contract for the technical management installations of Lille metropolitan urban community. These exchanges occurred before the submission of bids and concerned significant elements of the market (prices of the most important equipment and materials and content of the technical offer). The submission of two separate bids, and thus apparently independent, necessarily misled the contracting authority regarding the intensity of the competition that took place between the candidates. Such exchanges distorted the free play of competition and are therefore prohibited by Article L. 420-1 of the Commercial Code.</w:t>
      </w:r>
    </w:p>
    <w:p>
      <w:r>
        <w:rPr>
          <w:b/>
        </w:rPr>
        <w:t>[Pages 34–35]</w:t>
      </w:r>
    </w:p>
    <w:p>
      <w:r>
        <w:t>The full text of the decision of the Competition Authority is available on the website www.autoritedelaconcurrence.fr.</w:t>
      </w:r>
    </w:p>
    <w:p>
      <w:r>
        <w:t>172. They shall send by registered mail, to the procedural service, a copy of this publication, within two months from the notification of the decision.</w:t>
      </w:r>
    </w:p>
    <w:p>
      <w:r>
        <w:t>DECISION</w:t>
      </w:r>
    </w:p>
    <w:p>
      <w:r>
        <w:t>Article 1: It is established that the company Santerne Nord Tertiaire as the author, and the companies Vinci Energies France, Vinci Energies, and Vinci as parent companies have violated the provisions of Article L. 420-1 of the Commercial Code by participating in exchanges of confidential information with the company Neu Automation with a view to the awarding of the maintenance and transformation contract for the technical management installations of Lille metropolitan urban community 2014-2018.</w:t>
      </w:r>
    </w:p>
    <w:p>
      <w:r>
        <w:t>Article 2: A financial penalty of 435,000 euros is imposed jointly on the companies Santerne Nord Tertiaire, Vinci Energies France, Vinci Energies, and Vinci.</w:t>
      </w:r>
    </w:p>
    <w:p>
      <w:r>
        <w:t>Article 3: The sanctioned entities are ordered to insert, at their expense, the text appearing in paragraph 171 of this decision, respecting the formatting, in the paper edition and on the website of the newspaper "La Voix du Nord" and the magazine "Le Moniteur des travaux publics et du bâtiment". This publication shall appear in a box in black characters on a white background with a height of at least three millimeters under the following title, in bold characters of the same size: "Decision of the Competition Authority No. 21-D-05 of March 4, 2021, regarding practices implemented in the sector of technical management of buildings of Lille metropolitan urban community." It may be followed by the mention that the decision has been appealed to the Court of Appeal of Paris if such an appeal is filed. They shall send, by registered mail, to the procedural service, a copy of this publication, within two months from the notification of the decision.</w:t>
      </w:r>
    </w:p>
    <w:p>
      <w:r>
        <w:t>Deliberated on the oral report of Mr. Thomas Braud, rapporteur, and the intervention of Ms. Gwenaëlle Nouët, deputy general rapporteur, by Mr. Henri Piffaut, vice-president, president of the session, Ms. Irène Luc and Ms. Fabienne Siredey-Garnier, vice-presidents.</w:t>
      </w:r>
    </w:p>
    <w:p>
      <w:r>
        <w:t>The session secretary, The session president,</w:t>
        <w:br/>
        <w:t>Claire Villeval 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