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https://www.autoritedelaconcurrence.fr/fr/decision/relative-des-pratiques-mises-en-oeuvre-dans-le-secteur-de-la-grande-distribution-0</w:t>
      </w:r>
    </w:p>
    <w:p>
      <w:r>
        <w:t>Pages translated : 37</w:t>
      </w:r>
    </w:p>
    <w:p/>
    <w:p>
      <w:r>
        <w:rPr>
          <w:b/>
        </w:rPr>
        <w:t>[Pages 1–3]</w:t>
      </w:r>
    </w:p>
    <w:p>
      <w:r>
        <w:t xml:space="preserve">FRENCH REPUBLIC  </w:t>
        <w:br/>
        <w:t xml:space="preserve">Decision No. 20-D-22 of December 17, 2020  </w:t>
        <w:br/>
        <w:t xml:space="preserve">regarding practices implemented in the food-dominant retail sector by the  </w:t>
        <w:br/>
        <w:t>Carrefour and Tesco groups</w:t>
      </w:r>
    </w:p>
    <w:p>
      <w:r>
        <w:t xml:space="preserve">The Competition Authority (permanent commission),  </w:t>
        <w:br/>
        <w:t xml:space="preserve">Having regard to Decision No. 19-SO-06 of May 2, 2019, registered under number 19/0023 F, by which the Competition Authority took action ex officio regarding practices implemented in the food-dominant retail sector concerning the Carrefour and Tesco groups resulting from investigation 18/0096 E;  </w:t>
        <w:br/>
        <w:t xml:space="preserve">Having regard to Decision No. 19-SO-19 of September 19, 2019, registered under number 19/0059 M, regarding an ex officio referral concerning the examination of the merits of the imposition of interim measures regarding purchasing cooperation agreements related to private label products in the food-dominant retail sector;  </w:t>
        <w:br/>
        <w:t xml:space="preserve">Having regard to Article 101 of the Treaty on the Functioning of the European Union;  </w:t>
        <w:br/>
        <w:t xml:space="preserve">Having regard to Book IV of the Commercial Code, and in particular its Articles L. 420-1, L. 462-10, and L. 464-1;  </w:t>
        <w:br/>
        <w:t xml:space="preserve">Having regard to the note from the investigation services proposing the adoption of interim measures, notified to the parties and to the Government Commissioner on September 4, 2020;  </w:t>
        <w:br/>
        <w:t xml:space="preserve">Having regard to the proposal of commitments from the Carrefour and Tesco groups dated September 17, 2020, published online on October 8, 2020, on the website of the Competition Authority for a market test;  </w:t>
        <w:br/>
        <w:t xml:space="preserve">Having regard to the observations of Tesco PLC and the Carrefour SA and Carrefour World Trade companies dated September 21, 2020;  </w:t>
        <w:br/>
        <w:t xml:space="preserve">Having regard to the observations of November 9, 2020, presented by GEFeL (Economic Governance Association of Fruits and Vegetables), AIM (Association of Brand Industries), ANIA (National Association of Food Industries), and the companies Lactalis and Edgewell Personal Care within the framework of the market test;  </w:t>
        <w:br/>
        <w:t xml:space="preserve">Having regard to the modified proposal of commitments from the Carrefour and Tesco groups dated November 25, 2020;  </w:t>
        <w:br/>
        <w:t>Having regard to the business secrecy decisions No. 19-DSA-280 of July 30, 2019; No. 19-DSA-281 of July 30, 2019; No. 19-DSA-282 of July 30, 2019; No. 19-DSA-531 of August 14, 2019; No. 19-DSA-288 of August 26, 2019; No. 19-DSA-300 of August 26, 2019; No. 19-DSA-305 of August 26, 2019; No. 19-DSA-307 of August 26, 2019; No. 19-DSA-312 of August 26, 2019; No. 19-DSA-315 of August 26, 2019; No. 19-DSA-317 of August 26, 2019; No. 19-DSA-321 of August 26, 2019; No. 19-DSA-327 of August 26, 2019; No. 19-DSA-330 of August 26, 2019; No. 19-DSA-334 of August 26, 2019; No. 19-DSA-337 of August 26, 2019; No. 19-DSA-340 of August 26, 2019; No. 19-DSA-343 of August 26, 2019; No. 19-DSA-347 of August 26, 2019; No. 19-DSA-351 of August 26, 2019; No. 19-DSA-355 of August 26, 2019; No. 19-DSA-358 of August 26, 2019; No. 19-DSA-362 of August 26, 2019; No. 19-DSA-365 of August 26, 2019; No. 19-DSA-368 of August 26, 2019; No. 19-DSA-371 of August 26, 2019; No. 19-DSA-392 of August 26, 2019; No. 19-DSA-374 of August 27, 2019; No. 19-DSA-383 of August 27, 2019; No. 19-DSA-387 of August 28, 2019; No. 19-DSA-390 of August 28, 2019; No. 19-DSA-394 of August 29, 2019; No. 19-DSA-397 of August 29, 2019; No. 19-DSA-400 of August 30, 2019; No. 19-DSA-403 of August 30, 2019; No. 19-DSA-410 of September 2, 2019; No. 19-DSA-413 of September 2, 2019; No. 19-DSA-417 of September 3, 2019; No. 19-DSA-420 of September 4, 2019; No. 19-DSA-424 of September 4, 2019; No. 19-DSA-427 of September 4, 2019; No. 19-DSA-430 of September 4, 2019; No. 19-DSA-433 of September 5, 2019; No. 19-DSA-437 of September 5, 2019; No. 19-DSA-443 of September 9, 2019; No. 19-DSA-446 of September 9, 2019; No. 19-DSA-449 of September 9, 2019; No. 19-DSA-455 of September 10, 2019; No. 19-DSA-459 of September 11, 2019; No. 19-DSA-462 of September 12, 2019; No. 19-DSA-465 of September 12, 2019; No. 19-DSA-466 of September 12, 2019; No. 19-DSA-468 of September 12, 2019; No. 19-DSA-471 of September 13, 2019; No. 19-DSA-473 of September 13, 2019; No. 19-DSA-475 of September 13, 2019; No. 19-DSA-478 of September 16, 2019; No. 19-DSA-481 of September 16, 2019; No. 19-DSA-485 of September 16, 2019; No. 19-DSA-489 of September 17, 2019; No. 19-DSA-492 of September 18, 2019; No. 19-DSA-495 of September 18, 2019; No. 19-DSA-499 of September 19, 2019; No. 19-DSA-504 of October 29, 2019; No. 19-DSA-507 of September 19, 2019; No. 19-DSA-510 of September 20, 2019; No. 19-DSA-513 of September 20, 2019; No. 19-DSA-516 of September 20, 2019; No. 19-DSA-526 of September 24, 2019; No. 19-DSA-531 of September 25, 2019; No. 19-DSA-535 of September 25, 2019; No. 19-DSA-541 of October 1, 2019; No. 19-DSA-542 of October 1, 2019; No. 19-DSA-552 of October 9, 2019; No. 19-DSA-559 of October 10, 2019; No. 19-DSA-560 of October 10, 2019; No. 19-DSA-567 of October 14, 2019; No. 19-DSA-568 of October 14, 2019; No. 19-DSA-573 of October 15, 2019; No. 19-DSA-594 of October 29, 2019; No. 19-DSA-603 of October 30, 2019; No. 19-DSA-606 of October 30, 2019; No. 19-DSA-610 of October 30, 2019; No. 19-DSA-613 of October 31, 2019; No. 19-DSA-616 of October 31, 2019; No. 19-DSA-619 of October 31, 2019; No. 19-DSA-621 of October 31, 2019; No. 19-DSA-623 of November 4, 2019; No. 19-DSA-625 of November 4, 2019; No. 19-DSA-629 of November 4, 2019; No. 19-DSA-632 of November 4, 2019; No. 19-DSA-634 of November 4, 2019; No. 19-DSA-639 of November 4, 2019; No. 19-DSA-641 of November 5, 2019; No. 19-DSA-644 of November 5, 2019; No. 19-DSA-647 of November 5, 2019; No. 19-DSA-652 of November 6, 2019; No. 19-DSA-654 of November 6, 2019; No. 19-DSA-656 of November 6, 2019; No. 19-DSA-658 of November 6, 2019; No. 19-DSA-660 of November 7, 2019; No. 20-DSA-021 of January 13, 2020; No. 20-DSA-132 of February 19, 2020; No. 20-DSA-235 of May 6, 2020; No. 20-DSA-236 of May 11, 2020; No. 20-DSA-238 of May 13, 2020; No. 20-DSA-240 of May 13, 2020; No. 20-DSA-241 of May 13, 2020; No. 20-DSA-242 of May 14, 2020; No. 20-DSA-245 of May 15, 2020; No. 20-DSA-246 of May 15, 2020; No. 20-DSA-248 of May 15, 2020; No. 20-DSA-250 of May 20, 2020; No. 20-DSA-253 of May 27, 2020; No. 20-DSA-255 of May 29, 2020; No. 20-DSA-475 of September 25, 2020; No. 20-DSA-569 of November 16, 2020; No. 20-DECR-270 of June 8, 2020; No. 20-DECR-271 of June 8, 2020; No. 20-DECR-272 of June 8, 2020; No. 20-DECR-274 of June 8, 2020; No. 20-DECR-275 of June 8, 2020; No. 20-DECR-276 of June 8, 2020;</w:t>
      </w:r>
    </w:p>
    <w:p>
      <w:r>
        <w:t xml:space="preserve">Having regard to the other documents in the file;  </w:t>
        <w:br/>
        <w:t xml:space="preserve">The rapporteurs, the deputy general rapporteur, the Government Commissioner, and the representatives of the Carrefour and Tesco companies heard during the sessions of the Competition Authority on October 5 and November 25, 2020;  </w:t>
        <w:br/>
        <w:t>Adopts the following decision:</w:t>
      </w:r>
    </w:p>
    <w:p>
      <w:r>
        <w:rPr>
          <w:b/>
        </w:rPr>
        <w:t>[Pages 4–6]</w:t>
      </w:r>
    </w:p>
    <w:p>
      <w:r>
        <w:t xml:space="preserve">Summary1  </w:t>
        <w:br/>
        <w:t xml:space="preserve">In the following decision, which constitutes the second decision regarding purchasing centers since the adoption of the "Egalim" law of October 30, 2018 granting the Competition Authority new powers regarding the merger of purchasing centers2, the Authority makes mandatory the commitments of the Carrefour and Tesco groups (hereinafter, "the Parties") undertaken in the context of the implementation of their cooperation agreement.  </w:t>
        <w:br/>
        <w:t xml:space="preserve">On August 4, 2018, the Parties notified the Authority, pursuant to Article L. 462-10 of the Commercial Code, of a cooperation agreement concerning the purchase of private label products and the sale of international services to certain of their common suppliers.  </w:t>
        <w:br/>
        <w:t xml:space="preserve">The Authority initiated proceedings on its own motion on May 2, 2019, as now permitted by II of Article L. 462-10, to examine whether these various cooperation agreements risked causing a significant infringement of competition.  </w:t>
        <w:br/>
        <w:t xml:space="preserve">A few months later, on September 19, 2019, it also initiated proceedings on its own motion for interim measures, based on III of Article L. 462-10, to examine the appropriateness of imposing such measures regarding the aspect of cooperation between Carrefour and Tesco concerning private label products.  </w:t>
        <w:br/>
        <w:t xml:space="preserve">The investigation services, in this context, evaluated the practices falling within the scope of the self-referral, and then sent a note to the Parties on September 4, 2020, in which they identified infringements of Article 101, paragraph 1 of the TFEU and L. 420-1 of the Commercial Code that could be established in the relevant markets due to the agreement between the Parties.  </w:t>
        <w:br/>
        <w:t xml:space="preserve">The identified competitive risks primarily concerned the upstream market for the supply of private label products, due to the possible reduction in suppliers' ability to invest and innovate in this market, which could lead to a decrease in the quality and diversity of the offerings available to consumers.  </w:t>
        <w:br/>
        <w:t xml:space="preserve">Following this note, the Parties submitted a proposal for commitments to the investigation services on September 17, 2020, based on I of Article L. 464-2 of the Commercial Code.  </w:t>
        <w:br/>
        <w:t xml:space="preserve">They commit, in substance, to:  </w:t>
        <w:br/>
        <w:t xml:space="preserve">− exclude certain product families from the scope of cooperation;  </w:t>
        <w:br/>
        <w:t xml:space="preserve">− limit, for other categories of products, the cooperation to 15% of the upstream market if market characteristics justify it, and if Carrefour's market share exceeds 15%.  </w:t>
        <w:br/>
        <w:t xml:space="preserve">They will continue to cooperate freely when Carrefour's cumulative market share does not exceed 15% or when market characteristics do not justify commitments.  </w:t>
        <w:br/>
        <w:t>In its decision, the Authority considers that the commitments proposed by the Parties following the market test, and subsequently improved, constitute a necessary, effective, and proportionate response to the competition concerns raised by the investigation services.</w:t>
      </w:r>
    </w:p>
    <w:p>
      <w:r>
        <w:t>5</w:t>
      </w:r>
    </w:p>
    <w:p>
      <w:r>
        <w:t xml:space="preserve">SUMMARY  </w:t>
        <w:br/>
        <w:t xml:space="preserve">I. FINDINGS ................................................................................ 8  </w:t>
        <w:br/>
        <w:t xml:space="preserve">A. PROCEDURAL BACKGROUND ...................................................................................8  </w:t>
        <w:br/>
        <w:t xml:space="preserve">B. THE PARTIES INVOLVED ....................................................................................9  </w:t>
        <w:br/>
        <w:t xml:space="preserve">1. CARREFOUR ...........................................................................................................9  </w:t>
        <w:br/>
        <w:t xml:space="preserve">a) Carrefour S.A. ........................................................................................... 9  </w:t>
        <w:br/>
        <w:t xml:space="preserve">b) CWT ......................................................................................................... 10  </w:t>
        <w:br/>
        <w:t xml:space="preserve">2. TESCO .....................................................................................................................10  </w:t>
        <w:br/>
        <w:t xml:space="preserve">C. THE COOPERATION AGREEMENT NOTIFIED BY THE PARTIES ........................10  </w:t>
        <w:br/>
        <w:t xml:space="preserve">D. THE ECONOMIC AND LEGAL CONTEXT .................................................11  </w:t>
        <w:br/>
        <w:t xml:space="preserve">II. ON THE ANALYSIS OF COMPETITION INFRINGEMENT RISKS RESULTING FROM THE COOPERATION AGREEMENT NOTIFIED BY THE PARTIES ............................ 14  </w:t>
        <w:br/>
        <w:t xml:space="preserve">A. ON THE APPLICABILITY OF EU LAW ..................14  </w:t>
        <w:br/>
        <w:t xml:space="preserve">1. PRINCIPLES .................................................................................................................14  </w:t>
        <w:br/>
        <w:t xml:space="preserve">2. APPLICATION TO THE CASE AT HAND .............................................................................15  </w:t>
        <w:br/>
        <w:t xml:space="preserve">a) The existence of exchanges between Member States ....................................... 15  </w:t>
        <w:br/>
        <w:t xml:space="preserve">b) The effect on exchanges between Member States ................................. 15  </w:t>
        <w:br/>
        <w:t xml:space="preserve">c) The sensitive nature of the effect .................................................... 15  </w:t>
        <w:br/>
        <w:t xml:space="preserve">B. ON THE RELEVANT MARKETS AND THE POSITION OF THE PARTIES IN THESE MARKETS ....................................................................................................................16  </w:t>
        <w:br/>
        <w:t xml:space="preserve">1. THE UPSTREAM MARKETS FOR SUPPLY ..............................................16  </w:t>
        <w:br/>
        <w:t xml:space="preserve">a) Product dimension ................................................................................... 16  </w:t>
        <w:br/>
        <w:t xml:space="preserve">b) Geographical dimension ........................................................................ 17  </w:t>
        <w:br/>
        <w:t xml:space="preserve">c) The position of the parties in the upstream supply market ............................................................................... 18  </w:t>
        <w:br/>
        <w:t xml:space="preserve">2. THE DOWNSTREAM MARKETS ................................................................................................19  </w:t>
        <w:br/>
        <w:t xml:space="preserve">a) Product dimension ................................................................................... 19  </w:t>
        <w:br/>
        <w:t xml:space="preserve">b) Geographical dimension ........................................................................ 20  </w:t>
        <w:br/>
        <w:t xml:space="preserve">c) Estimation of market shares downstream ............................................... 20  </w:t>
        <w:br/>
        <w:t xml:space="preserve">C. ON THE PRELIMINARY ANALYSIS OF THE AGREEMENT NOTIFIED BY THE PARTIES .......................................................................................................................21  </w:t>
        <w:br/>
        <w:t xml:space="preserve">1. THE LEGAL FRAMEWORK ..............................................................................................21  </w:t>
        <w:br/>
        <w:t xml:space="preserve">2. POTENTIAL COMPETITION INFRINGEMENTS .......................................22  </w:t>
        <w:br/>
        <w:t xml:space="preserve">a) The observation of often limited market power of private label product suppliers .......................................................................................... 22  </w:t>
        <w:br/>
        <w:t>6</w:t>
      </w:r>
    </w:p>
    <w:p>
      <w:r>
        <w:rPr>
          <w:b/>
        </w:rPr>
        <w:t>[Pages 7–9]</w:t>
      </w:r>
    </w:p>
    <w:p>
      <w:r>
        <w:t xml:space="preserve">The contractual characteristics limiting the market power of suppliers ..........................................................................................................22  </w:t>
        <w:br/>
        <w:t xml:space="preserve">The economic characteristics limiting the market power of suppliers ..............................................................................................................................23  </w:t>
        <w:br/>
        <w:t xml:space="preserve">b) The analysis of the possible consequences of the implementation of cooperation agreements ......................................................................................... 25  </w:t>
        <w:br/>
        <w:t xml:space="preserve">3. GENERAL CONCLUSION .........................................................................................27  </w:t>
        <w:br/>
        <w:t xml:space="preserve">III. COMMITMENTS ......................................................................... 27  </w:t>
        <w:br/>
        <w:t xml:space="preserve">A. COMMITMENTS PROPOSED BY THE PARTIES ON SEPTEMBER 17, 2020 ..................................................................................................27  </w:t>
        <w:br/>
        <w:t xml:space="preserve">1. THE COMMITMENT TO EXCLUDE CERTAIN CATEGORIES OF PRODUCTS FROM THE SCOPE OF THE AGREEMENT (ARTICLE 3) ..............................................28  </w:t>
        <w:br/>
        <w:t xml:space="preserve">2. THE COMMITMENT TO CAP JOINT SUPPLIES (ARTICLE 4) ..............................................................................................................29  </w:t>
        <w:br/>
        <w:t xml:space="preserve">3. THE CATEGORIES OF PRODUCTS FOR WHICH THE PARTIES WILL REMAIN FREE TO COOPERATE ..............................................................................................30  </w:t>
        <w:br/>
        <w:t xml:space="preserve">4. THE COMMITMENT RELATING TO SMEs (ARTICLE 5) .................................................30  </w:t>
        <w:br/>
        <w:t xml:space="preserve">5. MONITORING AND REVIEW OF COMMITMENTS .......................................................30  </w:t>
        <w:br/>
        <w:t xml:space="preserve">a) Monitoring and verification of the implementation of commitments (Article 8) .................................................................................................. 30  </w:t>
        <w:br/>
        <w:t xml:space="preserve">b) Review of commitments (Article 9) ................................................ 31  </w:t>
        <w:br/>
        <w:t xml:space="preserve">B. THE MARKET TEST ...............................................................................................31  </w:t>
        <w:br/>
        <w:t xml:space="preserve">1. ON THE RELEVANCE OF USING THE COMMITMENT PROCEDURE ............32  </w:t>
        <w:br/>
        <w:t xml:space="preserve">2. ON THE SCOPE OF THE COMMITMENTS ................................................................32  </w:t>
        <w:br/>
        <w:t xml:space="preserve">3. ON THE RISK OF EXCHANGE OF SENSITIVE INFORMATION .................................33  </w:t>
        <w:br/>
        <w:t xml:space="preserve">4. ON THE SCOPE OF THE COMMITMENTS ......................................................................33  </w:t>
        <w:br/>
        <w:t xml:space="preserve">C. THE COMMITMENTS PROPOSED BY THE PARTIES ON NOVEMBER 25, 2020 .........................................................................................................................................33  </w:t>
        <w:br/>
        <w:t xml:space="preserve">IV. DISCUSSION ........................................................................................ 34  </w:t>
        <w:br/>
        <w:t xml:space="preserve">A. ON THE IMPLEMENTATION OF THE COMMITMENT PROCEDURE ............34  </w:t>
        <w:br/>
        <w:t xml:space="preserve">B. ON THE PROPORTIONAL AND SUFFICIENT NATURE OF THE COMMITMENTS TO ADDRESS COMPETITION CONCERNS ........................................................35  </w:t>
        <w:br/>
        <w:t xml:space="preserve">1. COMMITMENTS ALLOWING TO ADDRESS COMPETITION RISKS RELATING TO THE UPSTREAM SUPPLY MARKET .................................................................36  </w:t>
        <w:br/>
        <w:t xml:space="preserve">2. COMMITMENTS CONTROLLED AND VERIFIED BY A MANDATORY ..................36  </w:t>
        <w:br/>
        <w:t xml:space="preserve">3. COMMITMENTS TAKEN FOR A DURATION IDENTICAL TO THE AGREEMENTS ...............36  </w:t>
        <w:br/>
        <w:t xml:space="preserve">V. CONCLUSION ...................................................................................... 37  </w:t>
        <w:br/>
        <w:t xml:space="preserve">DECISION ..................................................................................................... 37  </w:t>
        <w:br/>
        <w:t>7</w:t>
      </w:r>
    </w:p>
    <w:p>
      <w:r>
        <w:t xml:space="preserve">I. Findings  </w:t>
        <w:br/>
        <w:t xml:space="preserve">A. PROCEDURAL BACKGROUND  </w:t>
        <w:br/>
        <w:t xml:space="preserve">1. On August 4, 2018, the Carrefour and Tesco groups (hereinafter, "the Parties") communicated to the Competition Authority (hereinafter, "the Authority"), pursuant to Article L. 462-10 of the Commercial Code, a cooperation agreement concluded between them on the same day, concerning:  </w:t>
        <w:br/>
        <w:t xml:space="preserve">− the negotiation, referencing, and conclusion, via tenders conducted by either party for their joint account, of manufacturing contracts for private label products (hereinafter, "PLP"), entry-level or intended for sale without a brand, and non-commercial purchases3; and  </w:t>
        <w:br/>
        <w:t xml:space="preserve">− the sale of international services to certain of their common suppliers4.  </w:t>
        <w:br/>
        <w:t xml:space="preserve">2. To implement their cooperation, the Parties established several committees, composed equally of members from each of them:  </w:t>
        <w:br/>
        <w:t xml:space="preserve">− a steering committee (or "Steering Committee"), responsible for overseeing the two aspects of their cooperation;  </w:t>
        <w:br/>
        <w:t xml:space="preserve">− an operational committee responsible for successfully purchasing PLP; and  </w:t>
        <w:br/>
        <w:t xml:space="preserve">− an operational committee responsible for successfully selling international services.  </w:t>
        <w:br/>
        <w:t xml:space="preserve">3. In addition to these committees, the Parties set up two dedicated teams (or "Clean Teams"), responsible for handling confidential data received from each other, in compliance with strict confidentiality rules, for each of the two aspects of the cooperation.  </w:t>
        <w:br/>
        <w:t xml:space="preserve">4. The Authority initiated proceedings ex officio on May 2, 2019, under number 19/0023 F, to examine whether the aforementioned cooperation agreement infringed competition. On September 19, 2019, the Authority initiated proceedings ex officio, under number 19/0059 M, based on the third paragraph of Article L. 462-10 of the Commercial Code, to examine the merits of interim measures concerning the aspect of cooperation relating to PLP.  </w:t>
        <w:br/>
        <w:t xml:space="preserve">5. On September 4, 2020, the investigation services sent the Parties a note proposing the adoption of interim measures5, also based on the third paragraph of Article L. 462-10 of the Commercial Code. Following this notification, the Parties submitted a proposal for commitments to the investigation services on September 17, 2020, based on I of Article L. 464-2 of the Commercial Code6 (hereinafter "the Commitment Proposal").  </w:t>
        <w:br/>
        <w:t xml:space="preserve">3 Notes 1213 and following. Non-commercial purchases are products or services necessary for the Parties for their activity and not intended for resale.  </w:t>
        <w:br/>
        <w:t xml:space="preserve">4 Notes 1213 and following.  </w:t>
        <w:br/>
        <w:t xml:space="preserve">5 Notes 8 and following.  </w:t>
        <w:br/>
        <w:t xml:space="preserve">6 Notes 252 and following.  </w:t>
        <w:br/>
        <w:t>8</w:t>
      </w:r>
    </w:p>
    <w:p>
      <w:r>
        <w:t xml:space="preserve">B. THE PARTIES INVOLVED  </w:t>
        <w:br/>
        <w:t xml:space="preserve">1. CARREFOUR  </w:t>
        <w:br/>
        <w:t xml:space="preserve">6. Carrefour is a French group of global dimension, primarily active in the retail sector in France and Europe, but also in Latin America and, to a lesser extent, in Africa and the Middle East.  </w:t>
        <w:br/>
        <w:t xml:space="preserve">7. In France, Carrefour operates hypermarkets under the Carrefour brand (nearly 250), supermarkets under the Carrefour Market brand (just over 1,000), proximity stores under the Proxi, Carrefour Bio, Carrefour Contact, Carrefour Express, and Carrefour City brands (nearly 4,000), and wholesale self-service stores (known as "cash and carry" or "pay and take") under the Promocash brand (nearly 150)7.  </w:t>
        <w:br/>
        <w:t xml:space="preserve">8. Carrefour sells its PLP products notably under the categories of brands Carrefour Classic; Carrefour Extra; Carrefour Original; Carrefour Sensation; and Carrefour le Marché8.  </w:t>
        <w:br/>
        <w:t xml:space="preserve">9. The distribution of the revenue generated by the Carrefour group in the first quarter of 2019 by geographical area and store format (for France) is as follows:  </w:t>
        <w:br/>
        <w:t xml:space="preserve">Distribution of Carrefour group's revenue in Q1 2019  </w:t>
        <w:br/>
        <w:t xml:space="preserve">Area Revenue (Billion €) % of Revenue  </w:t>
        <w:br/>
        <w:t xml:space="preserve">France 9.034 45.1 %  </w:t>
        <w:br/>
        <w:t xml:space="preserve">Hypermarkets 4.659 23.3 %  </w:t>
        <w:br/>
        <w:t xml:space="preserve">Supermarkets 3.003 15.0 %  </w:t>
        <w:br/>
        <w:t xml:space="preserve">Proximity / other formats 1.372 6.9 %  </w:t>
        <w:br/>
        <w:t xml:space="preserve">Other EU countries 5.358 26.8 %  </w:t>
        <w:br/>
        <w:t xml:space="preserve">Other non-EU countries 5.624 28.1 %  </w:t>
        <w:br/>
        <w:t xml:space="preserve">TOTAL 20.016 100 %  </w:t>
        <w:br/>
        <w:t xml:space="preserve">Source: Carrefour9  </w:t>
        <w:br/>
        <w:t xml:space="preserve">10. Carrefour S.A., the holding company of the Carrefour group, and Carrefour World Trade (hereinafter, "CWT"), are the signatories, on behalf of the Carrefour group, of the cooperation agreement concluded with Tesco that is the subject of this decision.  </w:t>
        <w:br/>
        <w:t xml:space="preserve">a) Carrefour S.A.  </w:t>
        <w:br/>
        <w:t xml:space="preserve">11. Carrefour S.A. is the holding company of the Carrefour group, the consolidating parent company of the Carrefour group having a holding role and managing, as such, interests in France and abroad10.  </w:t>
        <w:br/>
        <w:t xml:space="preserve">7 Universal registration document 2019 of the Carrefour group, p. 6.  </w:t>
        <w:br/>
        <w:t xml:space="preserve">8 Annual report 2019 of the Carrefour group, p. 32.  </w:t>
        <w:br/>
        <w:t xml:space="preserve">9 Annual report 2018 of the Carrefour group, p. 179 and p. 181.  </w:t>
        <w:br/>
        <w:t xml:space="preserve">10 Note 13 307, 19/0023 F.  </w:t>
        <w:br/>
        <w:t>9</w:t>
      </w:r>
    </w:p>
    <w:p>
      <w:r>
        <w:rPr>
          <w:b/>
        </w:rPr>
        <w:t>[Pages 10–12]</w:t>
      </w:r>
    </w:p>
    <w:p>
      <w:r>
        <w:t>b) CWT</w:t>
      </w:r>
    </w:p>
    <w:p>
      <w:r>
        <w:t>12. CWT is a 100% subsidiary of Carrefour S.A. and constitutes, according to the Carrefour group, the international division of Carrefour, which has been offering international services to major international brand suppliers since 1997.</w:t>
      </w:r>
    </w:p>
    <w:p>
      <w:r>
        <w:t>2. TESCO</w:t>
      </w:r>
    </w:p>
    <w:p>
      <w:r>
        <w:t>13. The Tesco group is a British multinational group, like the Carrefour group, primarily active in the retail sector in the United Kingdom, Europe, and Asia. In the United Kingdom, its main market, the Tesco group is a leader, with 3,438 stores, the majority of which are convenience store format (over 2,500)11.</w:t>
      </w:r>
    </w:p>
    <w:p>
      <w:r>
        <w:t>14. The geographical distribution of the revenue generated by the Tesco group during the 2018/2019 fiscal year is as follows:</w:t>
      </w:r>
    </w:p>
    <w:p>
      <w:r>
        <w:t>Distribution of Tesco group's revenue for the 2018-2019 fiscal year</w:t>
      </w:r>
    </w:p>
    <w:p>
      <w:r>
        <w:t>Zone          Revenue (Billion £)    % of Revenue</w:t>
        <w:br/>
        <w:t>United Kingdom and Republic of Ireland    44.883    80.46%</w:t>
        <w:br/>
        <w:t>Central Europe    6.03    10.81%</w:t>
        <w:br/>
        <w:t>Asia    4.873    8.74%</w:t>
        <w:br/>
        <w:t>TOTAL    55.786    100%</w:t>
      </w:r>
    </w:p>
    <w:p>
      <w:r>
        <w:t>Source: Tesco12</w:t>
      </w:r>
    </w:p>
    <w:p>
      <w:r>
        <w:t>15. Tesco PLC, the holding company of the Tesco group, is the signatory on behalf of the group of the cooperation agreement concluded with the Carrefour group, which is the subject of this decision.</w:t>
      </w:r>
    </w:p>
    <w:p>
      <w:r>
        <w:t>C. THE COOPERATION AGREEMENT NOTIFIED BY THE PARTIES</w:t>
      </w:r>
    </w:p>
    <w:p>
      <w:r>
        <w:t>16. In August 2018, the Parties concluded the aforementioned cooperation agreement, which concerns, among other things, the supply of private label products, as well as the supply of non-merchandise products and the provision of international services. This agreement, which is set to expire on December 31, 2021, is subject to tacit renewal.</w:t>
      </w:r>
    </w:p>
    <w:p>
      <w:r>
        <w:t>17. Regarding the supply of private label products, this agreement consists, for the steering committee established by the Parties, of organizing, with the help of the dedicated Clean Team for private label sourcing, calls for tenders conducted by Carrefour or Tesco on behalf of the Parties to jointly manufacture specific private label products.</w:t>
      </w:r>
    </w:p>
    <w:p>
      <w:r>
        <w:t>18. The scope of cooperation between the Parties concerns more than 130 families of private label products13, contractually identified as being subject to joint sourcing within the framework of the cooperation. Among these products are food and non-food items, including, among the former, unprocessed fresh products such as fruits and vegetables.</w:t>
      </w:r>
    </w:p>
    <w:p>
      <w:r>
        <w:t>D. THE ECONOMIC AND LEGAL CONTEXT</w:t>
      </w:r>
    </w:p>
    <w:p>
      <w:r>
        <w:t>19. For several years, purchasing mergers in the food retail sector have multiplied, particularly in France, and have gained in scale. At the end of 2014, in a deflationary context, three purchasing mergers were concluded in an extremely short period, shortly before the opening of annual negotiations, between Auchan and Système U, Intermarché and Casino, as well as Carrefour and Provera.</w:t>
      </w:r>
    </w:p>
    <w:p>
      <w:r>
        <w:t>20. Requested for an opinion by the Minister of Economy, Industry and Digital Affairs and by the Senate Economic Affairs Committee on the competitive impact of purchasing and referencing mergers in the food retail sector, the Authority issued an opinion in 201514. In this opinion, the Authority established a general analytical framework and a mapping of the risks they may pose, both in downstream and upstream markets of the food retail sector. The Authority also called for legislative intervention to impose an obligation on food retail players to inform the Authority of purchasing mergers exceeding certain thresholds prior to their entry into force.</w:t>
      </w:r>
    </w:p>
    <w:p>
      <w:r>
        <w:t>21. This proposal was adopted by the legislator, who established a prior communication obligation for proposed agreements for the purchase of products or the sale of services, two months before the implementation of the agreements. Article L. 462-10 of the Commercial Code, initially introduced by Law No. 2015-990 of August 6, 2015, for growth, activity, and economic equality, known as the "Macron" law, states in its original version that "Any agreement between companies or groups of natural or legal persons operating, directly or indirectly, one or more retail stores of consumer goods, or acting in the distribution sector as a referencing or purchasing center for retail companies, aimed at negotiating collectively the purchase or referencing of products or the sale of services to suppliers, must be communicated to the Competition Authority, for information, at least two months before its implementation. The first paragraph applies when the total worldwide revenue excluding taxes of all companies or groups of natural or legal persons party to the agreement and the total revenue excluding taxes generated in France under the agreement by all parties to the agreement exceed thresholds set by decree in the Council of State."</w:t>
      </w:r>
    </w:p>
    <w:p>
      <w:r>
        <w:t>22. In 2018, a movement of restructuring purchasing alliances was observed: indeed, the companies party to these agreements decided to terminate the agreements between Auchan and Système U, dated September 10, 2014, and between Casino and Intermarché, dated November 7, 2014; (the agreement between Carrefour and Provera (which is the purchasing center for stores under the Cora and Match brands), concluded on December 22, 2014, is still in force as of the date of this decision. New mergers have emerged, with a change in strategy, notably between Auchan, Casino, Metro, and Schiever; Carrefour and Tesco; Carrefour and Système U. The scope of these first two purchasing mergers is of a new magnitude, as it notably concerns purchasing agreements regarding private label products, whereas the "first generation" purchasing agreements primarily concerned supplier-branded products (hereinafter, "MDF").</w:t>
      </w:r>
    </w:p>
    <w:p>
      <w:r>
        <w:t>23. Furthermore, the General States of Food (hereinafter, "EGA"), held during the second half of 2017, allowed for consultation among the various stakeholders in the agri-food sectors (producers, manufacturers, distributors, consumers), under the auspices of the Government. The roadmap of these EGAs aimed to formulate a diagnosis on value creation in agri-food sectors and on ways to ensure an equitable distribution, particularly to allow farmers to live decently from their work. The main actions retained consist of establishing market indicators on production costs in each sector, strengthening the collective organization of upstream agriculture, and finally, renovating economic relations between the actors in the agri-food sectors.</w:t>
      </w:r>
    </w:p>
    <w:p>
      <w:r>
        <w:t>24. Workshop number 7 of the EGAs was specifically dedicated to the issue of renovating commercial relations between the actors in the agri-food sectors. In the framework of this workshop, chaired by Mr. Guy Canivet, honorary first president of the Court of Cassation, stakeholders noted the imbalance characterizing commercial relations in the agri-food sector, stating: "Economically and structurally, agricultural and food sectors are characterized by a very fragmented upstream sector (production) and a very concentrated downstream sector (distribution), which leads to an unfavorable distribution of value for the producer, who does not benefit, within these different sectors, from a balanced negotiating power"15.</w:t>
      </w:r>
    </w:p>
    <w:p>
      <w:r>
        <w:t>25. Following the EGAs, and in parallel with the reorganization of purchasing mergers among sector actors in 2018, the legislator sought to complement the framework governing these mergers and to strengthen, for this purpose, the powers conferred to the Authority over these agreements, so that it could ensure more in-depth monitoring and also have rapid intervention tools in case of emergency. Law No. 2018-938 of October 30, 2018, for the balance of commercial relations in the agricultural and food sector and a</w:t>
        <w:br/>
        <w:t>15 General States of Food, Conclusive Note of Workshop 7, September 29, 2017, "How to improve commercial and contractual relations between producers, processors, and distributors?", page 1; List of participants in Workshop 7: ANIA, APCA and agricultural chambers, AVRIL, BIOCOOP, CLIAA, CNPMEM, CRC Bretagne Sud, CGI, CGAD, Confédération paysanne, Coop de France, Coordination rurale, FEEF, FCD, FNAB, FNSEA, Intermarché IPTA, Young Farmers, Leclerc, UNELL, CLCV, Greenpeace, UFC-Que Choisir, Regions of France, Agency BIO, FranceAgriMer, INAO, INC, MAA, Mediation of agricultural commercial relations, MEF, MAA, SD, CGAAER, ILEC, CFDT, CFTC, CFE-CGC, CPME, U2P, DGCCRF, DGPE, EGA coordinator, mission officer with the coordinator – CGAAER, COLLECTIVE CAP.</w:t>
      </w:r>
    </w:p>
    <w:p>
      <w:r>
        <w:rPr>
          <w:b/>
        </w:rPr>
        <w:t>[Pages 13–15]</w:t>
      </w:r>
    </w:p>
    <w:p>
      <w:r>
        <w:t>healthy, sustainable, and accessible food for all, known as the "Egalim" law, has thus introduced three new provisions, inserted into Article L. 462-10 of the Commercial Code.</w:t>
      </w:r>
    </w:p>
    <w:p>
      <w:r>
        <w:t>26. The first provision strengthens the prior information procedure of the Authority, already provided for in paragraph I of Article L. 462-10 of the Commercial Code, by extending the period to be observed between the communication of an agreement to the Authority and its entry into force from two to four months. Furthermore, the content of the information file to be communicated to the Authority simultaneously with the communication of the agreement, which was not previously legally defined, is now, pursuant to paragraph IV of Article L. 462-10, set by decree. These provisions aim to give the Authority the means and time necessary to conduct a thorough review of these agreements before their entry into force.</w:t>
      </w:r>
    </w:p>
    <w:p>
      <w:r>
        <w:t>27. The second provision establishes, in II of Article L. 462-10 of the Commercial Code, a competitive assessment procedure, which allows the Authority to carry out, on its own initiative or at the request of the Minister responsible for the economy, an assessment of an agreement already implemented, in order to determine whether its benefits outweigh any potential infringement of competition, failing which the parties to the agreement may commit to taking measures to remedy it:</w:t>
      </w:r>
    </w:p>
    <w:p>
      <w:r>
        <w:t>"II.- A competitive assessment of the implementation of an agreement defined in the first paragraph of I is carried out by the Competition Authority, on its own initiative or at the request of the Minister responsible for the economy. For this purpose, the Competition Authority may request the parties to the agreement to submit a report presenting the effect of this agreement on competition. The initiation of the competitive assessment procedure is made public by the Competition Authority, in order to allow interested third parties to submit their observations. The applicable procedure is that provided for in the second paragraph of Article L. 463-2 and Articles L. 463-4, L. 463-6, and L. 463-7. Before ruling, the Competition Authority may hear third parties in the absence of the parties to the agreement in question. In order to carry out the competitive assessment, the Competition Authority examines whether this agreement, as implemented, is likely to cause a significant infringement of competition within the meaning of Articles L. 420-1 and L. 420-2. On this occasion, it assesses whether the agreement contributes sufficiently to economic progress to offset any potential infringements of competition, taking into account its impact on producers, processors, and distributors as well as consumers. If infringements of competition as mentioned in the third paragraph of this II or anti-competitive effects have been identified, the parties to the agreement commit to taking measures to remedy them within a timeframe set by the Competition Authority. The Competition Authority may also act ex officio pursuant to III of Article L. 462-5 or be seized by the Minister responsible for the economy pursuant to I of the same Article L. 462-5."</w:t>
      </w:r>
    </w:p>
    <w:p>
      <w:r>
        <w:t>28. The content of the report that the parties must present to the Authority pursuant to this provision is, like that of the aforementioned information file, set by decree.</w:t>
      </w:r>
    </w:p>
    <w:p>
      <w:r>
        <w:t>29. The third provision introduces, in paragraph III of Article L. 462-10 of the Commercial Code, the possibility for the Authority to act ex officio to take interim measures when the agreement results in or is likely to result immediately after its entry into force in an infringement of competition with a sufficient degree of seriousness, with a view to obtaining the termination or modification of the agreement concerned:</w:t>
      </w:r>
    </w:p>
    <w:p>
      <w:r>
        <w:t>"III.- The Competition Authority may take interim measures according to the procedures and under the conditions provided for in the last paragraph of Article L. 464-1 for any agreement mentioned in I of this article as soon as one of the infringements of competition mentioned in II, which this agreement results in or is likely to result immediately after its entry into force, presents a sufficient degree of seriousness. They may include an injunction to the parties to revert to the previous state or request a modification of the said agreement."</w:t>
      </w:r>
    </w:p>
    <w:p>
      <w:r>
        <w:t>II. On the analysis of the risks of infringement of competition resulting from the cooperation agreement notified by the parties</w:t>
      </w:r>
    </w:p>
    <w:p>
      <w:r>
        <w:t>A. ON THE APPLICABILITY OF EUROPEAN UNION LAW</w:t>
      </w:r>
    </w:p>
    <w:p>
      <w:r>
        <w:t>1. PRINCIPLES</w:t>
      </w:r>
    </w:p>
    <w:p>
      <w:r>
        <w:t>30. Article 101 of the Treaty on the Functioning of the European Union (hereinafter, "TFEU") states: "All agreements between undertakings, all decisions by associations of undertakings and all concerted practices which may affect trade between Member States and which have as their object or effect the prevention, restriction or distortion of competition within the internal market are incompatible with the internal market and prohibited."</w:t>
      </w:r>
    </w:p>
    <w:p>
      <w:r>
        <w:t>31. In accordance with established case law, and in light of the European Commission's Guidelines on the notion of affecting trade as set out in Articles 81 and 82 of the Treaty [now 101 and 102 TFEU], the Authority considers that three elements must be present for practices to be likely to significantly affect trade between Member States:</w:t>
        <w:br/>
        <w:t>- the existence of trade between Member States concerning the products or services in question;</w:t>
        <w:br/>
        <w:t>- the existence of practices likely to affect that trade; and</w:t>
        <w:br/>
        <w:t>- the significant nature of this potential effect.</w:t>
      </w:r>
    </w:p>
    <w:p>
      <w:r>
        <w:t>2. APPLICATION TO THE CASE AT HAND</w:t>
      </w:r>
    </w:p>
    <w:p>
      <w:r>
        <w:t>a) The existence of trade between Member States</w:t>
      </w:r>
    </w:p>
    <w:p>
      <w:r>
        <w:t>32. The practices in question concern the conclusion of agreements between distributors active in the consumer goods distribution sector, regarding the purchase of private label products intended not only for the French market but also for other markets where the distributors are established.</w:t>
      </w:r>
    </w:p>
    <w:p>
      <w:r>
        <w:t>33. Several of the companies involved are international groups with distribution units and subsidiaries located in different Member States of the Union.</w:t>
      </w:r>
    </w:p>
    <w:p>
      <w:r>
        <w:t>34. The agreements subject to this decision therefore generate a flow of intra-Community trade.</w:t>
      </w:r>
    </w:p>
    <w:p>
      <w:r>
        <w:t>b) The effect on trade between Member States</w:t>
      </w:r>
    </w:p>
    <w:p>
      <w:r>
        <w:t>35. The agreements concluded by the companies directly impact the terms under which the products are purchased not only for marketing in France but also in several countries of the European Union. They are therefore likely to affect the upstream market for the supply of private label products.</w:t>
      </w:r>
    </w:p>
    <w:p>
      <w:r>
        <w:t>36. It follows from the above that the flow of trade between Member States is likely to be affected.</w:t>
      </w:r>
    </w:p>
    <w:p>
      <w:r>
        <w:t>c) The significant nature of the effect</w:t>
      </w:r>
    </w:p>
    <w:p>
      <w:r>
        <w:t>37. The significant nature of this potential effect must be regarded as established, given that the turnover achieved by the parties exceeds 40 million euros, and that their market shares are above 5%, which is the case here.</w:t>
      </w:r>
    </w:p>
    <w:p>
      <w:r>
        <w:t>38. Consequently, the practices in question can be considered as "likely to affect trade between Member States" within the meaning of Article 3 of Regulation No. 1/2003.</w:t>
      </w:r>
    </w:p>
    <w:p>
      <w:r>
        <w:t>39. These practices must therefore be examined not only in light of national law, particularly Articles L. 420-1 and L. 420-2 of the Commercial Code, but also in light of Union competition law, and in particular Articles 101 and 102 TFEU.</w:t>
      </w:r>
    </w:p>
    <w:p>
      <w:r>
        <w:rPr>
          <w:b/>
        </w:rPr>
        <w:t>[Pages 16–18]</w:t>
      </w:r>
    </w:p>
    <w:p>
      <w:r>
        <w:t>B. ON THE RELEVANT MARKETS AND THE POSITION OF THE PARTIES IN THESE MARKETS</w:t>
      </w:r>
    </w:p>
    <w:p>
      <w:r>
        <w:t>40. In a classic manner, the delimitation of these markets, based on the notion of "substitutability," which aims to take into account the competitive pressures exerted, has a dual dimension: a product dimension and a geographical dimension.</w:t>
      </w:r>
    </w:p>
    <w:p>
      <w:r>
        <w:t>1. THE UPSTREAM SUPPLY MARKETS</w:t>
      </w:r>
    </w:p>
    <w:p>
      <w:r>
        <w:t>41. Regarding the upstream supply markets, substitutability must be defined from the supply perspective. In other words, to identify the competitive pressures exerted on buyers (the parties to the cooperation agreement), it is necessary to examine the alternative solutions available to their suppliers.</w:t>
      </w:r>
    </w:p>
    <w:p>
      <w:r>
        <w:t>a) Product dimension</w:t>
      </w:r>
    </w:p>
    <w:p>
      <w:r>
        <w:t>42. In this regard, the Authority, followed in this by the parties, considers the general segmentation of the upstream supply markets established by the Commission in its decision on the acquisition of Meinl by Rewe to be relevant, based on 23 product categories retained. While this delimitation remains generally relevant, the Authority consistently considers that a finer delimitation of certain categories may prove necessary in some cases, particularly in light of the conditions under which negotiations on the products in question take place. Given that the cooperation agreements cover a wide variety of products, a finer delimitation could be justified for some of them:</w:t>
        <w:br/>
        <w:t>− a sub-segmentation based on distribution channels, distinguishing for example between GSA ("large food stores") and out-of-home catering (hereinafter, "RHD") or excluding sales related to exports from the market scope;</w:t>
        <w:br/>
        <w:t>− a sub-segmentation based on the commercial positioning of products, distinguishing for example between national brand products (MDF) and private label products (MDD).</w:t>
      </w:r>
    </w:p>
    <w:p>
      <w:r>
        <w:t>43. The parties have not explicitly commented on these points. In any case, these two sub-segmentations remain relevant in the present analysis.</w:t>
      </w:r>
    </w:p>
    <w:p>
      <w:r>
        <w:t>44. Regarding the sub-segmentation based on distribution channels, suppliers questioned about export possibilities during this inquiry cite regulatory, logistical, human resource constraints, market knowledge, as well as local specificities and product fragility or shelf life.</w:t>
      </w:r>
    </w:p>
    <w:p>
      <w:r>
        <w:t>45. Furthermore, concerning RHD, the same suppliers highlight the need for specific recipes and particular product packaging, compared to those of large distribution, a different distribution logistics, the necessity for additional human resources, and lower volumes, even the tensions that an attempt to diversify into these other sales channels could generate with their distributor clients in GMS.</w:t>
      </w:r>
    </w:p>
    <w:p>
      <w:r>
        <w:t>46. Regarding the sub-segmentation between MDF and MDD, the particularities of certain product categories may justify a market delimitation specific to MDD products. Indeed, the marketing conditions for MDD products differ from those for MDF products: shorter contracts, tender processes. In this regard, while for MDF products, the manufacturer designs, develops, and produces the product itself, MDD responds to an order from the distributor, with suppliers being selected following tenders that specify very precise product specifications (composition, organoleptic characteristics, packaging, etc.). But above all, such delimitation appears all the more justified as distributors themselves have entered into cooperation agreements specifically for these products. These various elements are likely to justify a distinction for a significant number of products.</w:t>
      </w:r>
    </w:p>
    <w:p>
      <w:r>
        <w:t>47. Consequently, a global analysis without distinction between MDD and MDF may not be suitable for the evaluation of cooperation agreements concerning MDD, which cover a large number of product categories for which a sub-segmentation could be justified.</w:t>
      </w:r>
    </w:p>
    <w:p>
      <w:r>
        <w:t>b) Geographical dimension</w:t>
      </w:r>
    </w:p>
    <w:p>
      <w:r>
        <w:t>48. Regarding the geographical dimension of the supply markets, the Authority, like the European Commission, generally considers markets of national dimension.</w:t>
      </w:r>
    </w:p>
    <w:p>
      <w:r>
        <w:t>49. Without specifically commenting on the geographical scope of the relevant market, the parties indicate that only large suppliers have the capacity to handle cross-border delivery requirements.</w:t>
      </w:r>
    </w:p>
    <w:p>
      <w:r>
        <w:t>50. Nevertheless, the purchases of MDD products by the parties remain predominantly linked to their main domestic market (France for Carrefour, Great Britain for Tesco). For Carrefour, purchases of MDD products destined for the French territory represented in 2018 [60 – 70]% of total MDD purchases for the product categories falling within the scope of cooperation, with significant variations depending on the categories. This proportion ranged from 6 to 100% depending on the categories, but could exceed 50% for three-quarters of them. For Tesco, given that sales in the UK and Ireland account for more than 80% of Tesco's sales in its stores, it is likely that the share of its purchases in MDD products likely to fall within the scope of the cooperation agreements for the domestic market is also predominant.</w:t>
      </w:r>
    </w:p>
    <w:p>
      <w:r>
        <w:t>51. Beyond these elements, the products concerned have national specificities, whether in terms of formulation or packaging, considering both national regulations and consumption habits. Thus, and regardless of the setting of a common price, the specifications of the products under the cooperation agreements may differ and be specific to each distributor. These elements are likely to corroborate the national dimension of the markets considered.</w:t>
      </w:r>
    </w:p>
    <w:p>
      <w:r>
        <w:t>c) The position of the parties in the upstream supply market</w:t>
      </w:r>
    </w:p>
    <w:p>
      <w:r>
        <w:t>52. The Parties have sought to assess the competitive impact of their agreements by calculating their cumulative market shares in purchases in the upstream market in France. The table below shows the cumulative share of purchases made by the concerned companies in the supply markets, for the product families falling within the scope of the cooperation agreements, among those retained by the European Commission in the Carrefour/Promodès case. As the parties have not communicated on the market shares limited to MDD, the figures presented below therefore cover all MDF and MDD products included in the cooperation agreements.</w:t>
      </w:r>
    </w:p>
    <w:p>
      <w:r>
        <w:rPr>
          <w:b/>
        </w:rPr>
        <w:t>[Pages 19–21]</w:t>
      </w:r>
    </w:p>
    <w:p>
      <w:r>
        <w:t>Weight of cooperation agreements by product category</w:t>
      </w:r>
    </w:p>
    <w:p>
      <w:r>
        <w:t xml:space="preserve">53. </w:t>
        <w:br/>
        <w:t xml:space="preserve">Purchase share Purchase share </w:t>
        <w:br/>
        <w:t xml:space="preserve">combined on the combined on the </w:t>
        <w:br/>
        <w:t xml:space="preserve">market limited to global market </w:t>
        <w:br/>
        <w:t xml:space="preserve">the supply of GSA </w:t>
        <w:br/>
        <w:t xml:space="preserve">Scope of analysis National brands + Private labels National brands + Private labels </w:t>
        <w:br/>
        <w:t xml:space="preserve">Product category </w:t>
        <w:br/>
        <w:t xml:space="preserve">Liquids [&gt; 15 %] [&lt; 15 %] </w:t>
        <w:br/>
        <w:t xml:space="preserve">Household products [&gt; 15 %] [&lt; 15 %] </w:t>
        <w:br/>
        <w:t xml:space="preserve">Perfume – Hygiene [&gt; 15 %] [&lt; 15 %] </w:t>
        <w:br/>
        <w:t xml:space="preserve">Dry grocery [&gt; 15 %] [&lt; 15 %] </w:t>
        <w:br/>
        <w:t xml:space="preserve">Perishable self-service products [&lt; 15 %] [&lt; 15 %] </w:t>
        <w:br/>
        <w:t xml:space="preserve">DIY [&lt; 15 %] [&lt; 15 %] </w:t>
        <w:br/>
        <w:t xml:space="preserve">Culture [&lt; 15 %] [&lt; 15 %] </w:t>
        <w:br/>
        <w:t xml:space="preserve">Toys, leisure and relaxation [&lt; 15 %] [&lt; 15 %] </w:t>
        <w:br/>
        <w:t xml:space="preserve">Textiles – shoes [&lt; 15 %] [&lt; 15 %] </w:t>
        <w:br/>
        <w:t xml:space="preserve">Source: Data provided by the parties. </w:t>
        <w:br/>
        <w:t>Reading note: in gray, the product categories for which the market share is potentially above 15 %.</w:t>
      </w:r>
    </w:p>
    <w:p>
      <w:r>
        <w:t>2. THE DOWNSTREAM MARKETS</w:t>
      </w:r>
    </w:p>
    <w:p>
      <w:r>
        <w:t>a) Product dimension</w:t>
      </w:r>
    </w:p>
    <w:p>
      <w:r>
        <w:t>54. Traditionally, when more than one-third of a store's revenue comes from food products, the business is deemed "food dominant." Although market share thresholds must be used with caution, the decision-making practice of the Authority distinguishes six markets within food-dominant retail, using several criteria such as store size, sales techniques, accessibility, the nature of the service provided, and the range of products offered: (1) hypermarkets (food-dominant stores with a legal sales area greater than 2,500 m²); (2) supermarkets (between 400 and 2,500 m²); (3) specialized trade; (4) small retail or convenience stores (less than 400 m²); (5) discount stores; and (6) distance selling.</w:t>
      </w:r>
    </w:p>
    <w:p>
      <w:r>
        <w:t>b) Geographical dimension</w:t>
      </w:r>
    </w:p>
    <w:p>
      <w:r>
        <w:t>55. To assess the impact of concentration operations in the retail sector, the Authority considers local markets corresponding to the catchment area associated with each store, the extent of which depends on the travel time of customers from the stores. The reference times are generally observed times; they vary depending on store size but also on the density of commercial equipment in each area. The assessment of travel time can also be carried out using the actual footprint method, designating the area that includes customers representing 80 % of the store's revenue or 80 % of the store's customers, depending on the available data.</w:t>
      </w:r>
    </w:p>
    <w:p>
      <w:r>
        <w:t>56. However, it should be noted that distributors may also compete in broader, national-scale markets. In such a configuration, the intensity of competition results from the prevailing market configuration at the local level, but also at the national level. The competitive analysis of agreements such as the one subject to this decision must therefore be conducted at both the local and national levels.</w:t>
      </w:r>
    </w:p>
    <w:p>
      <w:r>
        <w:t>c) Estimation of market shares downstream</w:t>
      </w:r>
    </w:p>
    <w:p>
      <w:r>
        <w:t>57. The Authority notes that the parties to the agreement subject to this decision have significant weight in the downstream market, as they represent 20.2 % of the retail market for food-dominant distribution in France, in a context where this market is still somewhat more concentrated than it was in 2014.</w:t>
      </w:r>
    </w:p>
    <w:p>
      <w:r>
        <w:t>C. ON THE PRELIMINARY ANALYSIS OF THE AGREEMENT NOTIFIED BY THE PARTIES</w:t>
      </w:r>
    </w:p>
    <w:p>
      <w:r>
        <w:t>58. The preliminary analysis of the cooperation agreement, notified by the investigation services in the context of the request for interim measures based on Article L. 462-10 of the Commercial Code, (1) is based on the finding that the agreements in question are likely, in the current state of the investigation, to cause infringements of competition within the meaning of this provision, and (2) in the upstream market for the supply of private label products.</w:t>
      </w:r>
    </w:p>
    <w:p>
      <w:r>
        <w:t>1. THE LEGAL FRAMEWORK</w:t>
      </w:r>
    </w:p>
    <w:p>
      <w:r>
        <w:t>59. Purchasing alliances are often concluded between competing companies in upstream markets (the markets for purchasing the relevant products), and sometimes also in downstream markets (the markets for selling the relevant products). As such, these agreements must be assessed in light of Articles 101(1) TFEU and L. 420-1 of the Commercial Code.</w:t>
      </w:r>
    </w:p>
    <w:p>
      <w:r>
        <w:t>60. At the European level, purchasing alliances are the subject of a dedicated chapter in the European Commission's guidelines on the applicability of Article 101 TFEU to horizontal cooperation agreements. According to the guidelines, "[g]roup purchasing agreements generally aim to create purchasing power that can lead to lower prices or improved quality of products or services for consumers. However, purchasing power can also, in some cases, raise competition concerns." These concerns may manifest in the upstream and downstream markets affected by the agreements.</w:t>
      </w:r>
    </w:p>
    <w:p>
      <w:r>
        <w:t>61. Procedurally, as previously stated, Article L. 462-10 of the Commercial Code resulting from the "Egalim" law targets the cooperation agreements themselves and defines a specific legal framework regarding potential infringements of competition. This provision also specifies the conditions for the imposition of measures in cases of identified competition infringements by the Authority.</w:t>
      </w:r>
    </w:p>
    <w:p>
      <w:r>
        <w:t>62. The Authority initiated proceedings ex officio on September 19, 2019, based on III of Article L. 462-10 of the Commercial Code to examine the appropriateness of interim measures regarding the cooperation aspect between the Parties concerning private label products.</w:t>
      </w:r>
    </w:p>
    <w:p>
      <w:r>
        <w:t>63. In this context, the investigation services notified the parties on September 4, 2020, with a note in which they analyzed the relevant agreements in light of Articles 101(1) TFEU and L. 420-1 of the Commercial Code, and identified the main potential infringements of competition in the affected markets. These competitive risks are detailed below.</w:t>
      </w:r>
    </w:p>
    <w:p>
      <w:r>
        <w:rPr>
          <w:b/>
        </w:rPr>
        <w:t>[Pages 22–24]</w:t>
      </w:r>
    </w:p>
    <w:p>
      <w:r>
        <w:t>2. POTENTIAL COMPETITION INFRINGEMENTS</w:t>
      </w:r>
    </w:p>
    <w:p>
      <w:r>
        <w:t>a) The observation of often limited market power of private label product suppliers</w:t>
      </w:r>
    </w:p>
    <w:p>
      <w:r>
        <w:t>Contractual characteristics limiting the market power of suppliers</w:t>
      </w:r>
    </w:p>
    <w:p>
      <w:r>
        <w:t>64. By limiting substitutability between national brands, the brand image associated with the marketing of national brand products contributes to increasing the market power of the supplier. Conversely, private label products meet a generic need, which can be satisfied by multiple interchangeable products, thereby contributing to reducing the market power enjoyed by private label product manufacturers.</w:t>
      </w:r>
    </w:p>
    <w:p>
      <w:r>
        <w:t>65. Furthermore, unlike national brand manufacturers, suppliers do not control the marketing conditions of private label references purchased by the distributor, as illustrated by the fact that in a significant number of cases, the same private label reference can be produced by several different suppliers. This point will not change with the implementation of cooperation agreements, in the absence of exclusive supply arrangements benefiting the selected supplier.</w:t>
      </w:r>
    </w:p>
    <w:p>
      <w:r>
        <w:t>66. In addition, the markets for supplying private label products are often awarded following tender procedures, resulting in commercial relationships of limited duration, rarely exceeding one year. While the parties have indicated that they intend to significantly develop multi-year contracts within the framework of the cooperation agreements, it should be noted that this intention does not have specific objectives. Moreover, extending the duration of the contractual commitment with suppliers, when the tender is conducted through the common purchasing center, will not necessarily have a significant impact on the market power of the supplier, as there is, for example, no firm commitment on volumes. On this last point, the proportion of supply contracts for private label products containing firm volume commitments remains marginal.</w:t>
      </w:r>
    </w:p>
    <w:p>
      <w:r>
        <w:t>67. Consequently, the analysis of the contractual mechanisms present in this case confirms that suppliers, as a whole, do not enjoy significant market power vis-à-vis their distributor clients.</w:t>
      </w:r>
    </w:p>
    <w:p>
      <w:r>
        <w:t>Economic characteristics limiting the market power of suppliers</w:t>
      </w:r>
    </w:p>
    <w:p>
      <w:r>
        <w:t>68. In addition to the contractual characteristics limiting the market power of private label product suppliers, there are economic factors.</w:t>
      </w:r>
    </w:p>
    <w:p>
      <w:r>
        <w:t>69. First, the sector has been marked, until recently, by a general and significant decline in sales over several years, as illustrated by the following graph: Market share of private label brands in large retail in France.</w:t>
      </w:r>
    </w:p>
    <w:p>
      <w:r>
        <w:t>70. This decline is primarily due to the decrease in market shares of standard and first-price private labels, which are precisely those primarily targeted by the purchasing cooperation agreements. This decrease may have contributed to economically weakening a significant number of private label suppliers.</w:t>
      </w:r>
    </w:p>
    <w:p>
      <w:r>
        <w:t>71. Second, the decline in sales of private label products could be exacerbated by the implementation of the national brand aspect of the cooperation agreements. Indeed, the purchasing cooperation agreements concerning national brand products aim to lower the purchase price of these products and should have the effect of passing on a significant part of this reduction to consumers. The decrease in prices of national brand products may thus result in a greater convergence of prices between national brands and private label products, which would reduce the price advantage traditionally enjoyed by the latter. Depending on its magnitude, this phenomenon could reduce the attractiveness of private label products, which could further exacerbate the volume declines observed in the past for these products. This effect is considered likely by many suppliers, and several empirical elements related to the retrospective analysis of past alliances seem to corroborate it.</w:t>
      </w:r>
    </w:p>
    <w:p>
      <w:r>
        <w:t>72. Third, the typology of suppliers potentially affected by the implementation of the private label cooperation agreements is very different from that concerned by the national brand cooperation agreements, which predominantly apply to large, highly diversified multinationals. The private label agreements are likely to affect a significant number of smaller companies, such as SMEs and micro-enterprises, as these companies represent a significant share of the supply of private label products at the national level (accounting for 77% of the references on shelves and 72% of sales in value), but also for the parties themselves (companies with fewer than 250 employees accounted for over 60% of private label product suppliers within the current scope of the cooperation agreements in 2017, and they supply more than 50% of the parties' volume needs).</w:t>
      </w:r>
    </w:p>
    <w:p>
      <w:r>
        <w:t>73. Fourth, price pressure in the upstream market for supplying private label products is expected to increase, due to the strategic importance of these products for distributors. It is indeed very important for them, in terms of building their brand identity and customer loyalty, to have these products in their assortment and for their ranges to be attractive and inexpensive. The increased attractiveness of private label products could lead to a moderation of the overall volume declines observed in recent years. However, this evolution should be approached with caution, due to the heterogeneities (notably depending on the range positioning) that can be observed in the market, particularly between basic private label products and premium or specific positioned private label products, such as organic products. In any case, if the decline in retail prices of private label products were to persist over time, it would confirm that the pressure exerted by distributors to lower purchase prices, far from easing, will be even more significant in the future, given the strategic interest of these products for distributors. By further degrading a profitability that is already very low for certain categories, distributors will thus make the sale of these products even less attractive for suppliers.</w:t>
      </w:r>
    </w:p>
    <w:p>
      <w:r>
        <w:t>74. Finally, the limited market power of private label product suppliers can be illustrated by the fact that the sector is often characterized by limited profitability. Even though this may depend on product categories, and be less the case for private label ranges positioned in higher-end or more profitable niches (organic private labels or premium products).</w:t>
      </w:r>
    </w:p>
    <w:p>
      <w:r>
        <w:rPr>
          <w:b/>
        </w:rPr>
        <w:t>[Pages 25–27]</w:t>
      </w:r>
    </w:p>
    <w:p>
      <w:r>
        <w:t>premium), many suppliers interviewed during the investigation highlighted the limited profitability of their sales to large retailers (suppliers active in the sectors of pasta, canned vegetables, cooking oils, dietary products, hygiene products, dairy products, snacks, confectionery, pet food, and baking products)51. Several suppliers also indicated that the marketing of private label products primarily serves to cover their fixed costs (suppliers active in the sectors of perfumery, fruit juices, and charcuterie)52, and several of them even stated that they chose not to market this type of product, or decided to stop doing so, due to their too low level of profitability (suppliers active in the sectors of cleaning products, pasta, dairy products, dried vegetables, confectionery, coffee, and animal feed)53.</w:t>
      </w:r>
    </w:p>
    <w:p>
      <w:r>
        <w:t>75. All these elements contribute to decreasing the likelihood that suppliers can exercise compensatory market power, allowing them to counterbalance the increasing bargaining power of retailers, as illustrated by the low margin levels of private label product suppliers. They also demonstrate that cooperation agreements concerning private label products are situated in an economic context that is rather unfavorable to suppliers.</w:t>
      </w:r>
    </w:p>
    <w:p>
      <w:r>
        <w:t>b) Analysis of the possible consequences of implementing cooperation agreements</w:t>
      </w:r>
    </w:p>
    <w:p>
      <w:r>
        <w:t>76. Even though it is a market characterized by limited profitability, the implementation of cooperation agreements is likely, depending on the suppliers' exposure to the market in question, to significantly destabilize their activity. This destabilization may result from the sudden loss of volumes that suppliers could bear, the impact of which would be multiplied by the effect of cooperation agreements in purchasing. It may also result from price reductions that the supplier will concede to retain and/or obtain the market, the impact of which could be even greater given that the economic context is already unfavorable, with volumes in recurrent decline.</w:t>
      </w:r>
    </w:p>
    <w:p>
      <w:r>
        <w:t>77. By decreasing suppliers' margins, the agreements could further reduce their capacity to invest and innovate in the short and medium term, whether for suppliers exclusively marketing private label products54 or for more diversified suppliers55.</w:t>
      </w:r>
    </w:p>
    <w:p>
      <w:r>
        <w:t xml:space="preserve">51 References 3873; 13 561; 13 330; 3185; 490; 7789; 10 157; 2371; 2489; 3032; 13 596 and 2432, 19/0023 F.  </w:t>
        <w:br/>
        <w:t xml:space="preserve">52 References 1883; 13 592 and 13 566, 19/0023 F.  </w:t>
        <w:br/>
        <w:t xml:space="preserve">53 References 13 553; 13 557; 13 563 – 13 564; 1764; 2171; 13 572 and 13 578, 19/0023 F.  </w:t>
        <w:br/>
        <w:t xml:space="preserve">54 In the case of suppliers exclusively marketing private label products, given the reduced margin achieved with the marketing of these products, and unless compensated by an increase in volumes, which is not guaranteed, it is likely that the price reduction conceded to the new alliance will decrease the investment capacity of the supplier, whose level is presumably lower than that of a supplier primarily focused on marketing national brand products.  </w:t>
        <w:br/>
        <w:t>55 In the case of suppliers marketing both national brand products and private label products, it seems equally likely that a price reduction will decrease their investment and/or innovation capacity. Indeed, it seems unlikely, given the significant bargaining power of retailers, that a supplier will recover what it concedes for the marketing of private label products by increasing its prices for national brand products. Moreover, all else being equal, if its market power already allowed it to increase its prices, it is likely that it would not have waited for a decrease in profitability on the private label range.</w:t>
      </w:r>
    </w:p>
    <w:p>
      <w:r>
        <w:t>Beyond the incentive to invest, the implementation of the agreements is also likely to reduce suppliers' very incentive to remain in the market. This risk seems all the greater as other retailers have also concurrently implemented other cooperation agreements concerning private label products56, and that during the investigation, several suppliers expressly indicated that their incentive to remain in or enter the private label supply market was low (see paragraph 67).</w:t>
      </w:r>
    </w:p>
    <w:p>
      <w:r>
        <w:t>The conclusion of purchasing agreements concerning private label products is thus likely, in the circumstances of this case, to decrease not only the supply of products that consumers would benefit from but also that which other retailers not participating in the purchasing cooperation could benefit from. Such an effect would diminish the diversity of supply in the upstream market for procurement, a crucial element for fully fostering competition among suppliers.</w:t>
      </w:r>
    </w:p>
    <w:p>
      <w:r>
        <w:t>78. The effects of this destabilization of the private label product supply market will be all the more significant as the upstream procurement market for the private label products concerned by the cooperation agreements is composed, to a significant extent, of small-sized companies, notably micro and small to medium-sized enterprises (see paragraph 72), and that the new purchasing alliance will represent a significant share of total outlets for certain suppliers57.</w:t>
      </w:r>
    </w:p>
    <w:p>
      <w:r>
        <w:t>79. However, unlike larger and more diversified groups, these players are less likely to withstand a deterioration in the conditions of their economic activity. They thus risk being negatively impacted by these cooperation agreements, whether through the price reductions they will have to concede or through the volume losses they are likely to suffer.</w:t>
      </w:r>
    </w:p>
    <w:p>
      <w:r>
        <w:t>80. At the same time, small and medium-sized enterprises contribute significantly and increasingly to the innovation dynamics of retailers58, including sales of private label products59. Far from limiting their role to mere participation in calls for tenders that would be unilaterally defined by retailers, private label suppliers, including those potentially most impacted by the cooperation agreements, such as micro and small to medium-sized enterprises, can in some cases play a proactive role in product innovation. For example, LAITA, a cooperative manufacturing dairy products, stated in the specialized press that "private label is at the heart of the business, as it represents 50% of the cooperative's FMCG activity, or 100,000 tons of products and 350 million euros in revenue. The cooperative has thus set up dedicated teams for private label to propose more thoughtful innovations to retailers and co-created products. In this context, Laïta has designed more premium products with high added value. Furthermore, three years ago, it established dedicated category management teams for its private label, and is a pioneer in offering retailers specific merchandising plans for private label." This supplier indicates that it "responds to requests from retailers but is also a source of proposals for new products, recipes, eco-designed packaging, and relationships with the agricultural world"60.</w:t>
      </w:r>
    </w:p>
    <w:p>
      <w:r>
        <w:t>81. Even if it is the retailer that ultimately decides on the specifications of private label products, the processes for developing these products are more complex and far from unilateral: the supplier often plays an important role, as illustrated by the example above, being a source of proposals and a driver of creation to suggest new products, whether they are new formulations or new packaging. This is further illustrated by the fact that negotiation stages may, for example, go through a prior selection panel on the product before the actual call for tenders is launched.</w:t>
      </w:r>
    </w:p>
    <w:p>
      <w:r>
        <w:t>3. GENERAL CONCLUSION</w:t>
      </w:r>
    </w:p>
    <w:p>
      <w:r>
        <w:t>82. The implementation of the cooperation agreement examined in this case is likely to decrease the number of suppliers in the upstream market for private label product procurement, even the incentive for them to invest in proposing innovations. The agreement could therefore directly impact the quality of the supply that consumers are likely to benefit from, and thus potentially decrease their well-being.</w:t>
      </w:r>
    </w:p>
    <w:p>
      <w:r>
        <w:t>III. Commitments</w:t>
      </w:r>
    </w:p>
    <w:p>
      <w:r>
        <w:t>A. COMMITMENTS PROPOSED BY THE PARTIES ON SEPTEMBER 17, 2020</w:t>
      </w:r>
    </w:p>
    <w:p>
      <w:r>
        <w:t>83. Following the sending of the note prepared by the investigation services proposing the adoption of interim measures, Carrefour and Tesco submitted a proposal for commitments to the Authority.</w:t>
      </w:r>
    </w:p>
    <w:p>
      <w:r>
        <w:t>84. The commitments submitted by the Parties aim to address the risks of competition infringements identified by the investigation services and detailed above. They result in reducing the scope of the purchasing alliance concerning private label products between Carrefour and Tesco. Among the more than 130 categories of private label products identified by the Parties as likely to be negotiated and purchased jointly, some are subject to a commitment to exclude from cooperation (1), while others are subject to a commitment to limit purchases made within the framework of the cooperation (2). The Parties remain free to cooperate for a substantial part of these product categories (3). Carrefour and Tesco also commit to reintegrating small suppliers into the scope of the agreement.</w:t>
      </w:r>
    </w:p>
    <w:p>
      <w:r>
        <w:rPr>
          <w:b/>
        </w:rPr>
        <w:t>[Pages 28–30]</w:t>
      </w:r>
    </w:p>
    <w:p>
      <w:r>
        <w:t>the alliance (4). The commitments also provide for a monitoring and control mechanism for the implementation of the commitments by a representative (5).</w:t>
      </w:r>
    </w:p>
    <w:p>
      <w:r>
        <w:t>85. In order to bring the cooperation agreement into compliance with the commitments set out below, the Parties undertake, in Article 7.1 of their commitments, to amend the contractual provisions of the joint purchasing agreement by way of an addendum, within 20 working days from the date of the decision. This addendum will modify the relevant clauses and allow the alliance to comply with the commitments made.</w:t>
      </w:r>
    </w:p>
    <w:p>
      <w:r>
        <w:t>86. The Parties commit that the commitments will take effect from the date of the decision and for a duration of five years. However, if the private label aspect of the alliance is terminated before the five-year period, the commitments will end on the date of termination (Article 6).</w:t>
      </w:r>
    </w:p>
    <w:p>
      <w:r>
        <w:t>87. The commitments apply (i) to any new jointly negotiated contract concluded after the entry into force of the commitments and (ii) to ongoing supply contracts jointly negotiated as of the date of their first renewal or extension from the date of the decision (Article 7.2).</w:t>
      </w:r>
    </w:p>
    <w:p>
      <w:r>
        <w:t>1. THE COMMITMENT TO EXCLUDE CERTAIN CATEGORIES OF PRODUCTS FROM THE SCOPE OF THE AGREEMENT (ARTICLE 3)</w:t>
      </w:r>
    </w:p>
    <w:p>
      <w:r>
        <w:t>88. In Article 3, the Parties commit to exclude from the scope of the purchasing cooperation certain families of private label products that were initially included. For these families of products, regarding purchases from the European Union, negotiations with suppliers and the actual purchases will be conducted and carried out separately by Carrefour and Tesco.</w:t>
      </w:r>
    </w:p>
    <w:p>
      <w:r>
        <w:t>89. The categories of products concerned include raw agricultural products of national or community origin, purchased mainly from French and European producers.</w:t>
      </w:r>
    </w:p>
    <w:p>
      <w:r>
        <w:t>90. The families of products covered by this commitment are as follows:</w:t>
        <w:br/>
        <w:t>• the following fruits and vegetables from the European Union:</w:t>
        <w:br/>
        <w:t>− citrus fruits;</w:t>
        <w:br/>
        <w:t>− eggplants;</w:t>
        <w:br/>
        <w:t>− cucumbers;</w:t>
        <w:br/>
        <w:t>− zucchinis;</w:t>
        <w:br/>
        <w:t>− red fruits;</w:t>
        <w:br/>
        <w:t>− dried fruits;</w:t>
        <w:br/>
        <w:t>− kiwis;</w:t>
        <w:br/>
        <w:t>− melons;</w:t>
        <w:br/>
        <w:t>− watermelons;</w:t>
        <w:br/>
        <w:t>− peppers;</w:t>
        <w:br/>
        <w:t>− peaches and nectarines;</w:t>
        <w:br/>
        <w:t>− grapes;</w:t>
        <w:br/>
        <w:t>− tomatoes;</w:t>
        <w:br/>
        <w:t>• indoor plants and flowers originating from the European Union;</w:t>
        <w:br/>
        <w:t>• lamb originating from the European Union.</w:t>
      </w:r>
    </w:p>
    <w:p>
      <w:r>
        <w:t>91. For each of these categories of products, Carrefour commits not to decrease the current share of annual purchases from the European Union by more than 20%, except in cases of objective and unpredictable market circumstances restricting Carrefour's ability to source products from the European Union.</w:t>
      </w:r>
    </w:p>
    <w:p>
      <w:r>
        <w:t>2. THE COMMITMENT TO CAP JOINT SUPPLIES (ARTICLE 4)</w:t>
      </w:r>
    </w:p>
    <w:p>
      <w:r>
        <w:t>92. Eight categories of products have been identified by the distributors as meeting the dual criterion of exceeding the 15% threshold from the European Commission's Guidelines on horizontal cooperation agreements, and of particular sensitivity upstream. Sensitivity upstream is characterized by the sensitivity of the sector of the product category to an increase in the market share of the distributors. It has been analyzed by the Parties in light of the criteria from the aforementioned guidelines, namely market concentration, the existence of potential compensatory power on the part of suppliers, and the opinion of Authority No. 15-A-06, referring in particular to the existence of alternative outlets that suppliers could resort to in case of failure of their negotiations. A lack of countervailing power from suppliers or alternative outlets characterizes a more sensitive upstream market.</w:t>
      </w:r>
    </w:p>
    <w:p>
      <w:r>
        <w:t>93. Following the analysis of the various criteria, the following categories of products have been identified and are subject to the commitment to limit cooperation:</w:t>
        <w:br/>
        <w:t>− dry baking;</w:t>
        <w:br/>
        <w:t>− cotton;</w:t>
        <w:br/>
        <w:t>− cotton and baby sticks;</w:t>
        <w:br/>
        <w:t>− blue cheeses;</w:t>
        <w:br/>
        <w:t>− other pressed cheeses;</w:t>
        <w:br/>
        <w:t>− fresh cheese;</w:t>
        <w:br/>
        <w:t>− cheddar;</w:t>
        <w:br/>
        <w:t>− canned tomatoes.</w:t>
      </w:r>
    </w:p>
    <w:p>
      <w:r>
        <w:t>94. The Parties commit, for these categories of products, to limit the volumes negotiated and purchased through the alliance to Tesco's needs (not capped), and to Carrefour's needs (up to a volume corresponding to 15% market share in the upstream market for the relevant family). Beyond this limit, to satisfy the remainder of its needs, Carrefour will enter into individual agreements with suppliers, distinct from those negotiated within the framework of the alliance.</w:t>
      </w:r>
    </w:p>
    <w:p>
      <w:r>
        <w:t>3. CATEGORIES OF PRODUCTS FOR WHICH THE PARTIES WILL REMAIN FREE TO COOPERATE</w:t>
      </w:r>
    </w:p>
    <w:p>
      <w:r>
        <w:t>95. Carrefour and Tesco remain free to cooperate on all categories of products for which Carrefour's market share does not exceed 15%, or when market characteristics do not justify a commitment, taking into account (i) Carrefour's market share, (ii) market concentration, and (iii) the potential existence of compensatory power on the part of suppliers or alternative outlets available to them.</w:t>
      </w:r>
    </w:p>
    <w:p>
      <w:r>
        <w:t>4. THE COMMITMENT RELATING TO SMEs (ARTICLE 5)</w:t>
      </w:r>
    </w:p>
    <w:p>
      <w:r>
        <w:t>96. In Article 5, Carrefour and Tesco commit to restore the possibility for smaller suppliers to respond to tenders organized within the framework of the cooperation. No supplier will thus be excluded ab initio from the scope of the alliance.</w:t>
      </w:r>
    </w:p>
    <w:p>
      <w:r>
        <w:t>97. For Carrefour, this concerns suppliers who meet the required conditions to be considered SMEs under the Commission Recommendation of May 6, 2003 concerning the definition of micro, small and medium-sized enterprises (2003/361/EC), namely fewer than 250 employees, an annual turnover of less than 50 million euros and/or a balance sheet of less than 43 million euros, and for Tesco, suppliers from whom Tesco purchases less than 3 million pounds sterling per year in the selected product categories.</w:t>
      </w:r>
    </w:p>
    <w:p>
      <w:r>
        <w:t>5. MONITORING AND REVIEW OF COMMITMENTS</w:t>
      </w:r>
    </w:p>
    <w:p>
      <w:r>
        <w:t>a) Monitoring and verification of the implementation of commitments (Article 8)</w:t>
      </w:r>
    </w:p>
    <w:p>
      <w:r>
        <w:t>98. The addendum modifying the contractual provisions of the alliance will be submitted to the Authority within ten days from its conclusion.</w:t>
      </w:r>
    </w:p>
    <w:p>
      <w:r>
        <w:t>99. The commitments provide for the procedures for appointing an independent representative of the Parties, who will ensure the monitoring and verification of compliance with the commitments by the distributors.</w:t>
      </w:r>
    </w:p>
    <w:p>
      <w:r>
        <w:t>100. The procedure for appointing the representative is provided for in Article 8.1. The Parties must submit for the Authority's approval the name of the person or institution they propose as the representative, within one month after the date of notification of the decision. If the proposed representative is rejected, the Parties will submit the names of at least two other persons or institutions within one month from the date they are informed of the rejection by the Authority. In case of refusal to approve the candidates, the Authority will appoint one or more representatives that the Parties will name or have named.</w:t>
      </w:r>
    </w:p>
    <w:p>
      <w:r>
        <w:t>101. Each candidate proposal must include the full text of the draft mandate, including all necessary provisions to enable the representative to perform their functions and the outline of a work plan describing how they intend to carry out their mission. The Authority has discretion to approve the proposed mandates and may prescribe any modifications it deems necessary for the fulfillment of the representative's obligations.</w:t>
      </w:r>
    </w:p>
    <w:p>
      <w:r>
        <w:rPr>
          <w:b/>
        </w:rPr>
        <w:t>[Pages 31–33]</w:t>
      </w:r>
    </w:p>
    <w:p>
      <w:r>
        <w:t>102. The mandate holder will be tasked with reporting to the Authority on the implementation of all commitments made by the Parties within the framework of their cooperation agreement regarding private label products. He will develop a work plan specifying how he intends to monitor and verify compliance with the commitments, within one month after the signing of the mandate contract. He must be able to annually control the purchase volumes made by the Parties from suppliers for each of the product categories covered by the commitments. He will communicate to the Authority a report that he will prepare in May of each year, on the execution of the commitments by Carrefour and Tesco. In addition to this annual report, he will prepare a report for the Authority whenever circumstances warrant it. Finally, in the event that the commitments end other than at the expiration of the five-year period, he will prepare a final report within two months following the end of the commitment execution period.</w:t>
      </w:r>
    </w:p>
    <w:p>
      <w:r>
        <w:t>103. To prepare his reports, the mandate holder will receive the following information:</w:t>
        <w:br/>
        <w:t>− a table of the product categories covered by the commitments, mentioning all calls for tenders launched or awarded jointly during the year N-1 for the relevant products (and specifying the projected purchase volumes for Carrefour, the selected suppliers, the value and volume of the projected purchases awarded to Carrefour, and the effective date of the supply contracts);</w:t>
        <w:br/>
        <w:t>− the value and volume of private label product purchases made by Carrefour, distinguishing between new supply contracts and ongoing supply contracts as well as its corresponding upstream market share in each product category covered by the commitments; and</w:t>
        <w:br/>
        <w:t>− for the categories referred to in Article 3 of the commitments, the distribution of Carrefour's purchases between products of Community origin and non-Community origin.</w:t>
      </w:r>
    </w:p>
    <w:p>
      <w:r>
        <w:t>b) The revision of the commitments (Article 9)</w:t>
      </w:r>
    </w:p>
    <w:p>
      <w:r>
        <w:t>104. The Authority may grant an extension of the deadlines provided for by the commitments and/or lift, modify, or replace one or more of the commitments made in response to a request from the Parties presenting legitimate reasons, particularly in the event of new or exceptional circumstances, such as any change in the competitive structure of the market.</w:t>
      </w:r>
    </w:p>
    <w:p>
      <w:r>
        <w:t>B. THE MARKET TEST</w:t>
      </w:r>
    </w:p>
    <w:p>
      <w:r>
        <w:t>105. In accordance with the third paragraph of Article R. 464-2 of the Commercial Code, a summary of the case and the commitments submitted by the Parties were published on October 8, 2020, to allow interested third parties to present their observations on the content of the Proposal for Commitments.</w:t>
      </w:r>
    </w:p>
    <w:p>
      <w:r>
        <w:t>106. During this market test, the Authority collected observations from three associations: the National Association of Food Industries (hereinafter, "ANIA"), the Economic Governance Association of Fruits and Vegetables (hereinafter, "GEFeL"), the Association of Brand Industries (hereinafter, "AIM"), and from two companies, Lactalis and Edgewell Personal Care.</w:t>
      </w:r>
    </w:p>
    <w:p>
      <w:r>
        <w:t>107. The various contributions mainly focus on the following themes: the relevance of resorting to the commitments procedure (1), the scope of the commitments (2), the risk of exchanges of sensitive information (3), and the scope of the commitments (4).</w:t>
      </w:r>
    </w:p>
    <w:p>
      <w:r>
        <w:t>1. ON THE RELEVANCE OF RESORTING TO THE COMMITMENTS PROCEDURE</w:t>
      </w:r>
    </w:p>
    <w:p>
      <w:r>
        <w:t>108. ANIA and Lactalis emphasize, in their contribution, that the examination of the alliance's aspect related to the pooling of international services should continue. They particularly highlight the alignment of the commercial conditions of distributors within the framework of these agreements, without economic justification or counterpart from them, and further emphasize the increase in payments made by suppliers under international service agreements.</w:t>
      </w:r>
    </w:p>
    <w:p>
      <w:r>
        <w:t>2. ON THE SCOPE OF THE COMMITMENTS</w:t>
      </w:r>
    </w:p>
    <w:p>
      <w:r>
        <w:t>109. GEFeL believes that the commitments excluding agricultural products, particularly fresh fruits and vegetables, from the purchase agreement concluded between Carrefour and Tesco, constitute "the only measure capable of preventing any serious risk of harm to competition in the relevant markets," as the purchasing rapprochement exacerbates the imbalance in the commercial relationship between production and distribution. It indeed highlights the low profitability of the fresh fruits and vegetables sector, price volatility, as well as an imbalance between upstream and downstream and the purchasing power of distributors allowing them to dictate their terms and exert downward pressure on prices.</w:t>
      </w:r>
    </w:p>
    <w:p>
      <w:r>
        <w:t>110. ANIA and Lactalis question the inclusion of certain agricultural products, such as cheeses, within the scope of cooperation. They highlight in this regard the risk that producers will face requests from members of the agreement for alignment of the alliance's purchase prices based on the lowest price.</w:t>
      </w:r>
    </w:p>
    <w:p>
      <w:r>
        <w:t>111. AIM raises that the analysis of the market power of the alliance between Carrefour and Tesco should take into account the cumulative power held by distributors, who are also parties to other cooperation agreements. It deems necessary to consider not only the market share of distributors but also the alliances in which Carrefour is involved, both nationally and internationally, as well as the business partners of these alliances, and this in a market of products including private labels and national brands.</w:t>
      </w:r>
    </w:p>
    <w:p>
      <w:r>
        <w:t>112. ANIA questions how the product categories subject to supply caps listed in Article 4.2 of the commitments were established. It would like the examination of the criteria used to determine the capped categories (for reference: Carrefour's market share, market concentration, and the existence of any compensatory power of suppliers) to be reviewed annually. It disapproves of the lack of limitation for Tesco and suggests that all product categories for which the Parties hold (or would come to hold) a market share exceeding 15% should be excluded from the scope of the alliance.</w:t>
      </w:r>
    </w:p>
    <w:p>
      <w:r>
        <w:t>3. ON THE RISK OF EXCHANGES OF SENSITIVE INFORMATION</w:t>
      </w:r>
    </w:p>
    <w:p>
      <w:r>
        <w:t>113. Several contributions highlight the risk of exchanges of commercially sensitive and strategic information within the alliance.</w:t>
      </w:r>
    </w:p>
    <w:p>
      <w:r>
        <w:t>114. To ensure the confidentiality of negotiations, ANIA requests a commitment from the Parties regarding the establishment of separate teams and confidentiality agreements to ensure strict separation between the different product categories and between the different entities.</w:t>
      </w:r>
    </w:p>
    <w:p>
      <w:r>
        <w:t>115. Lactalis suggests that the Parties commit to the organization of the agreement and to the relationships between Carrefour and Tesco regarding the products that remain within the scope, in order to avoid the risk of exchange of strategic information or abusive compensation requests.</w:t>
      </w:r>
    </w:p>
    <w:p>
      <w:r>
        <w:t>116. AIM also indicates that it would be appropriate to specify the means implemented by the distributors to ensure the absence of exchanges of commercially sensitive information.</w:t>
      </w:r>
    </w:p>
    <w:p>
      <w:r>
        <w:t>4. ON THE SCOPE OF THE COMMITMENTS</w:t>
      </w:r>
    </w:p>
    <w:p>
      <w:r>
        <w:t>117. To prevent the increase in the negotiating power of the Parties and their strong position relative to the upstream sector as well as the lack of visibility for respondents to the calls for tenders, ANIA requests that the distributors commit, for the product categories falling within the scope of cooperation, to follow a more transparent established tendering procedure at each stage of the process. It suggests that the Parties provide precise information to candidates regarding the tendering procedure, including the duration, the number of rounds, the volumes concerned by the tender, etc.</w:t>
      </w:r>
    </w:p>
    <w:p>
      <w:r>
        <w:t>118. Furthermore, ANIA believes that the absence of a challenge to ongoing contracts could hinder the effective implementation of the commitments by Carrefour and Tesco. It raises that these contracts may have been concluded for an indefinite duration or for a multi-year duration, which could block the conclusion of a new supply contract.</w:t>
      </w:r>
    </w:p>
    <w:p>
      <w:r>
        <w:t>C. THE COMMITMENTS PROPOSED BY THE PARTIES ON NOVEMBER 25, 2020</w:t>
      </w:r>
    </w:p>
    <w:p>
      <w:r>
        <w:t>119. The elements provided by certain third parties following the market test led the Parties to modify their commitments on certain points. These modifications concern Article 3 on separate purchases and Article 8 on the monitoring and implementation of the commitments.</w:t>
      </w:r>
    </w:p>
    <w:p>
      <w:r>
        <w:t>120. In a final version dated November 25, 2020, the Parties clarified, in Article 3, the threshold of 20% that Carrefour commits to respect for its annual purchases from the European Union. Regarding the objective and unpredictable market circumstances allowing Carrefour to deviate from the 20% threshold, the Parties added the mention "very significant" before the variation in exchange rates in a footnote.</w:t>
      </w:r>
    </w:p>
    <w:p>
      <w:r>
        <w:t>121. The Parties commit to submit to the Authority the names of at least three persons or institutions they propose to designate as the mandate holder responsible for monitoring the implementation of the commitments.</w:t>
      </w:r>
    </w:p>
    <w:p>
      <w:r>
        <w:rPr>
          <w:b/>
        </w:rPr>
        <w:t>[Pages 34–36]</w:t>
      </w:r>
    </w:p>
    <w:p>
      <w:r>
        <w:t>122. They undertake to communicate to the representative, in addition to what was provided for in the version prior to the market test, the list of suppliers consulted in the context of the tenders launched or awarded jointly during the year N-1, indicating, within this list, the SMEs, the amount of purchases actually made from them, as well as the relevant contracts (ongoing contracts or fixed-term contracts).</w:t>
      </w:r>
    </w:p>
    <w:p>
      <w:r>
        <w:t>123. Finally, it follows from the latest version of the commitments that the representative may transmit to the Authority, at its request, the information that has been communicated to it by the Parties. Furthermore, it must include in its annual report a section relating to the integration of SMEs in the tenders launched by the Parties.</w:t>
      </w:r>
    </w:p>
    <w:p>
      <w:r>
        <w:t>IV. Discussion</w:t>
      </w:r>
    </w:p>
    <w:p>
      <w:r>
        <w:t>A. ON THE IMPLEMENTATION OF THE COMMITMENT PROCEDURE</w:t>
      </w:r>
    </w:p>
    <w:p>
      <w:r>
        <w:t>124. The provisions of Article L. 462-10 of the Commercial Code allow the Authority to take interim measures as soon as a purchasing agreement is likely to result in infringements of competition:</w:t>
      </w:r>
    </w:p>
    <w:p>
      <w:r>
        <w:t>"If infringements of competition as mentioned in the third paragraph of this II or anti-competitive effects have been identified, the parties to the agreement undertake to take measures to remedy them within a timeframe set by the Competition Authority. […] III.-The Competition Authority may take interim measures according to the procedures and under the conditions provided for in the last paragraph of Article L. 464-1 for any agreement mentioned in I of this article as soon as one of the infringements of competition mentioned in II, which this agreement results in or is likely to result immediately after its entry into force, presents a sufficient degree of seriousness. They may include an injunction to the parties to revert to the previous state or request a modification of the said agreement" (emphasis added).</w:t>
      </w:r>
    </w:p>
    <w:p>
      <w:r>
        <w:t>125. This mechanism aims to quickly neutralize the potentially harmful effects on competition of cooperation agreements between distributors, if it turns out that they present or are likely to lead to sufficiently significant competition risks.</w:t>
      </w:r>
    </w:p>
    <w:p>
      <w:r>
        <w:t>126. The procedure for interim measures thus aims to respond to specific practices and emergency situations. The commitment procedure provided for in Article L. 464-2 of the Commercial Code allows the Authority to accept commitments proposed by companies when these are likely to address competition concerns.</w:t>
      </w:r>
    </w:p>
    <w:p>
      <w:r>
        <w:t>127. In the case at hand, the investigation conducted under the interim measures procedure of Article L. 462-10 of the Commercial Code revealed competition concerns (see above paragraphs 64 and following), which can be addressed through a commitment procedure.</w:t>
      </w:r>
    </w:p>
    <w:p>
      <w:r>
        <w:t>128. Indeed, I of Article L. 464-2 of the Commercial Code allows the Authority to "accept commitments proposed by companies or organizations that are likely to address its competition concerns that may constitute prohibited practices referred to in Articles L. 420-1 to L. 420-2-2 and L. 420-5."</w:t>
      </w:r>
    </w:p>
    <w:p>
      <w:r>
        <w:t>129. Furthermore, the Paris Court of Appeal, in its judgment of December 19, 2013, in the case of Cogent Communications France, noted that "the commitment procedure is one of the tools that allows a competition authority to fulfill its mission of ensuring the functioning of competition in the markets, this mission of defending the economic public order enabling said authority to make commitment decisions, not to satisfy the request of a complaining party but to put an end to situations that may be detrimental to competition."</w:t>
      </w:r>
    </w:p>
    <w:p>
      <w:r>
        <w:t>130. It is thus up to the Authority, within the framework of this decision, to ensure that the commitments proposed by the Parties, following the note from the investigation services proposing interim measures, are necessary, proportionate, and sufficient to address the identified competition risks.</w:t>
      </w:r>
    </w:p>
    <w:p>
      <w:r>
        <w:t>B. ON THE PROPORTIONATE AND SUFFICIENT NATURE OF THE COMMITMENTS TO ADDRESS COMPETITION CONCERNS</w:t>
      </w:r>
    </w:p>
    <w:p>
      <w:r>
        <w:t>131. The commitments only concern one aspect of the cooperation agreement, that relating to the joint purchasing of private label products. They therefore have no impact on the other aspects of the agreement concerning the joint purchasing of non-commercial products and services and the joint provision of international services.</w:t>
      </w:r>
    </w:p>
    <w:p>
      <w:r>
        <w:t>132. Regarding the part related to the joint purchasing of private label products, the commitments are proportionate both to the weight of the cooperation in the upstream supply market and to the characteristics of the different categories of products covered by the agreement. They only affect a portion of the product categories concerned by the cooperation agreement, those that raise competition concerns, leaving distributors free to purchase jointly in other cases.</w:t>
      </w:r>
    </w:p>
    <w:p>
      <w:r>
        <w:t>133. The competition risks highlighted by the investigation services in their note proposing the adoption of interim measures concerned the upstream supply market. The final version of the parties' commitments thus allows for the reduction of the potentially negative effects of the agreement on this market, and therefore addresses the identified competition concerns and the points raised in the market test.</w:t>
      </w:r>
    </w:p>
    <w:p>
      <w:r>
        <w:t>134. The commitments also present a credible and verifiable nature, given their formulation, their monitoring by a representative, and the duration of their implementation aligned with that of the agreements, up to a maximum of 5 years.</w:t>
      </w:r>
    </w:p>
    <w:p>
      <w:r>
        <w:t>1. COMMITMENTS ALLOWING TO ADDRESS COMPETITION RISKS RELATING TO THE UPSTREAM SUPPLY MARKET</w:t>
      </w:r>
    </w:p>
    <w:p>
      <w:r>
        <w:t>135. Firstly, the proposed commitments allow for the exclusion from the scope of cooperation of most categories of minimally processed agricultural products (fruits and vegetables in particular). While the parties still retain the possibility of jointly purchasing some of these products outside the European Union, Carrefour commits not to reduce the current share of annual purchases from the European Union by more than 20%, except in the case of objective and unpredictable market circumstances restricting its ability to source products from the European Union.</w:t>
      </w:r>
    </w:p>
    <w:p>
      <w:r>
        <w:t>136. Secondly, the proposed commitments also allow, when justified both by the weight of the parties in the market and by the characteristics of the sector, to limit the weight of cooperation in the French market for private label product supply to 15%. This limitation concerns the following product categories: dry baking, cotton, baby sticks, blue cheeses, other pressed cheeses, fresh cheese, cheddar, and canned tomatoes. The commitments thus address the competition concerns analyzed above regarding the impact of agreements upstream on the situation of private label producers.</w:t>
      </w:r>
    </w:p>
    <w:p>
      <w:r>
        <w:t>137. Given these elements, the parties' commitments aimed at addressing the competition risks relating to the upstream supply market for private label products are sufficient.</w:t>
      </w:r>
    </w:p>
    <w:p>
      <w:r>
        <w:t>2. COMMITMENTS MONITORED AND VERIFIED BY A REPRESENTATIVE</w:t>
      </w:r>
    </w:p>
    <w:p>
      <w:r>
        <w:t>138. The parties have committed to providing relevant information to a representative to enable them to monitor the implementation of the commitments, whether it concerns, for example, the exclusions or limitations of joint purchases.</w:t>
      </w:r>
    </w:p>
    <w:p>
      <w:r>
        <w:t>139. The parties have thus committed to communicating, in particular, a table of the product families concerned by the commitments, which will mention all the tenders launched or awarded jointly during the year N-1, specifying the products concerned, and the value and volume of the forecasted purchases awarded to Carrefour.</w:t>
      </w:r>
    </w:p>
    <w:p>
      <w:r>
        <w:t>140. These elements will allow the representative to prepare an annual report on the implementation of the commitments, which will be communicated to the Authority each year.</w:t>
      </w:r>
    </w:p>
    <w:p>
      <w:r>
        <w:t>3. COMMITMENTS MADE FOR A DURATION IDENTICAL TO THE AGREEMENTS</w:t>
      </w:r>
    </w:p>
    <w:p>
      <w:r>
        <w:t>141. The commitments have been made for a duration aligned with that of the agreement, up to a maximum of 5 years.</w:t>
      </w:r>
    </w:p>
    <w:p>
      <w:r>
        <w:t>142. They must be implemented as soon as the decision is published and will apply to new supply contracts concluded after the decision or, for contracts already in progress at the date of the decision, at the date of their first renewal or first extension.</w:t>
      </w:r>
    </w:p>
    <w:p>
      <w:r>
        <w:rPr>
          <w:b/>
        </w:rPr>
        <w:t>[Pages 37–37]</w:t>
      </w:r>
    </w:p>
    <w:p>
      <w:r>
        <w:t xml:space="preserve">V. Conclusion  </w:t>
        <w:br/>
        <w:t xml:space="preserve">143. In the final version of their proposal, the parties have supplemented their commitments in order to address both the main points raised during the market test and the observations of the Authority during the session.  </w:t>
        <w:br/>
        <w:t>144. The final commitments made by the parties thus allow for a credible, proportionate, and sufficient response to the competition concerns expressed by the investigating services.</w:t>
      </w:r>
    </w:p>
    <w:p>
      <w:r>
        <w:t xml:space="preserve">DECISION  </w:t>
        <w:br/>
        <w:t xml:space="preserve">Article 1: The Competition Authority accepts the commitments made by the Carrefour and Tesco groups, which are an integral part of this decision to which they are annexed. These commitments are made mandatory as of the notification of this decision.  </w:t>
        <w:br/>
        <w:t xml:space="preserve">Article 2: The cases recorded under numbers 19/0023 F and 19/0059 M are closed.  </w:t>
        <w:br/>
        <w:t xml:space="preserve">Deliberated on the oral report of Ms. Charlotte Noury, Ms. Gabrielle Rostand, and Mr. Erwann Kerguelen, rapporteurs, and the intervention of Mr. Joël Tozzi, deputy general rapporteur, by Ms. Isabelle de Silva, president, Ms. Fabienne Siredey-Garnier, Ms. Irène Luc, Mr. Emmanuel Combe, and Mr. Henri Piffaut, vice-presidents.  </w:t>
        <w:br/>
        <w:t xml:space="preserve">The session secretary, The president,  </w:t>
        <w:br/>
        <w:t xml:space="preserve">Claire Villeval 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