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https://www.autoritedelaconcurrence.fr/fr/decision/relative-des-pratiques-mises-en-oeuvre-dans-le-secteur-de-la-grande-distribution-dominante</w:t>
      </w:r>
    </w:p>
    <w:p>
      <w:r>
        <w:t>Pages translated : 43</w:t>
      </w:r>
    </w:p>
    <w:p/>
    <w:p>
      <w:r>
        <w:rPr>
          <w:b/>
        </w:rPr>
        <w:t>[Pages 1–3]</w:t>
      </w:r>
    </w:p>
    <w:p>
      <w:r>
        <w:t xml:space="preserve">FRENCH REPUBLIC  </w:t>
        <w:br/>
        <w:t xml:space="preserve">Decision No. 20-D-13 of October 22, 2020  </w:t>
        <w:br/>
        <w:t>regarding practices implemented in the food-dominant retail sector by the groups Auchan, Casino, Metro, and Schiever</w:t>
      </w:r>
    </w:p>
    <w:p>
      <w:r>
        <w:t xml:space="preserve">The Competition Authority (permanent commission),  </w:t>
        <w:br/>
        <w:t xml:space="preserve">Having regard to Decision No. 19-SO-07 of May 2, 2019, registered under number 19/0024 F, by which the Competition Authority initiated proceedings ex officio regarding practices implemented in the food-dominant retail sector;  </w:t>
        <w:br/>
        <w:t xml:space="preserve">Having regard to Decision No. 19-SO-20 of September 19, 2019, registered under number 19/0060 M, concerning an ex officio referral regarding the examination of the merits of the imposition of interim measures concerning cooperation agreements in purchasing related to private label products (MDD) in the food-dominant retail sector;  </w:t>
        <w:br/>
        <w:t xml:space="preserve">Having regard to Article 101 of the Treaty on the Functioning of the European Union;  </w:t>
        <w:br/>
        <w:t xml:space="preserve">Having regard to Book IV of the Commercial Code and in particular its Articles L. 420-1, L. 462-10, and L. 464-1;  </w:t>
        <w:br/>
        <w:t xml:space="preserve">Having regard to the note from the investigation services proposing the adoption of interim measures, notified to the parties and to the Government Commissioner on May 15, 2020;  </w:t>
        <w:br/>
        <w:t xml:space="preserve">Having regard to the proposal for commitments from the groups Auchan, Casino, Metro, and Schiever dated June 2, 2020, amended on September 8 and 14, 2020, and published online on June 25, 2020, on the Authority's website for a market test;  </w:t>
        <w:br/>
        <w:t xml:space="preserve">Having regard to the observations of July 27, 2020, submitted by ANIA, the Agricultural Cooperative, and the companies Heineken and Lactalis as part of the market test;  </w:t>
        <w:br/>
        <w:t xml:space="preserve">Having regard to the amended proposal for commitments from the groups Auchan, Casino, Metro, and Schiever dated September 8, 2020;  </w:t>
        <w:br/>
        <w:t xml:space="preserve">Having regard to the business secrecy decisions No. 19-DSA-283 of August 1, 2019; No. 19-DSA-290 of August 26, 2019; No. 19-DSA-291 of August 26, 2019; No. 19-DSA-292 of August 26, 2019; No. 19-DSA-301 of August 26, 2019; No. 19-DSA-308 of August 26, 2019; No. 19-DSA-313 of August 26, 2019; No. 19-DSA-316 of August 26, 2019; No. 19-DSA-318 of August 26, 2019; No. 19-DSA-328 of August 26, 2019; No. 19-DSA-331 of August 26, 2019; No. 19-DSA-335 of August 26, 2019; No. 19-DSA-338 of August 26, 2019; No. 19-DSA-341 of August 26, 2019; No. 19-DSA-344 of August 26, 2019; No. 19-DSA-349 of August 26, 2019; No. 19-DSA-352 of August 26, 2019; No. 19-DSA-356 of August 26, 2019; No. 19-DSA-360 of August 26, 2019; No. 19-DSA-363 of August 26, 2019; No. 19-DSA-366 of August 26, 2019; No. 19-DSA-369 of August 26, 2019; No. 19-DSA-372 of August 26, 2019; No. 19-DSA-375 of August 27, 2019; No. 19-DSA-384 of August 27, 2019; No. 19-DSA-388 of August 28, 2019; No. 19-DSA-391 of August 28, 2019; No. 19-DSA-395 of August 29, 2019; No. 19-DSA-398 of August 29, 2019; No. 19-DSA-401 of August 30, 2019; No. 19-DSA-411 of September 2, 2019; No. 19-DSA-414 of September 2, 2019; No. 19-DSA-418 of September 3, 2019; No. 19-DSA-421 of September 4, 2019; No. 19-DSA-425 of September 4, 2019; No. 19-DSA-428 of September 4, 2019; No. 19-DSA-431 of September 4, 2019; No. 19-DSA-434 of September 5, 2019; No. 19-DSA-438 of September 5, 2019; No. 19-DSA-444 of September 9, 2019; No. 19-DSA-447 of September 9, 2019; No. 19-DSA-450 of September 9, 2019; No. 19-DSA-451 of September 10, 2019; No. 19-DSA-456 of September 10, 2019; No. 19-DSA-460 of September 11, 2019; No. 19-DSA-463 of September 12, 2019; No. 19-DSA-469 of September 12, 2019; No. 19-DSA-472 of September 13, 2019; No. 19-DSA-476 of September 13, 2019; No. 19-DSA-479 of September 16, 2019; No. 19-DSA-482 of September 16, 2019; No. 19-DSA-484 of September 16, 2019; No. 19-DSA-490 of September 17, 2019; No. 19-DSA-493 of September 18, 2019; No. 19-DSA-496 of September 18, 2019; No. 19-DSA-500 of September 19, 2019; No. 19-DSA-505 of September 19, 2019; No. 19-DSA-508 of September 19, 2019; No. 19-DSA-511 of September 20, 2019; No. 19-DSA-514 of September 20, 2019; No. 19-DSA-517 of September 20, 2019; No. 19-DSA-523 of September 24, 2019; No. 19-DSA-527 of September 24, 2019; No. 19-DSA-528 of September 24, 2019; No. 19-DSA-532 of September 25, 2019; No. 19-DSA-550 of October 9, 2019; No. 19-DSA-553 of September 25, 2019; No. 19-DSA-554 of October 10, 2019; No. 19-DSA-555 of October 10, 2019; No. 19-DSA-561 of October 14, 2019; No. 19-DSA-562 of October 14, 2019; No. 19-DSA-563 of October 14, 2019; No. 19-DSA-574 of October 16, 2019; No. 19-DSA-575 of October 16, 2019; No. 19-DSA-580 of October 24, 2019; No. 19-DSA-582 of October 29, 2019; No. 19-DSA-583 of October 29, 2019; No. 19-DSA-584 of October 29, 2019; No. 19-DSA-585 of October 29, 2019; No. 19-DSA-586 of October 29, 2019; No. 19-DSA-587 of October 29, 2019; No. 19-DSA-588 of October 29, 2019; No. 19-DSA-589 of October 29, 2019; No. 19-DSA-590 of October 29, 2019; No. 19-DSA-591 of October 29, 2019; No. 19-DSA-595 of October 30, 2019; No. 19-DSA-596 of October 30, 2019; No. 19-DSA-597 of October 30, 2019; No. 19-DSA-598 of October 30, 2019; No. 19-DSA-599 of October 30, 2019; No. 19-DSA-600 of October 30, 2019; No. 19-DSA-601 of October 30, 2019; No. 19-DSA-604 of October 30, 2019; No. 19-DSA-608 of October 30, 2019; No. 19-DSA-614 of October 31, 2019; No. 19-DSA-617 of October 31, 2019; No. 19-DSA-628 of November 5, 2019; No. 19-DSA-630 of November 4, 2019; No. 19-DSA-648 of November 6, 2019; No. 19-DSA-714 of December 18, 2019; No. 19-DSA-715 of December 18, 2019; No. 20-DSA-014 of January 10, 2020; No. 20-DSA-015 of January 10, 2020; No. 20-DSA-016 of January 10, 2020; No. 20-DSA-018 of January 10, 2020; No. 20-DSA-035 of January 20, 2020; No. 20-DSA-036 of January 20, 2020; No. 20-DSA-048 of January 27, 2020; No. 20-DEC-133 of February 19, 2020; and No. 20-DEC-143 of February 21, 2020;  </w:t>
        <w:br/>
        <w:t xml:space="preserve">Having regard to the other documents in the file;  </w:t>
        <w:br/>
        <w:t xml:space="preserve">The rapporteurs, the deputy general rapporteur, the Government Commissioner, and the representatives of the companies Auchan, Casino, Metro, and Schiever heard during the sessions of the Competition Authority on June 23 and September 11, 2020;  </w:t>
        <w:br/>
        <w:t>Adopts the following decision:</w:t>
      </w:r>
    </w:p>
    <w:p>
      <w:r>
        <w:t xml:space="preserve">Summary1  </w:t>
        <w:br/>
        <w:t xml:space="preserve">In the following decision, which constitutes the first decision regarding purchasing centers since the adoption of the "Egalim" law of October 30, 2018, granting the Competition Authority new powers regarding the merger of purchasing centers, the Authority makes the commitments of the groups Auchan, Casino, Schiever, and Metro (hereinafter, "the Parties") mandatory as part of the implementation of their cooperation agreements.  </w:t>
        <w:br/>
        <w:t xml:space="preserve">Between May 18 and November 22, 2018, the Parties communicated to the Authority, in accordance with Article L. 462-10 of the Commercial Code, a series of cooperation agreements concerning the purchase of private label products (MDD Agreement and International MDD Agreement), supplier brand products (MDF Agreement), and the sale of international services to certain of their common suppliers (International Services Agreement).  </w:t>
        <w:br/>
        <w:t xml:space="preserve">The Authority initiated proceedings ex officio on May 2, 2019, as permitted by II of Article L. 462-10, to examine whether these various cooperation agreements risked causing a significant harm to competition.  </w:t>
        <w:br/>
        <w:t xml:space="preserve">A few weeks later, on September 19, 2019, it also, for the first time, initiated ex officio proceedings for interim measures, based on III of Article L. 462-10, to examine the merits of imposing such measures concerning the cooperation related to private label products (MDD Agreement and International MDD Agreement).  </w:t>
        <w:br/>
        <w:t xml:space="preserve">The investigation services, in this context, evaluated the practices falling within the scope of the ex officio initiation, and then notified a note to the Parties on May 15, 2020, in which they identified violations of Articles 101, paragraph 1 of the TFEU and L. 420-1 of the Commercial Code that could be observed in the markets concerned by the agreement between the Parties.  </w:t>
        <w:br/>
        <w:t xml:space="preserve">The identified competitive risks primarily concerned (i) the upstream market for the supply of private label products, due to the possible reduction in suppliers' ability to invest and innovate in this market, and (ii) the downstream market for food-dominant distribution, due to the decrease in competitive intensity between the groups Auchan and Casino following the homogenization of part of their offer in private label products, which could reduce the quality and diversity of the offer available to consumers.  </w:t>
        <w:br/>
        <w:t xml:space="preserve">Following this note, the Parties submitted to the investigation services, on June 2, 2020, a proposal for commitments, based on Article L. 464-1 of the Commercial Code.  </w:t>
        <w:br/>
        <w:t xml:space="preserve">They commit, in substance, to:  </w:t>
        <w:br/>
        <w:t xml:space="preserve">- exclude certain product families from the scope of cooperation;  </w:t>
        <w:br/>
        <w:t xml:space="preserve">- limit, for other product categories, cooperation to 15% of the upstream market if the market characteristics justify it, and if the Parties' market share exceeds 15%.  </w:t>
        <w:br/>
        <w:t xml:space="preserve">They will continue to cooperate freely when the cumulative market share of the Parties does not exceed 15% or when the market characteristics do not justify commitments.  </w:t>
        <w:br/>
        <w:t>1 This summary is purely informative. Only the reasons for the decision numbered below are authoritative.</w:t>
      </w:r>
    </w:p>
    <w:p>
      <w:r>
        <w:rPr>
          <w:b/>
        </w:rPr>
        <w:t>[Pages 4–6]</w:t>
      </w:r>
    </w:p>
    <w:p>
      <w:r>
        <w:t>According to its decision, the Authority considers that the commitments proposed by the Parties following the market test and subsequently improved, address the competition concerns raised by the investigating services.</w:t>
      </w:r>
    </w:p>
    <w:p>
      <w:r>
        <w:t>SUMMARY</w:t>
      </w:r>
    </w:p>
    <w:p>
      <w:r>
        <w:t>I. FINDINGS ......................................................................................................................... 8</w:t>
        <w:br/>
        <w:t>A. REMINDER OF THE PROCEDURE ................................................................................ 8</w:t>
        <w:br/>
        <w:t>B. THE PARTIES INVOLVED ............................................................................................. 9</w:t>
        <w:br/>
        <w:t>1. AUCHAN ......................................................................................................................... 9</w:t>
        <w:br/>
        <w:t>a) Eurauchan ................................................................................................................... 9</w:t>
        <w:br/>
        <w:t>b) Patinvest .................................................................................................................... 10</w:t>
        <w:br/>
        <w:t>2. CASINO ......................................................................................................................... 10</w:t>
        <w:br/>
        <w:t>a) Casino Merchandise Purchases ............................................................................... 11</w:t>
        <w:br/>
        <w:t>b) IRTS ........................................................................................................................... 12</w:t>
        <w:br/>
        <w:t>3. METRO ........................................................................................................................ 12</w:t>
        <w:br/>
        <w:t>4. SCHIEVER ...................................................................................................................... 12</w:t>
        <w:br/>
        <w:t>C. THE COOPERATION AGREEMENTS NOTIFIED BY THE PARTIES ......................... 13</w:t>
        <w:br/>
        <w:t>D. ECONOMIC AND LEGAL CONTEXT ........................................................................... 13</w:t>
      </w:r>
    </w:p>
    <w:p>
      <w:r>
        <w:t>II. ON THE ANALYSIS OF THE RISKS OF COMPETITION INFRINGEMENT RESULTING FROM THE COOPERATION AGREEMENTS NOTIFIED BY THE PARTIES ..........</w:t>
        <w:br/>
        <w:t>................................................................................................................................................. 16</w:t>
        <w:br/>
        <w:t>A. On the applicability of European Union law ................................................................. 16</w:t>
        <w:br/>
        <w:t>1. PRINCIPLES .................................................................................................................... 16</w:t>
        <w:br/>
        <w:t>2. APPLICATION TO THE CASE AT HAND ....................................................................... 17</w:t>
        <w:br/>
        <w:t>a) The existence of trade between Member States ...................................................... 17</w:t>
        <w:br/>
        <w:t>b) The effect on trade between Member States ........................................................... 17</w:t>
        <w:br/>
        <w:t>c) The sensitive nature of the effect ............................................................................. 17</w:t>
        <w:br/>
        <w:t>B. On the relevant markets and Horizon's position in these markets .............................. 18</w:t>
        <w:br/>
        <w:t>1. THE UPSTREAM SUPPLY MARKETS ........................................................................... 18</w:t>
        <w:br/>
        <w:t>a) Product dimension ................................................................................................... 18</w:t>
        <w:br/>
        <w:t>b) Geographical dimension .......................................................................................... 20</w:t>
        <w:br/>
        <w:t>c) The position of the parties in the upstream supply market .................................... 20</w:t>
        <w:br/>
        <w:t>2. THE DOWNSTREAM MARKETS .................................................................................... 21</w:t>
        <w:br/>
        <w:t>a) Product dimension ................................................................................................... 21</w:t>
        <w:br/>
        <w:t>b) Geographical dimension .......................................................................................... 21</w:t>
        <w:br/>
        <w:t>c) Estimation of market shares downstream ................................................................ 22</w:t>
        <w:br/>
        <w:t>C. On the preliminary analysis of the agreements notified by the parties ......................... 22</w:t>
      </w:r>
    </w:p>
    <w:p>
      <w:r>
        <w:t>1. THE LEGAL FRAMEWORK ........................................................................................... 22</w:t>
        <w:br/>
        <w:t>2. THE COMPETITION INFRINGEMENTS LIKELY TO BE CONSTITUTED IN THE UPSTREAM SUPPLY MARKET .................................................................................... 23</w:t>
        <w:br/>
        <w:t>a) The finding of often limited market power of private label product suppliers ........ 23</w:t>
        <w:br/>
        <w:t>The contractual characteristics limiting the market power of suppliers .................... 23</w:t>
        <w:br/>
        <w:t>The economic characteristics limiting the market power of suppliers ....................... 24</w:t>
        <w:br/>
        <w:t>b) The analysis of the possible consequences of the implementation of cooperation agreements ........................................................................................................... 27</w:t>
        <w:br/>
        <w:t>c) Conclusion .................................................................................................................. 29</w:t>
        <w:br/>
        <w:t>2. THE COMPETITION INFRINGEMENTS LIKELY TO BE CONSTITUTED IN THE DOWNSTREAM MARKET ............................................................................................... 29</w:t>
        <w:br/>
        <w:t>a) The supply of private label products in the retail market contributes to the stimulation of competition ........................................................................................................ 29</w:t>
        <w:br/>
        <w:t>b) Cooperation not limited to basic products ............................................................... 30</w:t>
        <w:br/>
        <w:t>c) Other factors likely to enhance the strategic nature of private label products ....... 30</w:t>
        <w:br/>
        <w:t>d) Conclusion .................................................................................................................. 31</w:t>
        <w:br/>
        <w:t>3. GENERAL CONCLUSION ............................................................................................... 31</w:t>
      </w:r>
    </w:p>
    <w:p>
      <w:r>
        <w:t>III. THE COMMITMENTS ................................................................................................... 32</w:t>
        <w:br/>
        <w:t>A. The commitments proposed by the parties on June 2, 2020 ......................................... 32</w:t>
        <w:br/>
        <w:t>1. THE COMMITMENT TO EXCLUDE CERTAIN CATEGORIES OF PRODUCTS (ARTICLE 3) OR SUB-CATEGORIES OF PRODUCTS (ARTICLE 4) FROM THE SCOPE OF THE AGREEMENT ................................................................................................................. 33</w:t>
        <w:br/>
        <w:t>a) Certain categories of products are excluded from the agreement for the purchase of private label products, except for 3 categories: consumer milk, fresh milk, and eggs, within the framework of strictly capped "sector" contracts .................................................. 33</w:t>
        <w:br/>
        <w:t>b) Certain sub-categories of products, potentially differentiating for distributors, are excluded from the agreement .................................................................................. 33</w:t>
        <w:br/>
        <w:t>2. THE COMMITMENT TO LIMIT COOPERATION TO 15% OF MARKET VOLUME (ARTICLE 5) .......................................................................................................................... 34</w:t>
        <w:br/>
        <w:t>3. THE CATEGORIES OF PRODUCTS FOR WHICH THE PARTIES WILL REMAIN FREE TO COOPERATE (ARTICLE 6) .................................................................................. 35</w:t>
        <w:br/>
        <w:t>4. MONITORING AND DURATION OF THE COMMITMENTS ........................................... 36</w:t>
        <w:br/>
        <w:t>a) Monitoring and verification of commitments (Article 8) ......................................... 36</w:t>
        <w:br/>
        <w:t>b) Duration and revision of commitments (Article 9) .................................................. 37</w:t>
        <w:br/>
        <w:t>B. THE MARKET TEST .................................................................................................... 37</w:t>
        <w:br/>
        <w:t>1. ON THE RELEVANCE OF USING THE COMMITMENT PROCEDURE .......................... 38</w:t>
      </w:r>
    </w:p>
    <w:p>
      <w:r>
        <w:rPr>
          <w:b/>
        </w:rPr>
        <w:t>[Pages 7–9]</w:t>
      </w:r>
    </w:p>
    <w:p>
      <w:r>
        <w:t xml:space="preserve">2. ON THE SCOPE OF THE COMMITMENTS ........................................................................... 38  </w:t>
        <w:br/>
        <w:t xml:space="preserve">3. ON THE OPPORTUNITY TO MAINTAIN SO-CALLED SECTOR CONTRACTS ........................ 38  </w:t>
        <w:br/>
        <w:t xml:space="preserve">4. ON THE SCOPE AND DURATION OF THE COMMITMENTS .................................................. 39  </w:t>
        <w:br/>
        <w:t xml:space="preserve">C. THE COMMITMENTS PROPOSED BY THE PARTIES ON SEPTEMBER 8, 2020  </w:t>
        <w:br/>
        <w:t xml:space="preserve">............................................................................................................................................. 39  </w:t>
        <w:br/>
        <w:t xml:space="preserve">IV. DISCUSSION ......................................................................................................................... 40  </w:t>
        <w:br/>
        <w:t xml:space="preserve">A. ON THE IMPLEMENTATION OF THE COMMITMENT PROCEDURE ........................ 40  </w:t>
        <w:br/>
        <w:t xml:space="preserve">B. ON THE PROPORTIONAL AND SUFFICIENT NATURE OF THE COMMITMENTS  </w:t>
        <w:br/>
        <w:t xml:space="preserve">TO ADDRESS COMPETITION CONCERNS ................................................................. 41  </w:t>
        <w:br/>
        <w:t xml:space="preserve">1. COMMITMENTS ALLOWING TO ADDRESS COMPETITION RISKS RELATED TO THE  </w:t>
        <w:br/>
        <w:t xml:space="preserve">UPSTREAM SUPPLY MARKET .................................................................................. 41  </w:t>
        <w:br/>
        <w:t xml:space="preserve">2. COMMITMENTS ALLOWING TO ADDRESS COMPETITION RISKS RELATED TO THE  </w:t>
        <w:br/>
        <w:t xml:space="preserve">RETAIL DISTRIBUTION MARKET WITH A FOOD DOMINANCE .................................. 42  </w:t>
        <w:br/>
        <w:t xml:space="preserve">3. COMMITMENTS CONTROLLED AND VERIFIED BY A MANDATORY ............................ 42  </w:t>
        <w:br/>
        <w:t xml:space="preserve">4. COMMITMENTS TAKEN FOR A DURATION IDENTICAL TO THE AGREEMENTS ................. 42  </w:t>
        <w:br/>
        <w:t xml:space="preserve">V. CONCLUSION ...................................................................................................................... 43  </w:t>
        <w:br/>
        <w:t>Decision ........................................................................................................................................... 43</w:t>
      </w:r>
    </w:p>
    <w:p>
      <w:r>
        <w:t xml:space="preserve">I. Findings  </w:t>
        <w:br/>
        <w:t xml:space="preserve">A. REMINDER OF THE PROCEDURE  </w:t>
        <w:br/>
        <w:t xml:space="preserve">1. On May 18, 2018, the groups Auchan, Casino, Metro, and Schiever (hereinafter, "the Parties") communicated to the Competition Authority (hereinafter, "the Authority"), pursuant to Article L. 462-10 of the Commercial Code, the following agreements concluded among themselves on the same day:  </w:t>
        <w:br/>
        <w:t xml:space="preserve">- a cooperation agreement concerning the negotiation, referencing, and conclusion, through jointly conducted calls for tenders launched to international and national suppliers, of contracts for the manufacture of private label products (hereinafter, "PLP"), entry-level or intended for sale without a brand, and non-commercial purchases (hereinafter, "the PLP Agreement"); and  </w:t>
        <w:br/>
        <w:t xml:space="preserve">- a memorandum of understanding on the creation of a common central purchasing and negotiation body for certain consumer goods, concerning the purchase of products from supplier brands (hereinafter, "SBP" and "the SBP Agreement").  </w:t>
        <w:br/>
        <w:t xml:space="preserve">2. On July 2, 2018, the groups Auchan and Casino communicated to the Authority an international cooperation agreement regarding the creation of a joint company tasked with proposing to the Parties the launch of joint calls for tenders for PLP products intended to be marketed in several countries and non-commercial purchases (hereinafter, "the International PLP Agreement").  </w:t>
        <w:br/>
        <w:t xml:space="preserve">3. On November 22, 2018, the groups Auchan and Casino communicated to the Authority an agreement, initially concluded between Auchan and Casino, to which the Spanish group Dia subsequently joined, concerning the sale of international services to certain of their common suppliers (hereinafter, "the International Services Agreement").  </w:t>
        <w:br/>
        <w:t xml:space="preserve">4. For each of the components of this cooperation (PLP, SBP, and international services), named "Horizon," the Parties established a joint company, a legally independent structure from the parties, dedicated to conducting negotiations with the relevant suppliers. The companies responsible for negotiating PLP products are Horizon Calls for Tenders and Horizon International Calls for Tenders, the cooperation between the Parties being referred to in its entirety as "Horizon."  </w:t>
        <w:br/>
        <w:t xml:space="preserve">5. The PLP component of the cooperation, which is the subject of this decision, is materialized by the PLP Agreement and the International PLP Agreement, described below in paragraph 38.  </w:t>
        <w:br/>
        <w:t xml:space="preserve">6. The Authority initiated proceedings ex officio on May 2, 2019, under number 19/0024 F, to examine whether the aforementioned cooperation agreements harm competition. On September 19, 2019, the Authority initiated proceedings ex officio under number 19/0060 M, based on the third paragraph of Article L. 462-10 of the Commercial Code, concerning the examination of the merits of interim measures regarding the cooperation component concerning PLP products (PLP Agreement and International PLP Agreement).  </w:t>
        <w:br/>
        <w:t xml:space="preserve">7. On May 15, 2020, the investigation services notified the Parties of a note proposing the adoption of interim measures, also based on the third paragraph of Article L. 462-10 of the Commercial Code. Following this notification, the Parties submitted to the investigation services on June 2, 2020, a proposal for commitments based on Article L. 464-1 of the Commercial Code (hereinafter, "the Proposal for Commitments").  </w:t>
        <w:br/>
        <w:t xml:space="preserve">B. THE PARTIES INVOLVED  </w:t>
        <w:br/>
        <w:t xml:space="preserve">1. AUCHAN  </w:t>
        <w:br/>
        <w:t xml:space="preserve">8. Auchan is a French group primarily active in the retail sector in France and Europe, in Asia, and to a lesser extent, in Africa. In the supermarket segment, Auchan is present through 68 Simply Market stores and 227 Auchan Supermarket stores. The group also has 53 convenience stores under the brands A2pas and MyAuchan.  </w:t>
        <w:br/>
        <w:t xml:space="preserve">9. Auchan sells its PLP products notably under the brands Auchan; Auchan Bio; Mmm !; Pouce; Rik &amp; Rok; Auchan Baby; and Actuel.  </w:t>
        <w:br/>
        <w:t xml:space="preserve">10. The distribution of revenue by brand achieved in France by the Auchan group in 2017 is as follows:  </w:t>
        <w:br/>
        <w:t xml:space="preserve">Distribution of revenue from Auchan's integrated stores by brand in 2017  </w:t>
        <w:br/>
        <w:t xml:space="preserve">Revenue (M€) excluding drive and % of AUCHAN revenue  </w:t>
        <w:br/>
        <w:t xml:space="preserve">Brand  </w:t>
        <w:br/>
        <w:t xml:space="preserve">internet 2017  </w:t>
        <w:br/>
        <w:t xml:space="preserve">Auchan [10,000 – 20,000] [70 – 80] %  </w:t>
        <w:br/>
        <w:t xml:space="preserve">Simply Market / Auchan supermarket [1,000 – 5,000] [10 – 20] %  </w:t>
        <w:br/>
        <w:t xml:space="preserve">A2pas / MyAuchan [10 – 20] [0 – 5] %  </w:t>
        <w:br/>
        <w:t xml:space="preserve">Others [100 – 200] [0 – 5] %  </w:t>
        <w:br/>
        <w:t xml:space="preserve">TOTAL [10,000 – 20,000] 100 %  </w:t>
        <w:br/>
        <w:t xml:space="preserve">Source: Auchan.  </w:t>
        <w:br/>
        <w:t xml:space="preserve">11. Two subsidiaries of the Auchan group are tasked with negotiating the purchase of products and the sale of services to its suppliers: Eurauchan and Patinvest.  </w:t>
        <w:br/>
        <w:t xml:space="preserve">a) Eurauchan  </w:t>
        <w:br/>
        <w:t>12. Eurauchan is a subsidiary wholly owned at [95 – 100]% by Auchan Retail (a subsidiary of Auchan Holding which includes the French activities of the group) and at [0 – 5]% by the Schiever group. It acts as a central purchasing body on behalf of the group's brands. Its mission is to negotiate, in a centralized manner, the conditions for the purchase of products.</w:t>
      </w:r>
    </w:p>
    <w:p>
      <w:r>
        <w:rPr>
          <w:b/>
        </w:rPr>
        <w:t>[Pages 10–12]</w:t>
      </w:r>
    </w:p>
    <w:p>
      <w:r>
        <w:t>d) the purchase conditions for consumer goods intended to be resold by all stores operated by Auchan Retail France, both integrated and franchised (subject to negotiations conducted by Patinvest and described below). Purchases are made directly from suppliers by the companies operating the stores (or by the warehouses), under the conditions negotiated in advance by Eurauchan10.</w:t>
      </w:r>
    </w:p>
    <w:p>
      <w:r>
        <w:t>13. The conditions negotiated by Eurauchan benefit not only the Auchan group but also other distributors who have formed partnerships with the group, such as Metro (before the establishment of the purchasing cooperation with Casino) or the Le Furet du Nord group, which operates stores specializing in cultural and leisure products.</w:t>
      </w:r>
    </w:p>
    <w:p>
      <w:r>
        <w:t>14. Eurauchan is the signatory, on behalf of the Auchan group, of the Private Label Agreement.</w:t>
      </w:r>
    </w:p>
    <w:p>
      <w:r>
        <w:t>b) Patinvest</w:t>
      </w:r>
    </w:p>
    <w:p>
      <w:r>
        <w:t>15. Patinvest is a subsidiary of the Auchan group responsible for negotiating with international suppliers the provision of certain international services related to the resale of products, such as sales data compilation services or the coordination of promotional actions at the national level11.</w:t>
      </w:r>
    </w:p>
    <w:p>
      <w:r>
        <w:t>16. Patinvest is the signatory, on behalf of the Auchan group, of the International Private Label Agreement.</w:t>
      </w:r>
    </w:p>
    <w:p>
      <w:r>
        <w:t>2. CASINO</w:t>
      </w:r>
    </w:p>
    <w:p>
      <w:r>
        <w:t>17. Casino is a French group primarily active in the retail sector in metropolitan France and Latin America. Until 2020, Casino was also marginally present in the Indian Ocean through its subsidiary Vindémia12.</w:t>
      </w:r>
    </w:p>
    <w:p>
      <w:r>
        <w:t>18. In 2017, Casino achieved a global turnover of €37.8 billion13. In France, the group's food-dominant distribution activities are mainly carried out through three subsidiaries: Distribution Casino France, Franprix Leader Price Holding, and Monoprix. These companies operate all store formats, from hypermarkets to small retail shops, under various brands14.</w:t>
      </w:r>
    </w:p>
    <w:p>
      <w:r>
        <w:t>19. Regarding its store network, the group has historically adhered to an integrated branch model, so that, like Auchan, it directly operates most of its points of sale in France. Casino also enters into affiliation or franchise contracts with independent operating companies.</w:t>
      </w:r>
    </w:p>
    <w:p>
      <w:r>
        <w:t>20. City center commerce is the core business of Casino. The development of various proximity store formats and the Franprix and Monoprix brands is fully aligned with this strategy. In 2017, Franprix, Monoprix, and proximity stores contributed nearly 45% of the turnover of the France Retail division and represent 78% of the total number of Casino stores in France.</w:t>
      </w:r>
    </w:p>
    <w:p>
      <w:r>
        <w:t>21. The group has approximately 3,900 proximity stores, and its subsidiary Monoprix has developed several small self-service concepts such as Monop’Daily and Monop’Station. Monoprix also operates the Naturalia brand, specializing in organic food and non-food products. Casino is also present in the supermarket segment, through approximately 830 Franprix stores, 310 Monoprix stores, and 370 Casino Supermarkets. In the hypermarket segment, Casino operates 111 stores under the Géant brand and 36 stores under the Hyper Casino brand. However, the Casino group sold more than 30 hypermarkets and supermarkets during the year 201915. The group is also present in the discount segment through approximately 780 Leader Price stores but has committed to selling 567 stores and three warehouses operated by this brand at the beginning of 202016.</w:t>
      </w:r>
    </w:p>
    <w:p>
      <w:r>
        <w:t>22. Casino sells its private label products notably under the Franprix and Leader Price brands, and under the various brands offered by Monoprix stores, Monoprix Gourmet, Monoprix P’tit Prix, Monoprix Bio, Monoprix Vert, Monoprix la Beauté, and Bout’Chou.</w:t>
      </w:r>
    </w:p>
    <w:p>
      <w:r>
        <w:t>23. The distribution of the Casino group's turnover by brand in 2017 is as follows:</w:t>
        <w:br/>
        <w:t>Distribution of the turnover of Casino's France Retail division by brand and/or format in 2017</w:t>
        <w:br/>
        <w:t>% of France retail turnover</w:t>
        <w:br/>
        <w:t>Brand and/or format Turnover (M€)</w:t>
        <w:br/>
        <w:t>2017</w:t>
        <w:br/>
        <w:t>Hypermarkets 4,728 25%</w:t>
        <w:br/>
        <w:t>Monoprix 4,317 22.8%</w:t>
        <w:br/>
        <w:t>Casino Supermarkets 3,253 17.2%</w:t>
        <w:br/>
        <w:t>Leader Price 2,536 13.4%</w:t>
        <w:br/>
        <w:t>Proximity brands / various 2,473 13.1%</w:t>
        <w:br/>
        <w:t>Franprix 1,596 8.4%</w:t>
        <w:br/>
        <w:t>TOTAL 18,903 100%</w:t>
        <w:br/>
        <w:t>Source: Casino17.</w:t>
      </w:r>
    </w:p>
    <w:p>
      <w:r>
        <w:t>24. Two subsidiaries of the Casino group, Achats Marchandises Casino and IRTS, are responsible for negotiating the purchase of products and the sale of international services to its suppliers.</w:t>
      </w:r>
    </w:p>
    <w:p>
      <w:r>
        <w:t>a) Achats Marchandises Casino</w:t>
      </w:r>
    </w:p>
    <w:p>
      <w:r>
        <w:t>25. Formerly EMC Distribution, this subsidiary acts as a central purchasing office on behalf of the group's brands. Its mission is to centrally negotiate the purchasing conditions for all food and non-food products intended to be offered in the group's stores, both integrated and independent, subject to the exceptions presented below regarding the group's subsidiary, IRTS. The purchases (orders, payments, deliveries) that it has negotiated in advance are then carried out by the companies that operate the stores18.</w:t>
      </w:r>
    </w:p>
    <w:p>
      <w:r>
        <w:t>26. This company is the signatory, on behalf of the Casino group, of the Private Label Agreement.</w:t>
      </w:r>
    </w:p>
    <w:p>
      <w:r>
        <w:t>b) IRTS</w:t>
      </w:r>
    </w:p>
    <w:p>
      <w:r>
        <w:t>27. This subsidiary negotiates, for all subsidiaries of the Casino group worldwide, international agreements for the provision of international services, under which Casino offers international suppliers a number of specific services, complementary to those negotiated locally (for example, provision of databases, marketing studies, international commercial assistance, etc.)19.</w:t>
      </w:r>
    </w:p>
    <w:p>
      <w:r>
        <w:t>28. This company is also, like Patinvest for the Auchan group, a signatory of the International Private Label Agreement.</w:t>
      </w:r>
    </w:p>
    <w:p>
      <w:r>
        <w:t>3. METRO</w:t>
      </w:r>
    </w:p>
    <w:p>
      <w:r>
        <w:t>29. Metro France is a company of the Metro AG group, which operates in France as a wholesaler of food-dominant products. Metro France primarily supplies professionals in the out-of-home catering sector (hereinafter, "the OOH").</w:t>
      </w:r>
    </w:p>
    <w:p>
      <w:r>
        <w:t>30. Metro France offers its customers a wide range of products under MDF as well as under eleven main private labels: Horeca Select, Rochambeau, Aro, Gilbert, Artisans &amp; Talents (bakery), Rustadou (fresh meat), Jemsa, Veuve Pelletier (wine), Metro Chef (food products for cafés-hotels-restaurants), Metro Chef special artisan-baker, and Felsgold20.</w:t>
      </w:r>
    </w:p>
    <w:p>
      <w:r>
        <w:t>31. Metro Cash and Carry International BV, a subsidiary of Metro AG and the parent company of Metro France, acquired the company Colruyt France in 2017, a subsidiary of the Belgian retail group Colruyt. This company operates in France as a wholesale delivery service for food products under the Pro-à-Pro brand, primarily targeting collective catering players, through sixteen warehouses and nineteen logistics platforms21.</w:t>
      </w:r>
    </w:p>
    <w:p>
      <w:r>
        <w:t>32. Metro France is a signatory of the Private Label Agreement.</w:t>
      </w:r>
    </w:p>
    <w:p>
      <w:r>
        <w:t>4. SCHIEVER</w:t>
      </w:r>
    </w:p>
    <w:p>
      <w:r>
        <w:t>33. Schiever is an independent French family group, primarily active in the retail sector in France and Poland.</w:t>
      </w:r>
    </w:p>
    <w:p>
      <w:r>
        <w:t>34. In 2017, the Schiever group achieved a turnover of €1.4 billion. In France, Schiever operates a total of 282 stores under ten different brands, including 169 food-dominant distribution stores and 113 stores for DIY, clothing, and catering. Among the food-dominant distribution stores, the group operates: (i) 27 stores under the Bi1 supermarket brand; (ii) 35 stores under the Maximarché brand, which is slightly smaller than traditional supermarkets; and (iii) 107 proximity stores under the Proximarché brand.</w:t>
      </w:r>
    </w:p>
    <w:p>
      <w:r>
        <w:t>35. Schiever also maintains a special relationship with the Auchan group, both in the downstream market, as it operates Auchan stores in the Northeast of the country, as well as in other areas.</w:t>
      </w:r>
    </w:p>
    <w:p>
      <w:r>
        <w:rPr>
          <w:b/>
        </w:rPr>
        <w:t>[Pages 13–15]</w:t>
      </w:r>
    </w:p>
    <w:p>
      <w:r>
        <w:t>on the upstream market, within the framework of Eurauchan. Schiever offers private label Auchan products for sale in its stores.</w:t>
      </w:r>
    </w:p>
    <w:p>
      <w:r>
        <w:t>36. The Schiever group is also present in specialized distribution and manages four restaurants under the Flunch brand.</w:t>
      </w:r>
    </w:p>
    <w:p>
      <w:r>
        <w:t>37. This company is a signatory, on its own behalf, of the Private Label Agreement.</w:t>
      </w:r>
    </w:p>
    <w:p>
      <w:r>
        <w:t>C. THE COOPERATION AGREEMENTS NOTIFIED BY THE PARTIES</w:t>
      </w:r>
    </w:p>
    <w:p>
      <w:r>
        <w:t>38. In mid-2018, the Parties notably concluded two cooperation agreements concerning the supply of private label products and the provision of non-commercial services, one on a national scope, the other on an international scope. These agreements, expiring on December 31, 2021, are subject to tacit renewal.</w:t>
      </w:r>
    </w:p>
    <w:p>
      <w:r>
        <w:t>39. These agreements consist for the Parties, when at least two of them wish to do so, in jointly organizing, through their dedicated joint venture, calls for tenders with a view to jointly manufacturing specific private label products.</w:t>
      </w:r>
    </w:p>
    <w:p>
      <w:r>
        <w:t>40. The scope of cooperation regarding product categories includes up to 46 product families contractually identified, including organic, premium, and regional products.</w:t>
      </w:r>
    </w:p>
    <w:p>
      <w:r>
        <w:t>D. ECONOMIC AND LEGAL CONTEXT</w:t>
      </w:r>
    </w:p>
    <w:p>
      <w:r>
        <w:t>41. For several years, purchasing consolidations in the food-dominant retail sector have multiplied, particularly in France, and have gained in scale. At the end of 2014, in a deflationary context, three purchasing consolidations were concluded in an extremely short period, shortly before the opening of annual negotiations, between Auchan and Système U, Intermarché and Casino, as well as Carrefour and Provera.</w:t>
      </w:r>
    </w:p>
    <w:p>
      <w:r>
        <w:t>42. Consulted for an opinion by the Minister of Economy, Industry and Digital Affairs and by the Senate Economic Affairs Committee on the competitive impact of purchasing and referencing consolidations in the food-dominant retail sector, the Authority issued an opinion in 2015 in which it established a general analysis framework and a risk mapping that they may raise, both in downstream and upstream markets of food-dominant retail. The Authority also called for legislative intervention to subject food retail actors to an obligation to inform the Authority of purchasing consolidations exceeding certain thresholds, prior to their entry into force.</w:t>
      </w:r>
    </w:p>
    <w:p>
      <w:r>
        <w:t>43. This proposal from the Authority was adopted by the legislator, who established a prior communication obligation for projects of agreements for the purchase of products or sale of services, two months before the implementation of the agreements. Article L. 462-10 of the Commercial Code, initially introduced by Law No. 2015-990 of August 6, 2015, for growth, activity, and economic equality of opportunities, known as the "Macron" law, states in its original version that "Any agreement between companies or groups of natural or legal persons operating, directly or indirectly, one or more retail stores of consumer goods, or intervening in the distribution sector as a referencing or purchasing center for retail companies, aiming to negotiate collectively the purchase or referencing of products or the sale of services to suppliers, must be communicated to the Competition Authority, for information, at least two months before its implementation. The first paragraph applies when the total worldwide turnover excluding taxes of all companies or groups of natural or legal persons party to the agreement and the total turnover excluding taxes realized in France in the context of the agreement by all parties to the agreement exceed thresholds set by decree in the Council of State."</w:t>
      </w:r>
    </w:p>
    <w:p>
      <w:r>
        <w:t>44. In 2018, a movement of recomposition of purchasing alliances was observed: indeed, the companies party to these agreements decided to terminate the agreements between Auchan and Système U, dated September 10, 2014, and between Casino and Intermarché, dated November 7, 2014 (the agreement between Carrefour and Provera (which is the purchasing center for stores under the Cora and Match brands), dated December 22, 2014, is still in force as of the date of this decision). New consolidations emerged, with a change in strategy, notably between Auchan, Casino, Metro, and Schiever; Carrefour and Tesco; Carrefour and Système U. The scope of these first two purchasing consolidations is of a new magnitude since it concerns, unlike the previous wave of consolidations, purchasing agreements regarding private label products, whereas the "first generation" purchasing agreements mainly concerned branded products.</w:t>
      </w:r>
    </w:p>
    <w:p>
      <w:r>
        <w:t>45. Furthermore, the General States of Food (hereinafter, "EGA"), held during the second half of 2017, allowed for consultation among the various actors in the agri-food sectors (producers, manufacturers, distributors, consumers), under the auspices of the Government. The roadmap of these EGAs aimed to formulate a diagnosis on value creation in agri-food sectors and on ways to ensure its fair distribution, notably to allow farmers to live decently from their work. The main actions retained consist of establishing market indicators on production costs in each sector, strengthening the collective organization of agricultural upstream, and finally, renovating economic relations between actors in the agri-food sectors.</w:t>
      </w:r>
    </w:p>
    <w:p>
      <w:r>
        <w:t>46. Workshop number 7 of the EGAs was specifically dedicated to the issue of renovating commercial relations between actors in the agri-food sectors. In the framework of this workshop, chaired by Mr. Guy Canivet, honorary first president of the Court of Cassation, stakeholders noted the imbalance that characterizes commercial relations in the agri-food sector in these terms: "economically and structurally, agricultural and food sectors are characterized by a very atomized upstream sector (production) and a very concentrated downstream sector (distribution), which leads to an unfavorable distribution of value to the producer, who does not benefit, within these different sectors, from a balanced negotiating power."</w:t>
      </w:r>
    </w:p>
    <w:p>
      <w:r>
        <w:t>47. Following the EGAs, and in parallel with the reorganization of purchasing consolidations among sector actors in 2018, the legislator wished to complement the framework governing these consolidations and strengthen, for this purpose, the powers conferred to the Authority over these agreements, so that it could ensure a more in-depth monitoring and also have rapid intervention tools in case of urgency. Law No. 2018-938 of October 30, 2018, for the balance of commercial relations in the agricultural and food sector and for healthy, sustainable, and accessible food for all, known as the "Egalim" law, thus introduced three new provisions, inserted into Article L. 462-10 of the Commercial Code.</w:t>
      </w:r>
    </w:p>
    <w:p>
      <w:r>
        <w:t>48. The first provision strengthens the prior information procedure of the Authority, already provided for in paragraph I of Article L. 462-10 of the Commercial Code, by extending the period to be observed between the communication of an agreement to the Authority and its entry into force from two to four months. Moreover, the content of the information file to be communicated to the Authority simultaneously with the communication of the agreement, which was not previously legally defined, is now, pursuant to paragraph IV of Article L. 462-10, set by decree. These provisions aim to give the Authority the means and time necessary to conduct a thorough review of these agreements before their entry into force.</w:t>
      </w:r>
    </w:p>
    <w:p>
      <w:r>
        <w:t>49. The second provision establishes, in II of Article L. 462-10 of the Commercial Code, a competitive assessment procedure, which allows the Authority to carry out, on its own initiative or at the request of the minister responsible for the economy, an assessment of an already implemented agreement, in order to determine whether its benefits offset any potential harm to competition, failing which the parties to the agreement may commit to taking measures to remedy it: "II.- A competitive assessment of the implementation of an agreement defined in the first paragraph of I is carried out by the Competition Authority, on its own initiative or at the request of the minister responsible for the economy. For this purpose, the Competition Authority may request the parties to the agreement to submit a report presenting the effect of this agreement on competition. The initiation of the competitive assessment procedure is made public by the Competition Authority, in order to allow interested third parties to submit their observations. The applicable procedure is that provided for in the second paragraph of Article L. 463-2 and Articles L. 463-4, L. 463-6, and L. 463-7. Before ruling, the Competition Authority may hear third parties in the absence of the parties to the agreement in question. In order to carry out the competitive assessment, the Competition Authority examines whether this agreement, as implemented, is likely to cause a significant harm to competition.</w:t>
      </w:r>
    </w:p>
    <w:p>
      <w:r>
        <w:rPr>
          <w:b/>
        </w:rPr>
        <w:t>[Pages 16–18]</w:t>
      </w:r>
    </w:p>
    <w:p>
      <w:r>
        <w:t>in the sense of Articles L. 420-1 and L. 420-2. On this occasion, it assesses whether the agreement provides a sufficient contribution to economic progress to offset any potential harm to competition, taking into account its impact on producers, processors, and distributors as well as consumers.</w:t>
      </w:r>
    </w:p>
    <w:p>
      <w:r>
        <w:t>If any harm to competition as mentioned in the third paragraph of this II or anti-competitive effects have been identified, the parties to the agreement commit to taking measures to remedy this within a timeframe set by the Competition Authority. The Competition Authority may also act ex officio pursuant to III of Article L. 462-5 or be seized by the Minister responsible for the economy pursuant to I of the same Article L. 462-5.</w:t>
      </w:r>
    </w:p>
    <w:p>
      <w:r>
        <w:t>50. The content of the report that the parties must present to the Authority under this provision is, like that of the aforementioned information file, set by decree.</w:t>
      </w:r>
    </w:p>
    <w:p>
      <w:r>
        <w:t>51. The third provision introduced, in paragraph III of Article L. 462-10 of the Commercial Code, allows the Authority to act ex officio to take precautionary measures when the agreement causes or is likely to cause immediately after its entry into force a significant harm to competition, with a view to obtaining the termination or modification of the agreement in question:</w:t>
      </w:r>
    </w:p>
    <w:p>
      <w:r>
        <w:t>“III.- The Competition Authority may take precautionary measures according to the modalities and under the conditions provided for in the last paragraph of Article L. 464-1 for any agreement mentioned in I of this article as soon as one of the harms to competition mentioned in II, which this agreement causes or is likely to cause immediately after its entry into force, presents a sufficient degree of seriousness. These may include an injunction to the parties to revert to the previous state or to request a modification of the said agreement.”</w:t>
      </w:r>
    </w:p>
    <w:p>
      <w:r>
        <w:t>II. ON THE ANALYSIS OF THE RISKS OF HARM TO COMPETITION RESULTING FROM THE COOPERATION AGREEMENTS NOTIFIED BY THE PARTIES</w:t>
      </w:r>
    </w:p>
    <w:p>
      <w:r>
        <w:t>A. ON THE APPLICABILITY OF EU LAW</w:t>
      </w:r>
    </w:p>
    <w:p>
      <w:r>
        <w:t>1. PRINCIPLES</w:t>
      </w:r>
    </w:p>
    <w:p>
      <w:r>
        <w:t>52. Article 101 of the Treaty on the Functioning of the European Union (hereinafter "TFEU") states: “All agreements between undertakings, all decisions by associations of undertakings and all concerted practices which may affect trade between Member States and which have as their object or effect the prevention, restriction or distortion of competition within the internal market are incompatible with the internal market and prohibited.”</w:t>
      </w:r>
    </w:p>
    <w:p>
      <w:r>
        <w:t>53. In accordance with established case law, and in light of the European Commission's Guidelines on the notion of affecting trade set out in Articles 81 and 82 of the Treaty [now 101 and 102 TFEU], the Authority considers that three elements must be met for practices to be likely to significantly affect trade between Member States:</w:t>
      </w:r>
    </w:p>
    <w:p>
      <w:r>
        <w:t>- the existence of trade between Member States involving the products or services in question;</w:t>
        <w:br/>
        <w:t>- the existence of practices likely to affect this trade; and</w:t>
        <w:br/>
        <w:t>- the sensitive nature of this possible effect.</w:t>
      </w:r>
    </w:p>
    <w:p>
      <w:r>
        <w:t>2. APPLICATION TO THE CASE AT HAND</w:t>
      </w:r>
    </w:p>
    <w:p>
      <w:r>
        <w:t>a) The existence of trade between Member States</w:t>
      </w:r>
    </w:p>
    <w:p>
      <w:r>
        <w:t>54. The practices in question involve the conclusion of agreements between competitors in the consumer goods distribution sector, concerning the purchase of private label products intended not only for the French market but also for other markets where the distributors are established.</w:t>
      </w:r>
    </w:p>
    <w:p>
      <w:r>
        <w:t>55. Several of the companies involved are international groups with distribution units and subsidiaries located in different Member States of the Union.</w:t>
      </w:r>
    </w:p>
    <w:p>
      <w:r>
        <w:t>56. The agreements subject to this decision therefore generate a flow of intra-community trade.</w:t>
      </w:r>
    </w:p>
    <w:p>
      <w:r>
        <w:t>b) The effect on trade between Member States</w:t>
      </w:r>
    </w:p>
    <w:p>
      <w:r>
        <w:t>57. The companies involved have implemented agreements that directly impact the terms under which products are purchased not only for marketing in France but also in several countries of the European Union. Furthermore, these agreements are implemented throughout the entire French territory. They are therefore likely to affect both the upstream market for the supply of private label products and the downstream retail distribution market predominantly for food.</w:t>
      </w:r>
    </w:p>
    <w:p>
      <w:r>
        <w:t>58. It follows from the above that the flow of trade between Member States is likely to be affected.</w:t>
      </w:r>
    </w:p>
    <w:p>
      <w:r>
        <w:t>c) The sensitive nature of the effect</w:t>
      </w:r>
    </w:p>
    <w:p>
      <w:r>
        <w:t>59. The sensitive nature of this potential effect must be regarded as established, given that the turnover achieved by the parties exceeds 40 million euros, and that their market shares are above 5%, which is the case here.</w:t>
      </w:r>
    </w:p>
    <w:p>
      <w:r>
        <w:t>60. Consequently, the practices in question can be considered as “likely to affect trade between Member States” within the meaning of Article 3 of Regulation No. 1/2003.</w:t>
      </w:r>
    </w:p>
    <w:p>
      <w:r>
        <w:t>61. These practices must therefore be examined not only in light of national law, particularly Articles L. 420-1 and L. 420-2 of the Commercial Code, but also in light of Union competition law, and notably Articles 101 and 102 TFEU.</w:t>
      </w:r>
    </w:p>
    <w:p>
      <w:r>
        <w:t>B. ON THE RELEVANT MARKETS AND THE HORIZON POSITION ON THESE MARKETS</w:t>
      </w:r>
    </w:p>
    <w:p>
      <w:r>
        <w:t>1. THE UPSTREAM SUPPLY MARKETS</w:t>
      </w:r>
    </w:p>
    <w:p>
      <w:r>
        <w:t>62. Traditionally, the delineation of these markets, based on the notion of "substitutability" which aims to take into account the competitive pressures exerted, has a dual dimension: a product dimension and a geographical dimension.</w:t>
      </w:r>
    </w:p>
    <w:p>
      <w:r>
        <w:t>a) Product dimension</w:t>
      </w:r>
    </w:p>
    <w:p>
      <w:r>
        <w:t>63. Regarding the upstream supply markets, substitutability must be defined from the supply side. In other words, to identify the competitive pressures exerted on buyers (the parties to the cooperation agreement), it is necessary to examine the alternative solutions available to their suppliers.</w:t>
      </w:r>
    </w:p>
    <w:p>
      <w:r>
        <w:t>64. In this regard, the Authority, followed in this by the parties, considers the general segmentation of the upstream supply markets established by the Commission in its decision on the acquisition of Meinl by Rewe, based on 23 product categories, to be relevant. While this delineation remains generally pertinent, the Authority consistently considers that a finer delineation of certain categories may be necessary in some cases, particularly in light of the conditions under which negotiations on the products in question take place. Given that the cooperation agreements cover a wide variety of products, a finer delineation could be justified for some of them.</w:t>
      </w:r>
    </w:p>
    <w:p>
      <w:r>
        <w:rPr>
          <w:b/>
        </w:rPr>
        <w:t>[Pages 19–21]</w:t>
      </w:r>
    </w:p>
    <w:p>
      <w:r>
        <w:t>- a sub-segmentation based on distribution channels, distinguishing for example GSA ("large food stores") from RHD37 or excluding sales related to exports from the market perimeter38;</w:t>
        <w:br/>
        <w:t>- a sub-segmentation based on the commercial positioning of products, distinguishing for example MDF products from MDD products39.</w:t>
      </w:r>
    </w:p>
    <w:p>
      <w:r>
        <w:t>65. Although challenged by the Parties40, these two sub-segmentations remain relevant in the present analysis.</w:t>
      </w:r>
    </w:p>
    <w:p>
      <w:r>
        <w:t>66. Regarding the sub-segmentation based on distribution channels, suppliers questioned about export possibilities during the current investigation cite regulatory, logistical, human resources, market knowledge constraints, as well as local specificities and product fragility/shelf life.</w:t>
      </w:r>
    </w:p>
    <w:p>
      <w:r>
        <w:t>67. Furthermore, concerning RHD, the same suppliers emphasize the need for specific recipes and particular product packaging compared to those in large distribution, a different distribution logistics, the necessity for additional human resources, and lower volumes, even the tensions that an attempt to diversify into these other sales channels could generate with their distributor clients in GMS.</w:t>
      </w:r>
    </w:p>
    <w:p>
      <w:r>
        <w:t>68. Regarding the sub-segmentation between MDF and MDD, the particularities of certain product categories may justify a specific market delineation for MDD products. Indeed, the marketing conditions for MDD products differ from those for MDF products: shorter contracts, tender processes (see paragraph 85). In this regard, while for MDF products, the manufacturer designs, develops, and produces the product itself, MDD responds to an order from the distributor, with suppliers being selected following tenders specifying very precise product specifications (composition, organoleptic characteristics, packaging, etc.). But above all, such delineation appears all the more justified as distributors themselves have entered into cooperation agreements specifically for these products. These various elements are capable of justifying that a distinction be made for a significant number of products.</w:t>
      </w:r>
    </w:p>
    <w:p>
      <w:r>
        <w:t>69. Consequently, a global analysis without distinction between MDD and MDF may not be suitable for the evaluation of cooperation agreements concerning MDD, which cover a large number of product categories for which a sub-segmentation could be justified.</w:t>
      </w:r>
    </w:p>
    <w:p>
      <w:r>
        <w:t>b) Geographical dimension</w:t>
      </w:r>
    </w:p>
    <w:p>
      <w:r>
        <w:t>70. Regarding the geographical dimension of supply markets, the Authority, like the European Commission, generally considers national dimension markets41.</w:t>
      </w:r>
    </w:p>
    <w:p>
      <w:r>
        <w:t>71. While the Parties do not exclude a definition broader than just the national dimension, notably highlighting the creation of pan-European purchasing centers42, it remains that regardless of the establishment of a common price, the specifications of the products under the cooperation agreements may differ and be specific to each distributor43. In this regard, products present specificities related to the sales territory, whether in terms of formulation or packaging, considering both national regulations and consumption habits. Initially, the purchasing cooperation between the parties on MDD products was limited to the French territory. It was only later that the parties formalized a new cooperation agreement, this time with a scope broader than just the national territory, even though the majority of their sales concern the national territory44. These elements are capable of corroborating the national dimension of the markets considered.</w:t>
      </w:r>
    </w:p>
    <w:p>
      <w:r>
        <w:t>c) The position of the parties in the upstream supply market</w:t>
      </w:r>
    </w:p>
    <w:p>
      <w:r>
        <w:t>72. The Parties sought to assess the competitive impact of their agreements by calculating their cumulative market shares in purchasing in the upstream market. The table below shows the cumulative share of purchases made by the concerned companies in the supply markets for the product families included in the scope of the cooperation agreements, relying notably on the delineation of product families retained by the European Commission in the Carrefour/Promodès case. Given the previously highlighted elements to delineate the market, this table presents market shares limited to MDD in the food-dominant distribution market, as well as, for all practical purposes, those combining MDD and MDF, and finally the cumulative market shares over a broader scope, including RHD and wholesalers.</w:t>
      </w:r>
    </w:p>
    <w:p>
      <w:r>
        <w:t>Weight of MDD cooperation agreements by product category</w:t>
        <w:br/>
        <w:t>Combined purchasing share ACMS Combined purchasing share</w:t>
        <w:br/>
        <w:t>on the market limited to ACMS on the overall market</w:t>
        <w:br/>
        <w:t>the supply of GSA</w:t>
        <w:br/>
        <w:t>Scope of analysis MDF + MDD MDD MDF + MDD</w:t>
        <w:br/>
        <w:t>only MDD only</w:t>
        <w:br/>
        <w:t>Product category</w:t>
        <w:br/>
        <w:t>Liquids [10 – 20]% [15 – 25]% [10 – 15]% [5 – 10]%</w:t>
        <w:br/>
        <w:t>41 See most recently decision n° 14-DCC-173 of November 21, 2014, regarding the exclusive control of Dia France SAS by Carrefour France SAS. For the European Commission, see decisions of the Commission of February 3, 1999, case COMP/M.1221 Rewe/Meinl; January 25, 2000, case COMP/M.1684, Carrefour/Promodès; and September 28, 2000, case COMP/M.2115, Carrefour/GB.</w:t>
        <w:br/>
        <w:t>42 Reference 1276, 19/0024 F.</w:t>
        <w:br/>
        <w:t>43 Reference 2013, 19/0024 F.</w:t>
        <w:br/>
        <w:t>44 References 18 518 – 18 519 and 18 516 – 18 517, 19/0024 F.</w:t>
      </w:r>
    </w:p>
    <w:p>
      <w:r>
        <w:t>Droguerie [15 – 25]% [20 – 25]% [20 – 25]% [15 – 20]%</w:t>
        <w:br/>
        <w:t>Perfume - Hygiene [15 – 25]% [20 – 25]% [5 – 15]% [0 – 5]%</w:t>
        <w:br/>
        <w:t>Dry grocery [15 – 20]% [20 – 25]% [15 – 20]% [10 – 15]%</w:t>
        <w:br/>
        <w:t>Perishable self-service products [20 – 25]% [20 – 25]% [15 – 25]% [15 – 20]%</w:t>
        <w:br/>
        <w:t>Source: ACMS (reference 18 500, 19/0024 F).</w:t>
      </w:r>
    </w:p>
    <w:p>
      <w:r>
        <w:t>2. THE DOWNSTREAM MARKETS</w:t>
      </w:r>
    </w:p>
    <w:p>
      <w:r>
        <w:t>a) Product dimension</w:t>
      </w:r>
    </w:p>
    <w:p>
      <w:r>
        <w:t>73. Classically, when more than one-third of a store's revenue comes from food products, the trade is deemed "food-dominant"45. Although market share thresholds must be used with caution46, the Authority's decision-making practice distinguishes six markets within food-dominant retail, using several criteria, such as store size, sales techniques, accessibility, the nature of the service provided, and the range of products offered47:</w:t>
        <w:br/>
        <w:t>(1) hypermarkets (food-dominant stores with a legal sales area of more than 2,500 m²); (2) supermarkets (between 400 and 2,500 m²); (3) specialized trade; (4) small retail or convenience stores (less than 400 m²); (5) discount stores; and (6) distance selling.</w:t>
      </w:r>
    </w:p>
    <w:p>
      <w:r>
        <w:t>b) Geographical dimension</w:t>
      </w:r>
    </w:p>
    <w:p>
      <w:r>
        <w:t>74. To assess the impact of concentration operations in the large distribution sector, the Authority considers local dimension markets corresponding to the catchment area associated with each store, the extent of which depends on the travel time of customers from the stores. The reference times are generally observed times; they vary depending on the size of the stores, but also on the density of the population.</w:t>
      </w:r>
    </w:p>
    <w:p>
      <w:r>
        <w:rPr>
          <w:b/>
        </w:rPr>
        <w:t>[Pages 22–24]</w:t>
      </w:r>
    </w:p>
    <w:p>
      <w:r>
        <w:t>the commercial equipment of each area48. The evaluation of travel time can also be carried out using the actual footprint method, designating the area that includes customers representing 80% of the store's turnover or 80% of the store's customers, depending on the available data49.</w:t>
      </w:r>
    </w:p>
    <w:p>
      <w:r>
        <w:t>75. However, it should be noted that distributors are also competing in broader, national-scale markets. In such a configuration, the intensity of competition results from the market configuration prevailing at the local level but also at the national level50. The competitive analysis of agreements such as those subject to this opinion must therefore be conducted at both the local and national levels.</w:t>
      </w:r>
    </w:p>
    <w:p>
      <w:r>
        <w:t>c) Estimation of downstream market shares</w:t>
      </w:r>
    </w:p>
    <w:p>
      <w:r>
        <w:t>76. The Authority notes that the parties to the agreements subject to this decision have a significant weight in the downstream market51, as they represent 21% of the retail market for food-dominant distribution, in a context where the market is even slightly more concentrated than it was in 2014 (notably due to the purchasing alliance between Carrefour and Système U in May 2018, which created an unprecedented player in the supply market).</w:t>
      </w:r>
    </w:p>
    <w:p>
      <w:r>
        <w:t>C. ON THE PRELIMINARY ANALYSIS OF THE AGREEMENTS NOTIFIED BY THE PARTIES</w:t>
      </w:r>
    </w:p>
    <w:p>
      <w:r>
        <w:t>77. The preliminary analysis of the agreements, notified by the investigation services in the context of the request for interim measures based on Article L. 462-10 of the Commercial Code, (1) is based on the finding that the agreements in question are likely, at this stage of the investigation, to cause harm to competition within the meaning of this provision, on the one hand, in the upstream market for the supply of private label products (2) and, on the other hand, in the downstream market for food-dominant distribution (3).</w:t>
      </w:r>
    </w:p>
    <w:p>
      <w:r>
        <w:t>1. THE LEGAL FRAMEWORK</w:t>
      </w:r>
    </w:p>
    <w:p>
      <w:r>
        <w:t>78. Purchasing alliances are often concluded between competing companies in upstream markets (the markets for purchasing the products concerned), and sometimes also competing in downstream markets (the markets for selling the products concerned). As such, these agreements must be assessed in light of Articles 101, paragraph 1 of the Treaty on the Functioning of the European Union (hereinafter, "TFEU") and L. 420-1 of the Commercial Code.</w:t>
      </w:r>
    </w:p>
    <w:p>
      <w:r>
        <w:t>79. At the European level, purchasing alliances are subject to a dedicated chapter of the European Commission's guidelines on the applicability of Article 101 of the TFEU to horizontal cooperation agreements52. According to the guidelines, “[p]urchasing agreements generally aim to create purchasing power that can lead to lower prices or improved quality of products or services for consumers. However, purchasing power can also, in some cases, raise competition concerns”53. These concerns may manifest in the upstream and downstream markets affected by the agreements.</w:t>
      </w:r>
    </w:p>
    <w:p>
      <w:r>
        <w:t>80. Procedurally, as previously outlined, Article L. 462-10 of the Commercial Code resulting from the Egalim law targets the cooperation agreements themselves and defines a specific legal framework regarding potential harms to competition. This provision also specifies the conditions for the imposition of measures in cases of identified harms to competition by the Authority.</w:t>
      </w:r>
    </w:p>
    <w:p>
      <w:r>
        <w:t>81. The Authority initiated proceedings ex officio on September 19, 2019, based on III of Article L. 462-10 of the Commercial Code to examine the merits of interim measures concerning the cooperation aspect between the Parties regarding private label products (falling under both the Private Label Agreement and the International Private Label Agreement).</w:t>
      </w:r>
    </w:p>
    <w:p>
      <w:r>
        <w:t>82. In this context, the investigation services notified the parties, on May 15, 2020, of a note in which they analyzed the agreements in question in light of Articles 101, paragraph 1 of the TFEU and L. 420-1 of the Commercial Code, and identified the main potential harms to competition in the relevant markets. These competitive risks are detailed below.</w:t>
      </w:r>
    </w:p>
    <w:p>
      <w:r>
        <w:t>2. POTENTIAL HARMS TO COMPETITION IN THE UPSTREAM SUPPLY MARKET</w:t>
      </w:r>
    </w:p>
    <w:p>
      <w:r>
        <w:t>a) The finding of often limited market power of private label product suppliers</w:t>
      </w:r>
    </w:p>
    <w:p>
      <w:r>
        <w:t>The contractual characteristics limiting the market power of suppliers</w:t>
      </w:r>
    </w:p>
    <w:p>
      <w:r>
        <w:t>83. By limiting substitutability between national brands, the brand image associated with the marketing of national brands contributes to increasing the market power of the supplier. In contrast, private labels meet a generic need, which can be satisfied by multiple interchangeable products, thereby contributing to reducing the market power that manufacturers of private label products benefit from.</w:t>
      </w:r>
    </w:p>
    <w:p>
      <w:r>
        <w:t>84. Furthermore, unlike manufacturers of national brands, suppliers do not control the marketing conditions of the private label references purchased by the distributor, as illustrated by the fact that in a significant number of cases54, the same private label reference can be produced by several different suppliers. This point will not change with the implementation of the cooperation agreements, in the absence of exclusive supply arrangements benefiting the selected supplier55.</w:t>
      </w:r>
    </w:p>
    <w:p>
      <w:r>
        <w:t>85. Moreover, the markets for supplying private label products are often awarded following tender procedures56, leading to commercial relationships of limited duration, rarely exceeding one year57. While the parties have indicated that they would significantly develop multi-year contracts within the framework of the cooperation agreements, it should be noted, on the one hand, that this statement of intent does not translate into specific objectives and, on the other hand, that extending the duration of the contractual commitment with suppliers, when the tender is conducted through the common purchasing center, will not necessarily have a significant impact on the supplier's market power, as the purchase price could be renegotiated during the contract58, or in the absence of volume commitments. On this latter point, the proportion of private label supply contracts with firm volume commitments remains marginal59, as the categories of products concerned do not lend themselves well to this, according to some distributors. Finally, in the international agreement, it even seems possible for one of the distributors to terminate the contract without automatically affecting the price that the other distributor will continue to pay, even though this price was negotiated based on the cumulative volumes of both distributors60.</w:t>
      </w:r>
    </w:p>
    <w:p>
      <w:r>
        <w:t>86. Therefore, the analysis of the contractual mechanisms present in the case at hand, including the developments presented as likely to benefit suppliers, seems to confirm that suppliers, as a whole, do not enjoy significant market power vis-à-vis their distributor clients.</w:t>
      </w:r>
    </w:p>
    <w:p>
      <w:r>
        <w:t>The economic characteristics limiting the market power of suppliers</w:t>
      </w:r>
    </w:p>
    <w:p>
      <w:r>
        <w:t>87. In addition to the contractual characteristics limiting the market power of private label product suppliers, there are economic elements.</w:t>
      </w:r>
    </w:p>
    <w:p>
      <w:r>
        <w:t>88. Firstly, the sector has been marked, until recently, by a general and significant decline in sales over several years, as illustrated by the following graph:</w:t>
      </w:r>
    </w:p>
    <w:p>
      <w:r>
        <w:t>Market share of private label brands in GSA in France.</w:t>
      </w:r>
    </w:p>
    <w:p>
      <w:r>
        <w:rPr>
          <w:b/>
        </w:rPr>
        <w:t>[Pages 25–27]</w:t>
      </w:r>
    </w:p>
    <w:p>
      <w:r>
        <w:t>Source: Xerfi, "Large Food Retailers," September 2019, page 31.</w:t>
      </w:r>
    </w:p>
    <w:p>
      <w:r>
        <w:t>89. This decline is primarily due to the decrease in market shares of standard private label products and entry-level products, which are precisely those mainly targeted by the cooperation agreements in purchasing. This decrease has been further reinforced by the convergence of prices between private label products and national brand products, which may have contributed to economically weakening a significant number of private label suppliers.</w:t>
      </w:r>
    </w:p>
    <w:p>
      <w:r>
        <w:t>90. Secondly, the decline in sales of private label products could be exacerbated by the implementation of the national brand product aspect of the cooperation agreements. Indeed, the cooperation agreements in purchasing concerning national brand products aim to lower the purchase price of these products and should have the effect of passing on a significant part of this reduction to consumers. The decrease in prices of national brand products may thus result in further convergence of the prices of national brand products with those of private label products, which would reduce the price advantage that the latter traditionally enjoy. Depending on its magnitude, this phenomenon could reduce the attractiveness of private label products, which would likely exacerbate the volume declines observed in the past for these products. This effect is considered probable by many suppliers, and several empirical elements related to the retrospective analysis of past alliances seem to corroborate it. Information provided by the parties on the effects of past purchasing agreements indeed demonstrates that the market share of national brand products has increased at the expense of private label products, and that purchases of private label products grew less between 2012 and 2016 than purchases of national brand products, regardless of whether national brand products were purchased through a purchasing alliance or not. Given the scope of the national brand cooperation agreement, the same products may be involved in the purchasing agreements, both for the national brand and private label aspects. As has been observed in the past, it is therefore likely that, all else being equal, this will contribute to diminishing the share of private label products in total sales.</w:t>
      </w:r>
    </w:p>
    <w:p>
      <w:r>
        <w:t>91. Thirdly, the typology of suppliers potentially affected by the implementation of the private label cooperation agreements is very different from that concerned by the national brand cooperation agreements, which predominantly apply to large, highly diversified multinational corporations. The private label agreements are likely to affect a significant number of smaller companies, such as SMEs and micro-enterprises, whose share in the supply of private label products is significant at the national level (representing 77% of the references on shelves and 72% of sales in value), but also for the parties themselves (companies with fewer than 250 employees represent more than 50% of the suppliers of private label products within the current scope of the cooperation agreements, and they provide more than 25% of the parties' volume needs).</w:t>
      </w:r>
    </w:p>
    <w:p>
      <w:r>
        <w:t>92. Fourthly, the pressure on prices in the upstream market for the supply of private label products is expected to increase due to the strategic stakes these products represent for distributors. It is indeed very important for them, in terms of building their brand identity and customer loyalty, to have these products in their assortment and for their ranges to be attractive and low-cost. The enhancement of the attractiveness of private label products could lead to a moderation of the overall volume declines observed in recent years, but this must be approached with caution due to the heterogeneities (notably depending on the range positioning) that can be observed in the market, particularly between basic private label products and premium or specific positioned private label products, such as organic products. In any case, if the decline in retail prices of private label products were to persist over time, it would confirm that the pressure exerted by distributors to lower purchase prices, far from easing, will be even greater in the future, given the strategic interest of these products for distributors. By further degrading a profitability that is already very low for certain categories, distributors will thus make the sale of these products even less attractive for suppliers.</w:t>
      </w:r>
    </w:p>
    <w:p>
      <w:r>
        <w:t>93. Finally, the low market power of private label suppliers can be illustrated by the fact that the sector is often characterized by limited profitability. Even though this may depend on product categories, and be less the case for private label ranges positioned in higher-end or more profitable niches (organic or premium private labels), many suppliers interviewed during the investigation highlighted the limited profitability of their sales to large retailers (suppliers active in the sectors of pasta, canned vegetables, cooking oils, dietary products, hygiene products, dairy products, snacks, confectionery, pet food, and baking products). Several suppliers also indicated that marketing private label products primarily serves to cover their fixed costs (suppliers active in the sectors of perfumery, fruit juices, and charcuterie), and several of them even stated that they chose not to market this type of product, or decided to stop doing so, due to their too low level of profitability (suppliers active in the sectors of cleaning products, pasta, dairy products, dried vegetables, confectionery, coffee, and pet food).</w:t>
      </w:r>
    </w:p>
    <w:p>
      <w:r>
        <w:t>94. All these elements contribute to reducing the likelihood that suppliers can exercise a countervailing market power, allowing them to offset the increase in the bargaining power of distributors, as illustrated by the low margin levels of private label product suppliers. They also help demonstrate that cooperation agreements concerning private label products are set within an economic context that is rather unfavorable to suppliers.</w:t>
      </w:r>
    </w:p>
    <w:p>
      <w:r>
        <w:t>b) Analysis of the possible consequences of the implementation of cooperation agreements</w:t>
      </w:r>
    </w:p>
    <w:p>
      <w:r>
        <w:t>95. Even though it is a market characterized by limited profitability, the implementation of cooperation agreements is likely, depending on the supplier's exposure to the market in question, to significantly destabilize their activity. This destabilization may result from the sudden loss of volumes that suppliers could experience, the impact of which would be multiplied by the effect of the purchasing cooperation agreements. It may also result from price reductions that the supplier will grant to retain and/or gain market share, the impact of which could be even greater given that the economic context is already unfavorable, with recurring volume declines.</w:t>
      </w:r>
    </w:p>
    <w:p>
      <w:r>
        <w:t>96. By decreasing suppliers' margins, the agreements could also reduce their capacity to invest and innovate in the short and medium term, whether they are suppliers exclusively marketing private label products or more diversified suppliers. Beyond the incentive to invest, the implementation of the agreements is also likely to reduce suppliers' very incentive to remain in the market. This risk seems even greater as other distributors have also concurrently implemented other cooperation agreements concerning private label products, and during the investigation, several suppliers expressly indicated that their incentive to remain in or enter the private label supply market was low. The conclusion of purchasing agreements concerning private label products is thus likely, in the circumstances of this case, to reduce not only the supply of products available to consumers but also that available to other distributors not participating in the purchasing cooperation agreement. Such an effect would affect the diversity of supply in the upstream market for procurement, a crucial element for fully fostering competition among suppliers.</w:t>
      </w:r>
    </w:p>
    <w:p>
      <w:r>
        <w:rPr>
          <w:b/>
        </w:rPr>
        <w:t>[Pages 28–30]</w:t>
      </w:r>
    </w:p>
    <w:p>
      <w:r>
        <w:t>97. The effects of this destabilization of the market for private label products will be all the more significant as the upstream market for the supply of the private label products covered by the cooperation agreements is composed, to a significant extent, of small-sized companies, notably micro and small enterprises (see paragraph 91), and that the new purchasing alliance will represent a significant share of total outlets for certain suppliers.</w:t>
      </w:r>
    </w:p>
    <w:p>
      <w:r>
        <w:t>98. However, unlike larger and more diversified groups, these players are less likely to withstand a deterioration in the conditions of their economic activity and are at risk of being negatively impacted by these cooperation agreements, whether through price reductions they will have to concede or through volume losses they are likely to suffer.</w:t>
      </w:r>
    </w:p>
    <w:p>
      <w:r>
        <w:t>99. At the same time, small and medium-sized enterprises (SMEs) and micro enterprises contribute significantly and increasingly to the growth of distributors across all segments, including sales of private label products. Far from limiting their role to mere participation in tenders that would be unilaterally defined by distributors, private label suppliers, including those companies potentially most affected by the cooperation agreements, such as micro and small enterprises, play a proactive role in product innovation. For example, LAITA, a cooperative producing dairy products, stated in the specialized press that "private label is at the heart of the business, as it represents 50% of the cooperative's FMCG activity, or 100,000 tons of products and 350 million euros in revenue. The cooperative has thus set up dedicated teams for private label to offer more thoughtful innovations to distributors and co-created products. In this context, Laïta has designed more premium products with high added value. Furthermore, three years ago, it established dedicated category management teams for its private label and is a pioneer in offering retailers specific merchandising plans for private label." This supplier indicates that it "responds to requests from distributors but is also a source of proposals for new products, recipes, eco-designed packaging, and relationships with the agricultural world."</w:t>
      </w:r>
    </w:p>
    <w:p>
      <w:r>
        <w:t>100. Even though it is the distributor who ultimately decides on the specifications of private label products, the processes for developing these products are more complex and far from unilateral: the supplier often plays an important role, as illustrated by the example above, being a source of proposals and a driver of creation to suggest new products, whether they involve new formulations or new packaging. This is further illustrated by the fact that the negotiation stages may, for example, involve a prior selection panel on the product before the actual launch of the tender.</w:t>
      </w:r>
    </w:p>
    <w:p>
      <w:r>
        <w:t>101. Consequently, the reduction in the number of suppliers in the upstream market for the supply of private label products or the decrease in their incentives to invest in proposing innovations resulting from the implementation of the purchasing cooperation agreements is likely to directly impact the quality of the supply that consumers will benefit from, and thus potentially diminish their well-being.</w:t>
      </w:r>
    </w:p>
    <w:p>
      <w:r>
        <w:t>2. COMPETITION HARM THAT MAY BE CONSTITUTED IN THE DOWNSTREAM MARKET</w:t>
      </w:r>
    </w:p>
    <w:p>
      <w:r>
        <w:t>102. The cooperation agreements subject to this procedure are likely to limit the competition that the parties to the agreement engage in on the retail market for food distribution. Indeed, they will allow these distributors to jointly select and negotiate, and thus market, private label products with identical characteristics, thereby limiting the variety of the assortment offered. However, the variety of the assortment offered is a determining factor in the differentiation between brands for these products: its alteration is likely to reduce the existing competition among distributors.</w:t>
      </w:r>
    </w:p>
    <w:p>
      <w:r>
        <w:t>a) The offer of private label products in the retail market contributes to the stimulation of competition</w:t>
      </w:r>
    </w:p>
    <w:p>
      <w:r>
        <w:t>103. Associated with the brand that markets them, private label products allow distributors "to differentiate themselves, but also to convey the values of the brand, to retain customers, and to offer an accessible range," thus constituting an important vector of differentiation. The importance of these products is also illustrated in franchise contracts that often include, at the franchisee's expense, an obligation for exclusive supply of private label products from the franchisor, and in brand contracts that value these products as an integral part of the specific know-how of the franchisor. It is also illustrated by the parties' own choice to limit their cooperation to what they consider to be the most "basic" products in order not to alter the degree of differentiation of their assortments.</w:t>
      </w:r>
    </w:p>
    <w:p>
      <w:r>
        <w:t>104. The identification of private label products as a competitive advantage for large retail brands has also been highlighted by economic studies, given that these products can play an important role in competition between brands. Indeed, it is very rare for large retail brands to enter into exclusivity agreements with producers of MDF products. Therefore, private label products constitute an important vector of differentiation, for example, by allowing non-price competition related to the quality of private label products. The existence of differentiation between two competing brands due to a difference in their respective private label products is also among the criteria regularly taken into account by the Authority in its competitive analyses when it has ruled on mergers in the field of food distribution or retail.</w:t>
      </w:r>
    </w:p>
    <w:p>
      <w:r>
        <w:t>b) Cooperation not limited to basic products</w:t>
      </w:r>
    </w:p>
    <w:p>
      <w:r>
        <w:t>105. The Parties emphasize that the products covered by the cooperation agreements will only be basic products, which could mitigate the risks in the downstream market. However, the "basic" nature of certain categories is not always explicit given their intrinsic characteristics. On the contrary, some products, although presented as "basic" due to their formulation (pâté, sausage, foie gras for example), could be considered differentiating by consumers due to their innovative nature or the promises they convey. Beyond their intrinsic characteristics, differentiation between products can also result from their commercial positioning, for example, their "Organic," "Premium," or "Regional" nature.</w:t>
      </w:r>
    </w:p>
    <w:p>
      <w:r>
        <w:t>106. Ultimately, it follows from the above elements that it cannot be considered that the cooperation agreement only concerns basic products. Part of the agreement also pertains to products that can play a significant role in the level of differentiation, and thus competition, prevailing among competing distributors.</w:t>
      </w:r>
    </w:p>
    <w:p>
      <w:r>
        <w:t>c) Other factors likely to reinforce the strategic nature of private label products</w:t>
      </w:r>
    </w:p>
    <w:p>
      <w:r>
        <w:t>107. The impact of limiting competition on the products falling within the scope of the purchasing cooperation agreements will be all the more significant as the products in question represent a strong growth driver. In this case, it emerges from both the elements submitted to the file and the statements of the Parties themselves that the sale of "Organic" or "Premium" private label products is on the rise. Consequently, the attenuation of competition between brands will be all the more significant as it will concern products with significant growth potential.</w:t>
      </w:r>
    </w:p>
    <w:p>
      <w:r>
        <w:t>108. Beyond the upgrading sought by distributors for private label products due to their growth potential, private label products should, like MDF products, undergo formulation changes in the coming years to adapt to demand, for example, due to the impact of the development of applications favored by consumers, such as Yuka, or the nutri-score. Therefore, in the perspective of reformulating part of the assortment of private label products, the fact that distributors exchange information on the characteristics of the products they wish to purchase jointly, and ultimately disseminate common calls for tenders for their supply, is likely to reduce the competition that could have existed between them.</w:t>
      </w:r>
    </w:p>
    <w:p>
      <w:r>
        <w:rPr>
          <w:b/>
        </w:rPr>
        <w:t>[Pages 31–33]</w:t>
      </w:r>
    </w:p>
    <w:p>
      <w:r>
        <w:t>109. The analysis of the market power of distributors must also take into account other characteristics of the markets in question, such as, in particular, the barriers to entry for new competitors or the degree of concentration downstream.</w:t>
      </w:r>
    </w:p>
    <w:p>
      <w:r>
        <w:t>110. As the Authority pointed out in its opinion No. 10-A-2684, the distribution market is characterized by significant barriers to entry. These primarily result from the persistent difficulties that hinder the establishment of new points of sale, whether due to the regulations surrounding the operation of food retail85, or the difficulties related to the acquisition of commercial land. These barriers can be reinforced by the impermeability of the various distribution networks, with mobility between different brands being very limited86. In this context, the Authority has observed a high degree of concentration in a significant portion of the catchment areas87.</w:t>
      </w:r>
    </w:p>
    <w:p>
      <w:r>
        <w:t>d) Conclusion</w:t>
      </w:r>
    </w:p>
    <w:p>
      <w:r>
        <w:t>111. It follows from these various findings that the private label products likely to be affected by the cooperation agreements potentially include products that cannot be considered basic, and some of which constitute real growth levers for each brand and thus differentiation from their competitors. The strategic nature of these private label products may even be strengthened in the future, particularly due to the implementation of cooperation agreements for the procurement of MDF products, or recent changes in consumption habits.</w:t>
      </w:r>
    </w:p>
    <w:p>
      <w:r>
        <w:t>112. By leading to a partial homogenization of the products that will be marketed by each of the distributors, in the context of an already relatively concentrated market, the agreements are likely to lead to a decrease in the level of competition between the Parties downstream compared to the situation prevailing before the implementation of the agreements.</w:t>
      </w:r>
    </w:p>
    <w:p>
      <w:r>
        <w:t>3. GENERAL CONCLUSION</w:t>
      </w:r>
    </w:p>
    <w:p>
      <w:r>
        <w:t>113. Ultimately, the cooperation agreements examined in this case are likely to negatively impact both the upstream supply market and the downstream retail distribution market. Upstream, the implementation of these agreements is indeed likely to reduce the capacity or more broadly the incentive of suppliers to innovate, while downstream, by homogenizing part of the differentiating offer of distributors, the agreements are likely to reduce the level of competition between them. Their implementation is consequently likely to directly impact the quality of the offer that consumers are likely to benefit from, and thus potentially diminish their well-being.</w:t>
      </w:r>
    </w:p>
    <w:p>
      <w:r>
        <w:t>III. The Commitments</w:t>
      </w:r>
    </w:p>
    <w:p>
      <w:r>
        <w:t>A. THE COMMITMENTS PROPOSED BY THE PARTIES ON JUNE 2, 2020</w:t>
      </w:r>
    </w:p>
    <w:p>
      <w:r>
        <w:t>114. Following the sending of the aforementioned note, established by the investigation services and proposing the adoption of precautionary measures, the Parties submitted a proposal for commitments to the Authority. The commitments are undertaken by the purchasing center Horizon AO as well as by Auchan Retail International, Casino, Guichard-Perrachon, Metro France, and Anciens Ets Georges Schiever et Fils. Since Metro France and Schiever are not parties to the MDD-NM International agreement, the commitments concerning this agreement are solely undertaken by the Auchan and Casino groups.</w:t>
      </w:r>
    </w:p>
    <w:p>
      <w:r>
        <w:t>115. The commitments submitted by the parties aim to address the competition concerns identified by the investigation services and detailed above. They result in reducing the scope of the purchasing alliance on private label products between Auchan, Casino, Metro, and Schiever. Among the 46 categories of private label products subject to the cooperation agreement, some are subject to a commitment to exclude cooperation (1), others are subject to a commitment to limit purchases made within the framework of the cooperation (2). Finally, the parties remain free to cooperate for a substantial part of these product categories (3). The commitments also provide for a monitoring and control mechanism for the application of the commitments by a representative.</w:t>
      </w:r>
    </w:p>
    <w:p>
      <w:r>
        <w:t>116. In order to bring the cooperation agreements into compliance with the commitments presented below, the parties commit, in Article 7.1 of their commitments, to conclude an amendment to the MDD-NM agreement, and the Auchan and Casino groups commit to conclude an amendment to the MDD-NM International agreement, within 20 working days from the date of the decision. These amendments will modify the relevant clauses and thus allow the MDD-NM agreement and the MDD-NM International agreement to comply with the commitments undertaken.</w:t>
      </w:r>
    </w:p>
    <w:p>
      <w:r>
        <w:t>117. The commitments apply to all tenders conducted jointly by the parties or on their behalf, by Horizon AO or any other structure with the same purpose, within the framework of the MDD-NM or MDD-NM International agreement or any other cooperation agreement with the same purpose, concluded on or after the date of the decision, during the duration of the commitments (Article 7.2).</w:t>
      </w:r>
    </w:p>
    <w:p>
      <w:r>
        <w:t>118. The parties indicate that the commitments do not affect the supply contracts negotiated jointly that are ongoing as of the date of the decision. They specify, in Article 7.3, that the commitments apply only in the event of renewal or extension after the date of the decision.</w:t>
      </w:r>
    </w:p>
    <w:p>
      <w:r>
        <w:t>1. THE COMMITMENT TO EXCLUDE CERTAIN CATEGORIES OF PRODUCTS (ARTICLE 3) OR SUB-CATEGORIES OF PRODUCTS (ARTICLE 4) FROM THE SCOPE OF THE AGREEMENT</w:t>
      </w:r>
    </w:p>
    <w:p>
      <w:r>
        <w:t>a) Certain categories of products are excluded from the agreement for the purchase of private label products, except for 3 categories: consumer milk, fresh milk, and eggs, within the framework of strictly capped "sector" contracts.</w:t>
      </w:r>
    </w:p>
    <w:p>
      <w:r>
        <w:t>119. In Article 3.1, the parties commit to cease cooperating and to negotiate independently their respective supply conditions for five categories of products considered "sensitive." The categories of products listed below are thus subject to a commitment to exclude from the scope of cooperation for the purchase of private label products:</w:t>
      </w:r>
    </w:p>
    <w:p>
      <w:r>
        <w:t>- 525 Consumer milk (long shelf life and presentation outside of fresh sections);</w:t>
        <w:br/>
        <w:t>- 559 Fresh milk (shelf life in the fresh section for about ten days);</w:t>
        <w:br/>
        <w:t>- 529 Eggs;</w:t>
        <w:br/>
        <w:t>- 594 Cooked deli meats LS (in self-service);</w:t>
        <w:br/>
        <w:t>- 595 Culinary aids deli meats LS (in self-service).</w:t>
      </w:r>
    </w:p>
    <w:p>
      <w:r>
        <w:t>120. However, in Article 3.2, by way of exception to this exclusion, the parties provide for continuing to purchase together up to 5% of the market volume for the following categories: 525 Consumer milk, 559 Fresh milk, and 529 Eggs, through "sector" contracts.</w:t>
      </w:r>
    </w:p>
    <w:p>
      <w:r>
        <w:t>121. Under this exception, within the framework of these "sector" contracts, the total combined purchase volume, expressed in consumer sales units (hereinafter "UVC"), of the Auchan and Casino groups made in year n across the entire category of private label products concerned, may reach a maximum of 5% of the total sales volume made in calendar year n-1, in the category of products concerned, by all distributors active in the French retail market predominantly focused on food, this volume being measured by an independent panelist.</w:t>
      </w:r>
    </w:p>
    <w:p>
      <w:r>
        <w:t>b) Certain sub-categories of products, potentially differentiating for the distributors, are excluded from the agreement.</w:t>
      </w:r>
    </w:p>
    <w:p>
      <w:r>
        <w:t>122. In Article 4, to address the risks identified in the downstream markets, the parties propose to exclude from their cooperation agreement 27 sub-categories of products, among the 300 sub-categories that are the subject of the cooperation agreement88. These sub-categories listed below have indeed been identified as likely to include potentially differentiating products:</w:t>
      </w:r>
    </w:p>
    <w:p>
      <w:r>
        <w:t>- within category 104 Chips, sub-category 10411 Other Chips;</w:t>
        <w:br/>
        <w:t>- within category 139 Vinegars and Dressings, sub-category 13905 Dressings/Raw Vegetable Sauces;</w:t>
        <w:br/>
        <w:t>- within category 149 Canned Fish, the sub-categories:</w:t>
        <w:br/>
        <w:t xml:space="preserve">  o 14907 Occasional and festive;</w:t>
        <w:br/>
        <w:t xml:space="preserve">  o 14908 Spreadable canned;</w:t>
        <w:br/>
        <w:t xml:space="preserve">  o 14921 Canned fish salads;</w:t>
        <w:br/>
        <w:t>- within category 151 Canned Meat, the sub-categories:</w:t>
        <w:br/>
        <w:t xml:space="preserve">  o 15103 Pâtés;</w:t>
        <w:br/>
        <w:t xml:space="preserve">  o 15105 Rillettes;</w:t>
      </w:r>
    </w:p>
    <w:p>
      <w:r>
        <w:t>88 The 46 categories of private label products subject to the agreement are subdivided into 300 sub-categories of products.</w:t>
      </w:r>
    </w:p>
    <w:p>
      <w:r>
        <w:rPr>
          <w:b/>
        </w:rPr>
        <w:t>[Pages 34–36]</w:t>
      </w:r>
    </w:p>
    <w:p>
      <w:r>
        <w:t>o 15107 Foie confit;</w:t>
        <w:br/>
        <w:t>o 15109 Sausages;</w:t>
        <w:br/>
        <w:t>o 15111 Foie gras and derivatives;</w:t>
        <w:br/>
        <w:t>o 15113 Multi-product gift boxes (boxes containing various types of preserves such as foie gras, terrine, and onion confit);</w:t>
        <w:br/>
        <w:t>o 15118 Organic products;</w:t>
        <w:br/>
        <w:t>o 15120 Premium;</w:t>
        <w:br/>
        <w:t>o 15122 Meat salads;</w:t>
        <w:br/>
        <w:t>- within the category 521 Frozen fish, the sub-category 52110 Breaded fish;</w:t>
        <w:br/>
        <w:t>- within the category 555 Frozen meats &amp; poultry, the sub-categories:</w:t>
        <w:br/>
        <w:t>o 55505 Breaded/fried meat/poultry;</w:t>
        <w:br/>
        <w:t>o 55550 Frozen Halal meat/poultry;</w:t>
        <w:br/>
        <w:t>o 55566 Frozen burgers;</w:t>
        <w:br/>
        <w:t>- within the category 213 Modern alcohols, the sub-categories:</w:t>
        <w:br/>
        <w:t>o 21310 Premix (drinks that mix alcohol and sugar);</w:t>
        <w:br/>
        <w:t>o 21311 Punches &amp; Cocktails;</w:t>
        <w:br/>
        <w:t>o 21313 Cocktail bases;</w:t>
        <w:br/>
        <w:t>o 21315 Non-alcoholic aperitifs;</w:t>
        <w:br/>
        <w:t>- within the category 277 Aperitifs and digestifs, the sub-categories:</w:t>
        <w:br/>
        <w:t>o 27709 Liqueur wines;</w:t>
        <w:br/>
        <w:t>o 27711 Guignolets (cherry-based liqueur);</w:t>
        <w:br/>
        <w:t>o 27715 Fruit brandy/wine;</w:t>
        <w:br/>
        <w:t>o 27719 Cider/fruit brandies;</w:t>
        <w:br/>
        <w:t>o 27721 Fruit liqueurs brandy.</w:t>
      </w:r>
    </w:p>
    <w:p>
      <w:r>
        <w:t>2. THE COMMITMENT TO LIMIT COOPERATION TO 15% OF MARKET VOLUME (ARTICLE 5)</w:t>
      </w:r>
    </w:p>
    <w:p>
      <w:r>
        <w:t>123. Twelve product categories have been identified by the distributors as meeting the dual criterion of exceeding the safety threshold set at 15% by the European Commission's guidelines on horizontal cooperation agreements, and of particular sensitivity upstream. The sensitivity upstream is characterized by the sector's sensitivity to an increase in the market share of distributors. It has been analyzed by the parties in light of the criteria derived from the aforementioned guidelines, namely market concentration, any countervailing power on the part of suppliers, and the Authority's Opinion No. 15-A-06, referring in particular to the existence of alternative outlets that suppliers could resort to in case of failure in their negotiations. A lack of countervailing power from suppliers or alternative outlets characterizes a more sensitive upstream market. Following this analysis of the various criteria, the following product categories have been identified and are subject to the commitment:</w:t>
        <w:br/>
        <w:t>- 637 Household Brushes;</w:t>
        <w:br/>
        <w:t>- 641 Cotton;</w:t>
        <w:br/>
        <w:t>- 657 Household items;</w:t>
        <w:br/>
        <w:t>- 101 Toasts &amp; Similar (excluding the sub-category 10101 Toasts);</w:t>
        <w:br/>
        <w:t>- 123 Potatoes;</w:t>
        <w:br/>
        <w:t>- 121 Flours and Cooking Aids;</w:t>
        <w:br/>
        <w:t>- 141 Sugars;</w:t>
        <w:br/>
        <w:t>- 151 Meat preserves;</w:t>
        <w:br/>
        <w:t>- 147 Vegetable preserves;</w:t>
        <w:br/>
        <w:t>- 149 Fish preserves;</w:t>
        <w:br/>
        <w:t>- 119 Industrial milks;</w:t>
        <w:br/>
        <w:t>- 204 Syrups and Concentrates.</w:t>
      </w:r>
    </w:p>
    <w:p>
      <w:r>
        <w:t>124. The parties commit, as a precaution, for these product categories, that their joint purchases do not exceed 15% of the market volume in the relevant product family.</w:t>
      </w:r>
    </w:p>
    <w:p>
      <w:r>
        <w:t>125. The cap at 15% will be measured in purchase volume, expressed in consumer sales units (or packaged sales units, which corresponds to the product as sold to the consumer (by unit, by pack, etc.). The total volume of combined purchases by the Auchan and Casino groups made in calendar year n across the entire relevant private label product category, under any new supply contract negotiated jointly and any ongoing supply contract negotiated jointly, will reach a maximum of 15% of the total sales volume achieved in calendar year n-1, in the relevant private label product category, by all distributors active in the French retail market predominantly focused on food (measured by the IRI institute or by another independent panelist approved by the Authority).</w:t>
      </w:r>
    </w:p>
    <w:p>
      <w:r>
        <w:t>3. PRODUCT CATEGORIES FOR WHICH THE PARTIES WILL REMAIN FREE TO COOPERATE (ARTICLE 6)</w:t>
      </w:r>
    </w:p>
    <w:p>
      <w:r>
        <w:t>126. The parties will remain free to jointly purchase for private label product categories that do not present too strong a sensitivity in the upstream market. These families are listed in Articles 6.2 and 6.4 of the commitments.</w:t>
      </w:r>
    </w:p>
    <w:p>
      <w:r>
        <w:t>127. Article 6.2 mentions the eleven product categories for which the Auchan groups (and its partner Schiever) and Casino together represent a market share of less than or equal to the safety threshold set at 15% by the guidelines:</w:t>
        <w:br/>
        <w:t>- 800 Pet supplies;</w:t>
        <w:br/>
        <w:t>- 159 Wet dog food (cans);</w:t>
        <w:br/>
        <w:t>- 171 Dry dog food (kibble);</w:t>
        <w:br/>
        <w:t>- 107 Chicory coffees;</w:t>
        <w:br/>
        <w:t>- 133 Spices, Peppers, Salts;</w:t>
        <w:br/>
        <w:t>- 503 Dried fruits;</w:t>
        <w:br/>
        <w:t>- 205 Waters;</w:t>
        <w:br/>
        <w:t>- 206 Ciders;</w:t>
        <w:br/>
        <w:t>- 214 Whiskies;</w:t>
        <w:br/>
        <w:t>- 216 Wine without geographical indication;</w:t>
        <w:br/>
        <w:t>- 277 Aperitifs and Digestifs.</w:t>
      </w:r>
    </w:p>
    <w:p>
      <w:r>
        <w:t>128. Article 6.4 identifies 18 product categories and one sub-category for which the combined market share of Auchan (and Schiever) and Casino exceeds the 15% threshold, and which have been individually examined in light of the criteria derived from the European Commission's guidelines on horizontal cooperation agreements and the Authority's decision-making practice, notably Opinion No. 15-A-06. The product categories listed below are those whose respective upstream markets are characterized by significant countervailing power from suppliers and numerous alternative outlets available to them. The parties will therefore remain free to cooperate for:</w:t>
        <w:br/>
        <w:t>- 639/640 Papers;</w:t>
        <w:br/>
        <w:t>- 642 Tissues;</w:t>
        <w:br/>
        <w:t>- 650 Sponges and Similar;</w:t>
        <w:br/>
        <w:t>- 391 Cat litters;</w:t>
        <w:br/>
        <w:t>- 111 Tea – Infusions;</w:t>
        <w:br/>
        <w:t>- 10101 Toasts, excluding other sub-categories of category 101 Toasts &amp; Similar, which will be subject to a commitment to limit cooperation;</w:t>
        <w:br/>
        <w:t>- 104 Chips;</w:t>
        <w:br/>
        <w:t>- 125 Pasta;</w:t>
        <w:br/>
        <w:t>- 127 Dried vegetables-Rice-Cereals;</w:t>
        <w:br/>
        <w:t>- 137 Oils;</w:t>
        <w:br/>
        <w:t>- 139 Vinegars and Vinaigrettes;</w:t>
        <w:br/>
        <w:t>- 628 Fresh compotes;</w:t>
        <w:br/>
        <w:t>- 201 Lemonades Sodas Extracts;</w:t>
        <w:br/>
        <w:t>- 202 Fruit juices;</w:t>
        <w:br/>
        <w:t>- 213 Modern alcohols;</w:t>
        <w:br/>
        <w:t>- 521 Frozen fish;</w:t>
        <w:br/>
        <w:t>- 547 Frozen shellfish and mollusks;</w:t>
        <w:br/>
        <w:t>- 555 Frozen meats &amp; poultry;</w:t>
        <w:br/>
        <w:t>- 546 Frozen potatoes.</w:t>
      </w:r>
    </w:p>
    <w:p>
      <w:r>
        <w:t>4. MONITORING AND DURATION OF COMMITMENTS</w:t>
      </w:r>
    </w:p>
    <w:p>
      <w:r>
        <w:t>a) Monitoring and verification of commitments (Article 8)</w:t>
      </w:r>
    </w:p>
    <w:p>
      <w:r>
        <w:t>129. The amendments concluded by the parties to bring the MDD-NM and MDD-NM International agreements into compliance with the commitments undertaken will be communicated to the Authority within twenty-five working days from the date of the decision (Article 8.1).</w:t>
      </w:r>
    </w:p>
    <w:p>
      <w:r>
        <w:t>130. The commitments provide for the modalities for appointing an independent representative of the parties, who will ensure the monitoring and verification of compliance with the commitments by the distributors (Article 8.2).</w:t>
      </w:r>
    </w:p>
    <w:p>
      <w:r>
        <w:t>131. The procedure for appointing the representative is provided for in Article 8.3 of the commitments. The parties must first submit for the Authority's approval the names of at least three individuals or entities that could be appointed as the representative, within one month from the date of the decision. If only one candidate is approved, they will become the representative. If multiple candidates are approved, the parties may choose from the approved candidates. In the event of the Authority's refusal to approve all three candidates, the parties will propose at least one new candidate to the Authority, which, if it refuses, will propose a representative itself, after consulting with the parties. The representative will be appointed within two weeks following the notification of the Authority's approval.</w:t>
      </w:r>
    </w:p>
    <w:p>
      <w:r>
        <w:t>132. Each candidate proposal must include the full text of the draft mandate, including all provisions enabling the representative to perform their functions and the representative's work plan describing how they intend to carry out their mission.</w:t>
      </w:r>
    </w:p>
    <w:p>
      <w:r>
        <w:rPr>
          <w:b/>
        </w:rPr>
        <w:t>[Pages 37–39]</w:t>
      </w:r>
    </w:p>
    <w:p>
      <w:r>
        <w:t>The Authority has discretionary power for the approval of the proposed mandates and may prescribe any modifications it deems necessary for the fulfillment of the obligations of the mandatary.</w:t>
      </w:r>
    </w:p>
    <w:p>
      <w:r>
        <w:t>133. The mandatary will be tasked with reporting to the Authority on the implementation of all commitments undertaken by the parties within the framework of their cooperation agreement regarding the purchase of private label products. The mandatary will develop a work plan specifying how he intends to monitor and verify compliance with these commitments, within one month from the date of the decision. The mandatary will communicate annually to the Authority, before June 30, a report on the execution of the commitments. The first report must be communicated in the year following the date of the decision and the last within two months from the expiration date of the commitments. In addition to this annual report, the mandatary will prepare a report for the Authority whenever circumstances warrant it.</w:t>
      </w:r>
    </w:p>
    <w:p>
      <w:r>
        <w:t>134. To prepare his reports, the mandatary will receive the following information: a summary table of all categories of private label products covered by the agreement, the list of joint tenders, a copy of the "sector" contracts conducted jointly, the value and volume of private label product purchases made in year n-1 respectively by the Auchan group (on its own behalf and on behalf of Schiever) and by the Casino group in each category of products mentioned in Articles 3.2 and 4, and the total value and volume of private label product sales made in year n-1, in each category of products mentioned in Articles 3.2 and 4, by all distributors active in the French retail market predominantly focused on food. He may request from the parties any information related to the implementation of the commitments (Article 8.4).</w:t>
      </w:r>
    </w:p>
    <w:p>
      <w:r>
        <w:t>b) The duration and revision of the commitments (Article 9)</w:t>
      </w:r>
    </w:p>
    <w:p>
      <w:r>
        <w:t>135. The parties commit that the commitments will take effect from the date of the decision and for a duration of five years. However, if the private label agreements NM and NM International are terminated before the five-year period, the commitments will end upon termination (Article 9.1).</w:t>
      </w:r>
    </w:p>
    <w:p>
      <w:r>
        <w:t>136. The parties provide that any category of private label products for which the combined market share of the Auchan and Casino groups falls below the threshold of 15% for a calendar year will be removed from the categories of private label products subject to the commitments for the following calendar year. In the event of a modification of the scope of the commitments and after notification and verification by the mandatary, the parties commit to concluding an amendment reflecting the modification of the scope of the agreements (Articles 9.2, 9.3, and 9.4).</w:t>
      </w:r>
    </w:p>
    <w:p>
      <w:r>
        <w:t>137. Finally, the parties emphasize that they will be entitled to request the revision or cessation of the commitments before their expiration if there is a change in the factual or legal circumstances applicable (Article 9.5).</w:t>
      </w:r>
    </w:p>
    <w:p>
      <w:r>
        <w:t>B. THE MARKET TEST</w:t>
      </w:r>
    </w:p>
    <w:p>
      <w:r>
        <w:t>138. In accordance with the third paragraph of Article R. 464-2 of the Commercial Code, a summary of the case and the commitments submitted by the Parties were published on June 25, 2020, to allow interested third parties to present their observations on the content of the proposed commitments.</w:t>
      </w:r>
    </w:p>
    <w:p>
      <w:r>
        <w:t>139. During this market test, the Authority collected observations from the National Association of Food Industries (hereinafter, the "ANIA"), the Agricultural Cooperation, and the companies Heineken and Lactalis.</w:t>
      </w:r>
    </w:p>
    <w:p>
      <w:r>
        <w:t>140. The various contributions mainly focus on the following themes: the relevance of resorting to the commitments procedure (1), the scope of the commitments (2), the opportunity to maintain "sector" contracts (3), and subsidiarily, on the scope and duration of the commitments (4).</w:t>
      </w:r>
    </w:p>
    <w:p>
      <w:r>
        <w:t>1. ON THE RELEVANCE OF RESORTING TO THE COMMITMENTS PROCEDURE</w:t>
      </w:r>
    </w:p>
    <w:p>
      <w:r>
        <w:t>141. Several contributions emphasize that the examination of the aspects related to the joint purchasing of MDF products and the pooling of international services should continue. They particularly highlight the persistence of unfair practices by distributors, as well as a deterioration in the margin levels of suppliers, which would not be specific to private label products.</w:t>
      </w:r>
    </w:p>
    <w:p>
      <w:r>
        <w:t>2. ON THE SCOPE OF THE COMMITMENTS</w:t>
      </w:r>
    </w:p>
    <w:p>
      <w:r>
        <w:t>142. The ANIA questions the criteria governing the exclusion or inclusion of a category of products from the scope of the commitments. The Agricultural Cooperation believes that the family 206 "Ciders," referred to in Article 6 of the commitments as part of the categories of products for which the Parties remain free to cooperate, should be excluded from the cooperation agreement for a duration of two or three years, "to ensure equal treatment with products from agricultural sectors 100% originating from France, such as milk." It justifies the necessity of this exclusion by the fact that the cider sector is very weakened due to the low apple harvest in 2018-2019 and the impact of the health and economic crisis (closure of CHR establishments (cafés-hotels-restaurants), cessation of tourism, and significant decline in sales in GMS during the confinement period).</w:t>
      </w:r>
    </w:p>
    <w:p>
      <w:r>
        <w:t>143. The ANIA believes that the list of differentiating subcategories of products should be able to be expanded, particularly to take into account changes in consumption habits.</w:t>
      </w:r>
    </w:p>
    <w:p>
      <w:r>
        <w:t>144. It also considers that all categories and subcategories of products for which the Parties hold a market share greater than 15% or would come to hold a market share greater than 15% should be excluded from the scope of the agreement.</w:t>
      </w:r>
    </w:p>
    <w:p>
      <w:r>
        <w:t>3. ON THE OPPORTUNITY TO MAINTAIN SO-CALLED SECTOR CONTRACTS</w:t>
      </w:r>
    </w:p>
    <w:p>
      <w:r>
        <w:t>145. The ANIA and Lactalis question Article 3.2 of the proposed commitments, relating to the possibility for distributors to conclude the "sector" contracts described above.</w:t>
      </w:r>
    </w:p>
    <w:p>
      <w:r>
        <w:t>146. They explain that the Parties represent about 10% of the total volume of private label milk sales, and that the exception provided for in Article 3.2 will allow them to reintegrate half of the total volume of their milk sales into the agreement, which would reduce the effect of the proposed exclusion of the families referred to in Article 3.1.</w:t>
      </w:r>
    </w:p>
    <w:p>
      <w:r>
        <w:t>147. To prevent the increase in the bargaining power of distributors and their strong position relative to the upstream sector, the ANIA particularly invites distributors to ensure that negotiations are conducted in a manner that respects the interests of the parties to the contract and provides for a balanced sharing of value.</w:t>
      </w:r>
    </w:p>
    <w:p>
      <w:r>
        <w:t>148. Lactalis suggests the removal of the exception related to the sectors, on the grounds that the main objective of distributors is "to group together to lower the purchase price [...] the Parties will have only one objective, through this exception, to lower the purchase prices of milk, which will necessarily weigh on both the industrialist and the breeders." It questions the stated objective of distributors to increase purchase volumes for the benefit of the upstream sector, emphasizing that the milk needs of distributors have not increased under the agreement compared to needs prior to its conclusion. It considers that through this exception, the Parties aim to ensure that the negotiation of milk supply contracts takes place within the framework of the alliance, to strengthen their power in negotiations against the upstream sector, which, according to it, would go against the objectives sought by the EGALIM law.</w:t>
      </w:r>
    </w:p>
    <w:p>
      <w:r>
        <w:t>4. ON THE SCOPE AND DURATION OF THE COMMITMENTS</w:t>
      </w:r>
    </w:p>
    <w:p>
      <w:r>
        <w:t>149. Several contributions raise the risk of exchanging commercially sensitive and strategic information within the alliance. To ensure the confidentiality of this information, they request a commitment from the Parties to establish separate teams and confidentiality agreements, and in one case, even request a strict organic separation between the teams negotiating the joint purchases of private label and MDF products.</w:t>
      </w:r>
    </w:p>
    <w:p>
      <w:r>
        <w:t>150. The ANIA considers that the absence of a challenge to ongoing contracts and the application of the commitments upon the renewal or extension of these contracts (Article 7.3) could allow distributors to circumvent the commitments, to the extent that these contracts may have been concluded for an indefinite duration or for a multi-year duration.</w:t>
      </w:r>
    </w:p>
    <w:p>
      <w:r>
        <w:t>151. Finally, regarding the possibility of revising the commitments (Article 9) by the distributors, the ANIA proposes that the Parties should only have the option to remove the category of products from the scope of Article 5 if their market share remains below 15% for three consecutive calendar years.</w:t>
      </w:r>
    </w:p>
    <w:p>
      <w:r>
        <w:t>C. THE COMMITMENTS PROPOSED BY THE PARTIES ON SEPTEMBER 8, 2020</w:t>
      </w:r>
    </w:p>
    <w:p>
      <w:r>
        <w:t>152. The elements provided by certain third parties following the market test led the parties to marginally modify their commitments.</w:t>
      </w:r>
    </w:p>
    <w:p>
      <w:r>
        <w:t>153. In a final version dated September 8, 2020, the parties thus decided in particular to extend the exclusion provided for in Article 3 to the product category 206 "Ciders," and to document the qualitative and/or quantitative efficiency gains produced by the sector agreements.</w:t>
      </w:r>
    </w:p>
    <w:p>
      <w:r>
        <w:rPr>
          <w:b/>
        </w:rPr>
        <w:t>[Pages 40–42]</w:t>
      </w:r>
    </w:p>
    <w:p>
      <w:r>
        <w:t>IV. Discussion</w:t>
      </w:r>
    </w:p>
    <w:p>
      <w:r>
        <w:t>A. ON THE IMPLEMENTATION OF THE COMMITMENT PROCEDURE</w:t>
      </w:r>
    </w:p>
    <w:p>
      <w:r>
        <w:t xml:space="preserve">154. The provisions of Article L. 462-10 of the Commercial Code allow the Authority to take precautionary measures as soon as a purchasing agreement is likely to lead to harm to competition:  </w:t>
        <w:br/>
        <w:t>« If harms to competition as mentioned in the third paragraph of this II or anticompetitive effects have been identified, the parties to the agreement undertake to take measures to remedy them within a timeframe set by the Competition Authority. […] III.- The Competition Authority may take precautionary measures according to the modalities and conditions provided in the last paragraph of Article L. 464-1 for any agreement mentioned in I of this article as soon as one of the harms to competition mentioned in II, which this agreement causes or is likely to cause immediately after its entry into force, presents a sufficient degree of seriousness. They may include an injunction to the parties to revert to the previous state or to request a modification of the said agreement » (emphasis added).</w:t>
      </w:r>
    </w:p>
    <w:p>
      <w:r>
        <w:t>155. This mechanism aims to neutralize the potentially harmful effects on competition of cooperation agreements between distributors, if it turns out that they present or are likely to lead to sufficiently significant competition risks.</w:t>
      </w:r>
    </w:p>
    <w:p>
      <w:r>
        <w:t>156. The precautionary measures procedure thus aims to address specific practices and emergency situations. The commitment procedure provided for by Article L. 464-2 of the Commercial Code allows the Authority to accept commitments proposed by companies when these are likely to address competition concerns.</w:t>
      </w:r>
    </w:p>
    <w:p>
      <w:r>
        <w:t>157. In the case at hand, the investigation conducted under the precautionary measures procedure of Article L. 462-10 of the Commercial Code revealed competition concerns (see above paragraphs 83 and following), which can be addressed through a commitment procedure.</w:t>
      </w:r>
    </w:p>
    <w:p>
      <w:r>
        <w:t>158. I of Article L. 464-2 of the Commercial Code indeed allows the Authority to « accept commitments proposed by companies or organizations that are likely to address its competition concerns that may constitute prohibited practices referred to in Articles L. 420-1 to L. 420-2-2 and L. 420-5 ».</w:t>
      </w:r>
    </w:p>
    <w:p>
      <w:r>
        <w:t>159. Furthermore, the Paris Court of Appeal, in its judgment of December 19, 2013, in the case of Cogent Communications France, noted that « the commitment procedure is one of the tools that allows a competition authority to carry out its mission to ensure the functioning of competition in the markets, this mission of defending the economic public order empowering said authority to make commitment decisions, not to satisfy the request of a complaining party but to put an end to situations that may be detrimental to competition ».</w:t>
      </w:r>
    </w:p>
    <w:p>
      <w:r>
        <w:t>160. It is thus up to the Authority, within the framework of this decision, to ensure that the commitments proposed by the Parties, following the note from the investigation services proposing precautionary measures, are necessary, proportionate, and sufficient to address the identified competitive risks.</w:t>
      </w:r>
    </w:p>
    <w:p>
      <w:r>
        <w:t>B. ON THE PROPORTIONAL AND SUFFICIENT NATURE OF THE COMMITMENTS TO ADDRESS COMPETITION CONCERNS</w:t>
      </w:r>
    </w:p>
    <w:p>
      <w:r>
        <w:t>161. The commitments relate to one aspect of the cooperation agreements, namely the joint purchasing of private label products. They therefore have no impact on the other aspect of the agreements concerning the joint purchasing of non-commercial products and services.</w:t>
      </w:r>
    </w:p>
    <w:p>
      <w:r>
        <w:t>162. Regarding the part related to the joint purchasing of private label products, the commitments are proportionate both to the weight of the cooperation in the upstream supply market and to the characteristics of the different categories of products covered by the agreement. They only affect a portion of the product categories concerned by the cooperation agreement, those that raise competition concerns, leaving distributors free to purchase jointly in other cases.</w:t>
      </w:r>
    </w:p>
    <w:p>
      <w:r>
        <w:t>163. For the record, the competitive risks highlighted by the investigation services in their note proposing the adoption of precautionary measures concerned, on the one hand, the upstream supply market and, on the other hand, the downstream retail distribution market predominantly focused on food.</w:t>
      </w:r>
    </w:p>
    <w:p>
      <w:r>
        <w:t>164. The final version of the parties' commitments allows for a reduction of both (a) the potentially negative effects on the upstream supply market and (b) those regarding the predominantly food retail market, thus addressing the identified competition concerns and the points raised in the market test.</w:t>
      </w:r>
    </w:p>
    <w:p>
      <w:r>
        <w:t>165. The commitments also present a credible and verifiable nature in that they will be monitored by a representative (c) and will be implemented for a duration aligned with that of the agreements, up to a maximum of 5 years (d).</w:t>
      </w:r>
    </w:p>
    <w:p>
      <w:r>
        <w:t>1. COMMITMENTS ALLOWING TO ADDRESS COMPETITION RISKS RELATING TO THE UPSTREAM SUPPLY MARKET</w:t>
      </w:r>
    </w:p>
    <w:p>
      <w:r>
        <w:t>166. Firstly, the proposed commitments allow for the exclusion from the scope of cooperation a number of families of minimally processed agricultural products (milk and eggs in particular), or those that are part of crisis sectors (such as charcuterie). While the parties still retain the possibility of jointly purchasing some of these products within the framework of tripartite sector agreements, this possibility is limited to 5% of the French market for the products in question. As the Authority recalled in opinion No. 18-A-0491, these tripartite agreements are likely to produce efficiency gains, allowing (i) the producer to obtain a guarantee of outlets for at least part of their production, at a price established taking into account their production costs and for a duration specified in the contract, (ii) the processor to obtain the guarantee of making part of their infrastructure profitable for the duration of the contract, and (iii) for the distributor, to ensure a supply that meets their requirements in terms of quality, volumes, and delivery rhythm. In this regard, the distributors also commit to describe and document the efficiency gains likely to be produced by these agreements for the benefit of the various operators (producers, distributors, and consumers).</w:t>
      </w:r>
    </w:p>
    <w:p>
      <w:r>
        <w:t>167. Secondly, the proposed commitments also allow, when justified both by the weight of the parties in the market and by the characteristics of the sector, to limit the weight of cooperation in the French market for private label product supply to 15%, thus addressing the competition concerns analyzed below regarding the impact of the agreements upstream on the situation of private label producers.</w:t>
      </w:r>
    </w:p>
    <w:p>
      <w:r>
        <w:t>168. Given these elements, the parties' commitments aimed at addressing the competition risks relating to the upstream supply market for private label products are sufficient.</w:t>
      </w:r>
    </w:p>
    <w:p>
      <w:r>
        <w:t>2. COMMITMENTS ALLOWING TO ADDRESS COMPETITION RISKS RELATING TO THE FOOD RETAIL DISTRIBUTION MARKET</w:t>
      </w:r>
    </w:p>
    <w:p>
      <w:r>
        <w:t>169. The proposed commitments allow for the exclusion from the scope of cooperation certain potentially differentiating products (such as the categories: canned fish salad, pâtés, rillettes, sausage, etc.). They will thus help preserve competition downstream, so that consumers can continue to benefit from a differentiated offer for products on which the product policies and marketing strategies of distributors are distinct.</w:t>
      </w:r>
    </w:p>
    <w:p>
      <w:r>
        <w:t>170. Given these elements, the parties' commitments aimed at addressing the competition risks relating to the upstream supply market for private label products are sufficient.</w:t>
      </w:r>
    </w:p>
    <w:p>
      <w:r>
        <w:t>3. COMMITMENTS MONITORED AND VERIFIED BY A REPRESENTATIVE</w:t>
      </w:r>
    </w:p>
    <w:p>
      <w:r>
        <w:t>171. The parties have committed to provide relevant information to a representative to enable them to monitor the implementation of the commitments, whether it concerns, for example, the exclusions or limitations of joint purchases.</w:t>
      </w:r>
    </w:p>
    <w:p>
      <w:r>
        <w:t>172. The parties have thus committed to communicate, in particular, the list of calls for tenders, copies of tripartite contracts, and the volume and value of private label product purchases by product family.</w:t>
      </w:r>
    </w:p>
    <w:p>
      <w:r>
        <w:t>173. These elements will allow the representative to prepare an annual report on the implementation of the commitments, which will be communicated to the Authority each year.</w:t>
      </w:r>
    </w:p>
    <w:p>
      <w:r>
        <w:t>4. COMMITMENTS MADE FOR A DURATION IDENTICAL TO THAT OF THE AGREEMENTS</w:t>
      </w:r>
    </w:p>
    <w:p>
      <w:r>
        <w:t>174. The commitments have been made for a duration aligned with that of the agreements, up to a maximum of 5 years.</w:t>
      </w:r>
    </w:p>
    <w:p>
      <w:r>
        <w:t>175. They must be implemented as soon as the decision is published and will apply to new supply contracts concluded after the decision or, for contracts already in progress at the date of the decision, at the date of their first renewal or first extension.</w:t>
      </w:r>
    </w:p>
    <w:p>
      <w:r>
        <w:rPr>
          <w:b/>
        </w:rPr>
        <w:t>[Pages 43–43]</w:t>
      </w:r>
    </w:p>
    <w:p>
      <w:r>
        <w:t>V. Conclusion</w:t>
      </w:r>
    </w:p>
    <w:p>
      <w:r>
        <w:t>176. In the final version of their proposal, the parties have supplemented their commitments in order to address both the main points raised during the market test and the requests of the Authority during the session. For example, the parties have agreed to exclude cider from the cooperation and to modify several formulations either to clarify their scope (impact on ongoing contracts) or to allow for better monitoring of the commitments (documentation of the beneficial effects of sector contracts).</w:t>
      </w:r>
    </w:p>
    <w:p>
      <w:r>
        <w:t>177. The final commitments made by the parties thus credibly, proportionately, and sufficiently address the competition concerns expressed by the investigating services.</w:t>
      </w:r>
    </w:p>
    <w:p>
      <w:r>
        <w:t>DECISION</w:t>
      </w:r>
    </w:p>
    <w:p>
      <w:r>
        <w:t>Article 1: The Competition Authority accepts the commitments made by the Auchan, Casino, Metro, and Schiever groups, which are an integral part of this decision to which they are annexed. These commitments are made mandatory as of the notification of this decision.</w:t>
      </w:r>
    </w:p>
    <w:p>
      <w:r>
        <w:t>Article 2: The cases registered under numbers 19/0024 F and 19/0060 M are closed.</w:t>
      </w:r>
    </w:p>
    <w:p>
      <w:r>
        <w:t>Deliberated following the investigation by Ms. Charlotte Noury, Ms. Gabrielle Rostand, and Mr. Erwann Kerguelen, rapporteurs, on the oral report of Ms. Charlotte Noury and Mr. Erwann Kerguelen, rapporteurs, and the intervention of Mr. Joël Tozzi, deputy general rapporteur, by Ms. Isabelle de Silva, president, Ms. Fabienne Siredey-Garnier, Mr. Emmanuel Combe, and Mr. Henri Piffaut, vice-presidents.</w:t>
      </w:r>
    </w:p>
    <w:p>
      <w:r>
        <w:t>The session secretary, The president,</w:t>
      </w:r>
    </w:p>
    <w:p>
      <w:r>
        <w:t>Claire Villeval Isabelle de Silva</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