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https://www.autoritedelaconcurrence.fr/fr/decision/relative-des-pratiques-mises-en-oeuvre-dans-le-secteur-de-la-location-entretien-des</w:t>
      </w:r>
    </w:p>
    <w:p>
      <w:r>
        <w:t>Pages translated : 16</w:t>
      </w:r>
    </w:p>
    <w:p/>
    <w:p>
      <w:r>
        <w:rPr>
          <w:b/>
        </w:rPr>
        <w:t>[Pages 1–3]</w:t>
      </w:r>
    </w:p>
    <w:p>
      <w:r>
        <w:t xml:space="preserve">FRENCH REPUBLIC  </w:t>
        <w:br/>
        <w:t xml:space="preserve">Decision No. 05-D-49 of July 28, 2005  </w:t>
        <w:br/>
        <w:t>regarding practices implemented in the sector of rental maintenance of postage franking machines</w:t>
      </w:r>
    </w:p>
    <w:p>
      <w:r>
        <w:t xml:space="preserve">The Competition Council (Section II),  </w:t>
        <w:br/>
        <w:t xml:space="preserve">Having regard to the letter of September 22, 1992, registered under number F 539, by which Mr. Paul-André X…, lawyer at the Paris Bar, referred to the Competition Council the practices implemented by the company SECAP;  </w:t>
        <w:br/>
        <w:t xml:space="preserve">Having regard to the letter of November 12, 1996, registered under number F 918, by which the company JMC Industries referred to the Competition Council the practices implemented by the company SATAS;  </w:t>
        <w:br/>
        <w:t xml:space="preserve">Having regard to the letter of December 4, 1997, registered under number F 992, by which the company PITNEY BOWES France referred to the Competition Council the practices implemented by the companies of the NEOPOST group and by SECAP;  </w:t>
        <w:br/>
        <w:t xml:space="preserve">Having regard to decision No. 01-D-09 of April 10, 2001, by which the Competition Council decided to defer ruling on these referrals, the elements collected, in the state of the file, not allowing it to rule on the practices denounced;  </w:t>
        <w:br/>
        <w:t xml:space="preserve">Having regard to decision No. 02-SO-05 of December 20, 2002, by which the Competition Council took up the matter ex officio, under number 02/0108 F, regarding the practices implemented by the companies SATAS, NEOPOST, SECAP and all companies operating in the sector of rental maintenance of postage franking machines;  </w:t>
        <w:br/>
        <w:t xml:space="preserve">Having regard to the decision of January 31, 2003, by which the general rapporteur decided to join the cases F 539, F 918, F 992 and 02/0108 F;  </w:t>
        <w:br/>
        <w:t xml:space="preserve">Having regard to Articles 81 and 82 of the Treaty establishing the European Community;  </w:t>
        <w:br/>
        <w:t xml:space="preserve">Having regard to Book IV of the Commercial Code relating to price freedom and competition and Decree No. 2002-689 of April 30, 2002, setting the conditions for its application;  </w:t>
        <w:br/>
        <w:t xml:space="preserve">Having regard to the minutes of May 17, 2005, and June 7, 2005, by which the companies NEOPOST, SATAS and SECAP (PITNEY BOWES Group) requested the benefit of the provisions of III of Article L. 464-2 of the Commercial Code;  </w:t>
        <w:br/>
        <w:t xml:space="preserve">Having regard to the observations presented by the companies NEOPOST, SATAS, SECAP, PITNEY BOWES France and by the Government Commissioner;  </w:t>
        <w:br/>
        <w:t xml:space="preserve">Having regard to the trade secret decisions No. 00-DSA-10 of October 24, 2000, and No. 04-DSA-48 of November 5, 2004;  </w:t>
        <w:br/>
        <w:t>Having regard to the other documents in the file;</w:t>
      </w:r>
    </w:p>
    <w:p>
      <w:r>
        <w:t xml:space="preserve">The rapporteur, the general rapporteur, the Government Commissioner, and the companies NEOPOST, SATAS, SECAP and PITNEY BOWES France heard during the session of July 6, 2005; Mr. X… and JMC Industries having been duly summoned;  </w:t>
        <w:br/>
        <w:t>Adopts the following decision:</w:t>
      </w:r>
    </w:p>
    <w:p>
      <w:r>
        <w:t xml:space="preserve">I. Findings  </w:t>
        <w:br/>
        <w:t xml:space="preserve">A. THE PROCEDURE  </w:t>
        <w:br/>
        <w:t xml:space="preserve">1. By letter of September 22, 1992, registered under number F 539, Mr. Paul André X…, lawyer at the Paris Bar, referred to the Competition Council the practices implemented by the company SECAP in the market for rental maintenance of postage franking machines, which would constitute abuses of a dominant position prohibited by the provisions of Articles L. 420-2 of the Commercial Code (former Article 8 of Ordinance No. 86-1243 of December 1, 1986) and 82 of the EC Treaty (former Article 86).  </w:t>
        <w:br/>
        <w:t xml:space="preserve">2. By letter of November 12, 1996, registered under number F 918, the company JMC Industries referred to the Competition Council the practices implemented by the company SATAS in the market for rental maintenance of postage franking machines, which would constitute abuses of a dominant position prohibited by the provisions of Articles L. 420-2 of the Commercial Code (former Article 8 of Ordinance No. 86-1243 of December 1, 1986) and 82 of the EC Treaty (former Article 86).  </w:t>
        <w:br/>
        <w:t xml:space="preserve">3. By letter of December 4, 1997, registered under number F 992, the company PITNEY BOWES France referred to the Competition Council the practices implemented by the companies of the NEOPOST group and by SECAP in the market for rental maintenance of postage franking machines, which would constitute prohibited agreements under the provisions of Articles L. 420-1 of the Commercial Code (former Article 7 of Ordinance No. 86-1243 of December 1, 1986) and 81 of the EC Treaty (former Article 85).  </w:t>
        <w:br/>
        <w:t xml:space="preserve">4. By decision No. 01-D-09 of April 10, 2001, the Competition Council decided to defer ruling on these referrals, the elements collected, in the state of the file, not allowing it to rule on the practices denounced.  </w:t>
        <w:br/>
        <w:t xml:space="preserve">5. By decision No. 02-SO-05 of December 20, 2002, the Competition Council took up the matter ex officio regarding the practices implemented by the companies SATAS, NEOPOST, SECAP and all companies operating in the sector of rental maintenance of postage franking machines, the ex officio referral having been registered under number 02/0108 F.  </w:t>
        <w:br/>
        <w:t xml:space="preserve">6. By decision of January 31, 2003, the general rapporteur decided to join the cases F 539, F 918, F 992 and 02/0108 F.  </w:t>
        <w:br/>
        <w:t>7. An investigation report from the Directorate General for Competition, Consumer Affairs and Fraud Control dated December 22, 2003, containing 17 annexes numbered from 1 to 2758 and relating to the practices noted (hereinafter the "Investigation Report") was submitted on February 17, 2004, to the general rapporteur, following his requests for investigation dated November 14, 2002, and February 3, 2003.</w:t>
      </w:r>
    </w:p>
    <w:p>
      <w:r>
        <w:t xml:space="preserve">8. Two trade secret decisions were adopted on October 24, 2000 (decision No. 00-DSA-10) and November 5, 2004 (decision No. 04-DSA-48).  </w:t>
        <w:br/>
        <w:t xml:space="preserve">B. THE MARKET  </w:t>
        <w:br/>
        <w:t xml:space="preserve">1. PRODUCT MARKET  </w:t>
        <w:br/>
        <w:t xml:space="preserve">9. Postage franking machines are defined by the provisions of Article 1 of the interministerial order No. 233 of January 28, 1980 (amended by interministerial orders No. 801 of March 7, 1984, and No. 608 of February 27, 1986, relating to the regulation of the use of franking machines for correspondence): "are designated under the name of franking machines, the devices intended to print either on the correspondence items themselves or on gummed and adhesive labels of a model set by the Administration of Posts and Telecommunications and intended to be affixed to the correspondence items." It is specified in the same article that "these devices include a counting mechanism that totals the values of the franking marks." The franking machine thus allows printing a franking mark on an envelope or package (date, sender, post office, cost), then it allows counting which authorizes billing after use, and can handle, depending on its model, from a few dozen items per day to several thousand per hour: it thus allows for rapid and precise franking of mail, accelerated processing by the public operator, and opens for the renter a right to a discount of at least 1% on their franking expenses (Article D. 41 of the Postal and Electronic Communications Code).  </w:t>
        <w:br/>
        <w:t xml:space="preserve">10. French regulations provide that the franking machine remains the property of the lessor who enters into a rental maintenance contract with the user (interministerial order No. 233 of January 28, 1980, as amended).  </w:t>
        <w:br/>
        <w:t xml:space="preserve">11. La Poste offers other means of franking to customers whose needs are not met by the franking machine: they present characteristics that do not allow them to be considered as substitutable for franking machines, neither from the demand side nor from the supply side.  </w:t>
        <w:br/>
        <w:t xml:space="preserve">12. Regarding franking means reserved for small volumes, La Poste offers simple stamp affixing, "ready-to-mail" (pre-franked envelopes or packages sold in lots at post offices), and finally franking on behalf of third parties, products aimed at very small consumers or irregular consumers who only send significant mailings occasionally, and thus appear more as complementary products than as substitutable products for the franking machine or with very marginal substitutability.  </w:t>
        <w:br/>
        <w:t>13. Regarding franking means intended for large volumes, La Poste offers, on the one hand, computer franking techniques, intended for users who send homogeneous batches of mail and have a significant mail processing chain, such as banks, insurers, ministries, or mail-order companies, and on the other hand, exemption from stamping, with signage and the slip to be submitted to La Poste, and finally, very similar to the exemption from stamping, the "Tem’Post" franking, consisting of static signage indicating the date of deposit, but requiring sorting deemed burdensome in terms of IT equipment and internal organization of the company.</w:t>
      </w:r>
    </w:p>
    <w:p>
      <w:r>
        <w:rPr>
          <w:b/>
        </w:rPr>
        <w:t>[Pages 4–6]</w:t>
      </w:r>
    </w:p>
    <w:p>
      <w:r>
        <w:t>14. Consequently, the various means offered by La Poste present particularities such that franking machines are never truly in competition with another postal product or only very marginally. The relevant market is therefore that of the rental and maintenance of postal franking machines (hereinafter rental-maintenance).</w:t>
      </w:r>
    </w:p>
    <w:p>
      <w:r>
        <w:t>2. GEOGRAPHICAL MARKET</w:t>
      </w:r>
    </w:p>
    <w:p>
      <w:r>
        <w:t>15. The relevant geographical market is the national French market. Indeed, the area of service for the rental maintenance of postal franking machines is limited to this territory due to specific characteristics: on the one hand, the applicable regulations (mainly the interministerial order no. 233 of January 28, 1980, amended, and the postal and electronic communications code) concern the ownership regime of the machines, the payment system, the approval regime for dealers and machines; on the other hand, the additional costs incurred by these national specificities.</w:t>
      </w:r>
    </w:p>
    <w:p>
      <w:r>
        <w:t>3. MARKET CHARACTERISTICS</w:t>
      </w:r>
    </w:p>
    <w:p>
      <w:r>
        <w:t>16. The market for the rental maintenance of franking machines is subject to binding regulatory oversight (decree no. 83-1000 of November 14, 1983, establishing taxes related to the operation of the franking machine service and the amended interministerial order no. 233 of January 28, 1980) that La Poste is responsible for enforcing, requiring that each lessor and each prototype of machine be approved, that each machine meets specifications, and has received authorization for use. Furthermore, this regulation imposes on lessors the requirement to deposit guarantees with La Poste as well as various administrative tasks.</w:t>
      </w:r>
    </w:p>
    <w:p>
      <w:r>
        <w:t>17. Moreover, the market is characterized, on the one hand, by a particularly concentrated supply in the hands of three vertically integrated operators of comparable size, sharing the market since at least 1985, and on the other hand, by a fragmented demand in which rental maintenance contracts represent only a small portion of the budget.</w:t>
      </w:r>
    </w:p>
    <w:p>
      <w:r>
        <w:t>18. The market has shown remarkable stability for nearly twenty years since, despite the succession of numerous and significant changes (restructuring, technical modifications of machines, etc.), the market shares of the various existing companies have remained stable. 81% of users reported that they have never been approached by a competitor since acquiring a franking machine, and the various attempts by foreign competitors of international stature to enter the market have all ended in failure (ASCOM HASLER, FRANCOTYP POSTALIA, PITNEY BOWES, INNOVACOURRIER).</w:t>
      </w:r>
    </w:p>
    <w:p>
      <w:r>
        <w:t>19. In this mature market, as nearly all potential users are equipped and demand growth is moderate, even negative in certain segments, the existence of regulatory specificities leads to a relative homogeneity of the offer, concerning both the franking machine itself and the rental maintenance service provided. Moreover, as the machines are similar, the procedures are common, and the contracts are similar, the different lessors have cost structures that resemble each other, within which the bulk of costs is incurred in the first year, and the evolution of prices from the different companies over the considered period is regular and parallel.</w:t>
      </w:r>
    </w:p>
    <w:p>
      <w:r>
        <w:t>20. There is a relative transparency in the market regarding the position of the actors, due to a series of factors such as the regulatory framework and the standards set by La Poste, the regular communication by La Poste to lessors of their respective market shares, as well as the revenues from franking they generate, and finally, the monitoring of contract terminations carried out by each of the operators. In contrast, transparency is lower regarding the pricing policy of each operator, as the negotiated pricing conditions by clients can be quite different from the general conditions offered by the companies, particularly for large accounts.</w:t>
      </w:r>
    </w:p>
    <w:p>
      <w:r>
        <w:t>21. The price elasticity of demand is moderate, particularly for low-volume machines whose annual rental cost does not represent a significant financial stake for clients.</w:t>
      </w:r>
    </w:p>
    <w:p>
      <w:r>
        <w:t>22. The prospects for evolution in this market do not suggest that these characteristics will be profoundly modified, except for changes in the regulatory framework.</w:t>
      </w:r>
    </w:p>
    <w:p>
      <w:r>
        <w:t>C. THE COMPANIES</w:t>
      </w:r>
    </w:p>
    <w:p>
      <w:r>
        <w:t>23. NEOPOST is a public limited company whose registered office is located at 5, boulevard des Bouvets - Nanterre (92). SATAS is a public limited company whose registered office is located at 107, rue Henri Barbusse - Clichy (92). Both companies are 100% subsidiaries of the parent company of the NEOPOST group (hereinafter, the "NEOPOST Group"), NEOPOST SA, a public limited company whose registered office is at 113, rue Jean Naudin - Bagneux (92). The NEOPOST Group has numerous subsidiaries in twelve countries, in addition to France, including Germany, the United Kingdom, Spain, Italy, the United States, and Japan.</w:t>
      </w:r>
    </w:p>
    <w:p>
      <w:r>
        <w:t>24. The company SECAP Groupe PITNEY BOWES, formerly SECAP, is a simplified joint-stock company (formerly a public limited company) whose registered office is located at 9, rue Paul Lafargue – Saint-Denis (93). SECAP was acquired by the PITNEY BOWES Inc. group (hereinafter, the "PITNEY BOWES Group") in October 2001 and is now called SECAP Groupe PITNEY BOWES (hereinafter SECAP). The PITNEY BOWES Group is the world leader in mail and messaging systems, present in over 120 countries. This circumstance means that one of the companies involved has become a subsidiary of one of the complainants.</w:t>
      </w:r>
    </w:p>
    <w:p>
      <w:r>
        <w:t>D. THE IDENTIFIED PRACTICES</w:t>
      </w:r>
    </w:p>
    <w:p>
      <w:r>
        <w:t>25. The standard rental maintenance contracts offered by the various lessors of franking machines to the lessees of these machines contain similar clauses:</w:t>
        <w:br/>
        <w:t>(a) a contractual duration of four years from the date of installation of the machine;</w:t>
        <w:br/>
        <w:t>(b) a tacit renewal clause for a duration of four years;</w:t>
        <w:br/>
        <w:t>(c) termination modalities limited to the anniversary date of the contract, subject to a three-month notice period prior to the expiration date of the contract to effectively terminate it;</w:t>
        <w:br/>
        <w:t>(d) the payment, as a lump-sum compensation in the event of early termination, of an amount equal to the remaining rental amount until the normal end of the contract, based on the annual amount.</w:t>
      </w:r>
    </w:p>
    <w:p>
      <w:r>
        <w:t>26. The practices in question are the tacit renewal clause for a duration of four years (b), the termination modalities (c), and the lump-sum compensation, or penalty clause (d), excluding the clause relating to the initial contractual duration (a).</w:t>
      </w:r>
    </w:p>
    <w:p>
      <w:r>
        <w:t>27. Very old, these clauses are found to be similar in all respects from one lessor to another and bind three-quarters of the users, with only large accounts being able to negotiate them. These clauses do not stem from the regulations applicable to this activity, nor do they relate to the characteristics of the franking machines. The lessors have not provided elements allowing for the determination of an average depreciation period for the machines that could justify them. They are also not accompanied by any counterparty since the contracts do not provide for any adjustment of the price following the renewal of the contract, which would take into account the fact that the machine has been amortized.</w:t>
      </w:r>
    </w:p>
    <w:p>
      <w:r>
        <w:t>28. These contractual practices have prompted La Poste, seized with numerous complaints from users, to request that lessors reflect on the conditions of renewal and termination, leading SECAP to limit the renewal duration to one year between January 2001 and April 2002, ultimately aligning with the clauses proposed by competing companies, which had not followed La Poste's recommendations.</w:t>
      </w:r>
    </w:p>
    <w:p>
      <w:r>
        <w:t>E. THE NOTIFIED GRIEVANCES</w:t>
      </w:r>
    </w:p>
    <w:p>
      <w:r>
        <w:t>29. In light of all the elements presented above, the following grievances have been notified:</w:t>
        <w:br/>
        <w:t>• SECAP, NEOPOST, and SATAS are accused of having entered into rental maintenance contracts for franking machines with their users that, by their cumulative effect, had the object or effect of preventing, restricting, or distorting competition in the French market for the rental maintenance of postal franking machines, since 1989 for SECAP, since 1993 for SATAS, and since 1994 for NEOPOST. This practice is prohibited by the provisions of Articles L. 420-1 of the Commercial Code and 81 of the EC Treaty.</w:t>
        <w:br/>
        <w:t>• NEOPOST and SATAS are accused of having abused their collectively held dominant position in the French market for the rental maintenance of postal franking machines since 1994. These practices are prohibited by the provisions of Articles L. 420-2 of the Commercial Code and 82 of the EC Treaty.</w:t>
      </w:r>
    </w:p>
    <w:p>
      <w:r>
        <w:t>F. THE IMPLEMENTATION OF III OF ARTICLE L. 464-2 OF THE COMMERCIAL CODE</w:t>
      </w:r>
    </w:p>
    <w:p>
      <w:r>
        <w:t>30. Following the receipt of the notification of grievances, the companies NEOPOST, SATAS, and SECAP Groupe PITNEY BOWES requested the benefit of III of Article L. 464-2 of the Commercial Code, which states that "When an organization or a company does not contest the reality of the grievances that are notified to it and commits to modifying its behaviors for the future, the general rapporteur may propose to the Competition Council, which hears the parties and the Government Commissioner without prior establishment of a report, to pronounce...</w:t>
      </w:r>
    </w:p>
    <w:p>
      <w:r>
        <w:rPr>
          <w:b/>
        </w:rPr>
        <w:t>[Pages 7–9]</w:t>
      </w:r>
    </w:p>
    <w:p>
      <w:r>
        <w:t>sanction provided for in I, taking into account the absence of contestation. In this case, the maximum amount of the sanction incurred is reduced by half."</w:t>
      </w:r>
    </w:p>
    <w:p>
      <w:r>
        <w:t>31. These provisions were implemented by two minutes of May 17, 2005, and one minute of June 7, 2005, signed by the general rapporteur of the Council on one hand and, respectively, by the representatives of the company SATAS, by the representatives of the company NEOPOST, and by the representative of the company SECAP Groupe PITNEY BOWES, on the other hand.</w:t>
      </w:r>
    </w:p>
    <w:p>
      <w:r>
        <w:t>32. In these minutes, the companies declare that due to circumstances specific to them, they do not wish to contest the reality of the grievances that have been notified to them. Consequently, these companies have formally waived such contestation, which should be acknowledged, subject to the examination of the commitments they have also subscribed to.</w:t>
      </w:r>
    </w:p>
    <w:p>
      <w:r>
        <w:t>33. Furthermore, in accordance with the provisions set out in III of Article L. 464-2 of the Commercial Code, no report has been established.</w:t>
      </w:r>
    </w:p>
    <w:p>
      <w:r>
        <w:t>II. Discussion</w:t>
      </w:r>
    </w:p>
    <w:p>
      <w:r>
        <w:t>A. ON THE PROCEDURE</w:t>
      </w:r>
    </w:p>
    <w:p>
      <w:r>
        <w:t>34. The Government Commissioner as well as the complainant questioned, during the debates, the possibility of implementing the procedure provided for in III of Article L. 464-2 of the Commercial Code for the benefit of NEOPOST and SATAS, on the grounds that the latter would have, in their written observations following the minutes of the implementation of this procedure, contested the notified grievances.</w:t>
      </w:r>
    </w:p>
    <w:p>
      <w:r>
        <w:t>35. The benefit of the provisions of III of Article L. 464-2 of the Commercial Code is subject to the dual condition that the companies involved, on one hand, do not contest the reality of the grievances and, on the other hand, commit to modifying their behavior for the future. As the Council indicated (Decision no. 04-D-42 of August 4, 2004, Cathédrale de Tréguier), the non-contestation of the reality of the notified grievances consists of not contesting either the reality of the notified practices, or their qualification in light of the provisions of the Commercial Code, or their attribution to the legal entity requesting the benefit of the provisions of III of Article L. 464-2 of the Commercial Code.</w:t>
      </w:r>
    </w:p>
    <w:p>
      <w:r>
        <w:t>36. However, the non-contestation of the grievances provided for by these provisions does not exclude the exercise, in application of the principle of contradiction, of the rights related to the defense of the companies involved regarding the elements taken into account in determining the sanctions that may be imposed. It follows that the companies involved must be able to present all useful observations for their defense on this point, notably through written and oral observations, as well as by producing documents, provided that these observations are limited to contesting the severity of the practices and the damage to the economy, as well as the proposed sanctions possibly issued by the Government Commissioner (Court of Appeal of Paris, judgment of September 21, 2004, Texas Instruments France) and do not challenge, directly or indirectly, the reality of the notified practices, their qualification, or their attribution.</w:t>
      </w:r>
    </w:p>
    <w:p>
      <w:r>
        <w:t>37. In this case, the Council observes that the written and oral observations of the companies NEOPOST and SATAS following the implementation of III of Article L. 464-2 of the Commercial Code only concerned the commitments made, the severity of the practices in question, and the damage to the economy and thus did not, either directly or indirectly, contest the notified grievances. It follows that the companies NEOPOST and SATAS can benefit from the procedure provided for in III of Article L. 464-2 of the Commercial Code.</w:t>
      </w:r>
    </w:p>
    <w:p>
      <w:r>
        <w:t>B. ON THE PRACTICES</w:t>
      </w:r>
    </w:p>
    <w:p>
      <w:r>
        <w:t>1. THE CONTRACTUAL PRACTICES OBSERVED CONSTITUTE ANTI-COMPETITIVE AGREEMENTS</w:t>
      </w:r>
    </w:p>
    <w:p>
      <w:r>
        <w:t>38. The contractual clauses identified in the contracts (point 25 above) concluded between the three main operators in place and the users of franking machines constitute vertical agreements that cover the entire French territory and are likely to affect the flow of trade between Member States as they make it more difficult for companies from other Member States to penetrate the national market in question, either through exports or through establishment (exclusion effect). When vertical agreements produce this kind of exclusion effect, they contribute to a national compartmentalization, thus hindering the interpenetration intended by the treaty (Commission communication, Guidelines on the concept of affecting trade under Articles 81 and 82 of the Treaty, OJCE no. C 101, April 27, 2004).</w:t>
      </w:r>
    </w:p>
    <w:p>
      <w:r>
        <w:t>39. In this case, the practices in question are the result of the three main operators in place holding together more than 95% of the national market, the French market is affected in its entirety and the practices are likely to have hindered the entry into the market of operators present in other Member States, such as ASCOM HASLER, FRANCOTYP POSTALIA, and even PITNEY BOWES (its European subsidiaries have not been able to establish themselves effectively). Finally, given the market shares of the operators involved as well as those of their co-contractors, the practices observed by them have a significant effect.</w:t>
      </w:r>
    </w:p>
    <w:p>
      <w:r>
        <w:t>40. The practices referred to in the notification of grievances (point 29 above) therefore fall under Articles L. 420-1 of the Commercial Code and 81 of the EC Treaty.</w:t>
      </w:r>
    </w:p>
    <w:p>
      <w:r>
        <w:t>41. The contractual practices identified also result in restrictive effects by locking the market and hindering the dissemination of technological progress. This locking is a direct consequence of the length of the contracts which, linked to the dispersion of clients and prospects (around 250,000 installed machines), makes effective commercial prospecting by competitors very difficult. The latter are, in fact, lacking information on the expiration of the four-year contracts, unable to effectively direct their sales force towards the companies whose rental contract is coming to an end, with approximately 30,000 new contracts being signed each year.</w:t>
      </w:r>
    </w:p>
    <w:p>
      <w:r>
        <w:t>42. The observation of market shares allows for noting their remarkable stability over a period of nearly twenty years, with the market shares of the operators having varied only within a narrow range: that of NEOPOST oscillating between 33% and 36%, that of SATAS between 30% and 32%, and that of SECAP between 32% and 34%.</w:t>
      </w:r>
    </w:p>
    <w:p>
      <w:r>
        <w:t>43. However, no element of the file allows for detecting any interest from users in such contractual longevity, while the investigation notes dissatisfaction among many users rendered captive due to the renewal duration and the rigid terms and strict penalties for termination. Thus, the stability of market shares does not result solely from the merits of the existing operators, but indeed from the restriction of competition caused by the contentious clauses, reinforced by market conditions unfavorable to competition. This analysis is reinforced by the observation of the almost general contestation of these clauses by major accounts that have real negotiating power, and the unsuccessful attempts to enter the market by globally sized operators who offer quality services, including the world leader in the sector who has not been able to establish a significant presence across all segments except by acquiring an existing operator.</w:t>
      </w:r>
    </w:p>
    <w:p>
      <w:r>
        <w:t>44. Furthermore, the contentious clauses have the effect of hindering the rapid dissemination of technological progress, which could provide increased ease of use and comfort for the user, as well as enhanced security for the public operator in terms of technical control and recovery of franking invoices, most of this dissemination occurring at the time of the renewal of the machines.</w:t>
      </w:r>
    </w:p>
    <w:p>
      <w:r>
        <w:t>45. These infringements are all the more serious as the economic and legal context of the market in question is very unfavorable to competition and they are the result of a significant set of similar contracts covering almost the entire relevant market and producing a cumulative effect (Decision no. 00-D-67 of February 13, 2001, Sale of television advertising space; Court of First Instance, June 8, 1995, Langnese Iglo GmbH v. Commission, case T-7/93).</w:t>
      </w:r>
    </w:p>
    <w:p>
      <w:r>
        <w:t>46. This grievance of vertical agreement has not been contested by any of the three companies to which it was notified.</w:t>
      </w:r>
    </w:p>
    <w:p>
      <w:r>
        <w:t>47. Finally, the practices in question cannot benefit from the exemptions provided for by Articles 81 paragraph 3 of the EC Treaty and L. 420-4 of the Commercial Code.</w:t>
      </w:r>
    </w:p>
    <w:p>
      <w:r>
        <w:t>48. Indeed, regarding the Community rules, the application of EC Regulation no. 2790/1999 of the Commission of December 22, 1999, concerning the application of Article 81, paragraph 3, of the Treaty to categories of vertical agreements and concerted practices is excluded since Article 3 of said regulation provides that the block exemption cannot benefit suppliers whose market share exceeds 30% of the relevant market and it has been noted that the three concerned suppliers each exceed this threshold. Furthermore, no element of the file allows for establishing that the conditions for the application of Article 81, paragraph 3 would be met.</w:t>
      </w:r>
    </w:p>
    <w:p>
      <w:r>
        <w:t>49. The same applies, regarding French rules, to the conditions set by Article L. 420-4 (2°) of the Commercial Code. No improvement in production or distribution, no promotion of economic or technical progress, nor any fair repercussions for users can be identified and the maintenance of competition has not been ensured at all.</w:t>
      </w:r>
    </w:p>
    <w:p>
      <w:r>
        <w:t>50. It follows that these agreements fall under the prohibition of anti-competitive agreements provided for by Articles 81 of the EC Treaty and L. 420-1 of the Commercial Code.</w:t>
      </w:r>
    </w:p>
    <w:p>
      <w:r>
        <w:rPr>
          <w:b/>
        </w:rPr>
        <w:t>[Pages 10–12]</w:t>
      </w:r>
    </w:p>
    <w:p>
      <w:r>
        <w:t>des contrats en cours devant être mis en conformité au plus tard au 31 décembre 2006 ;</w:t>
      </w:r>
    </w:p>
    <w:p>
      <w:r>
        <w:t>− s’agissant des contrats à venir : mettre en conformité tous ses contrats de location</w:t>
        <w:br/>
        <w:t>entretien de machines d’affranchissement postal proposés à compter du 1er février</w:t>
        <w:br/>
        <w:t>2006.</w:t>
      </w:r>
    </w:p>
    <w:p>
      <w:r>
        <w:rPr>
          <w:b/>
        </w:rPr>
        <w:t>[Pages 13–15]</w:t>
      </w:r>
    </w:p>
    <w:p>
      <w:r>
        <w:t>of ongoing contracts must be brought into compliance no later than December 31, 2006;</w:t>
      </w:r>
    </w:p>
    <w:p>
      <w:r>
        <w:t>- concerning future contracts: bring into compliance all its contracts for the rental and maintenance of postage franking machines offered from February 1, 2006."</w:t>
      </w:r>
    </w:p>
    <w:p>
      <w:r>
        <w:t>C. ON SANCTIONS</w:t>
      </w:r>
    </w:p>
    <w:p>
      <w:r>
        <w:t>1. REGARDING THE APPLICABLE LAW</w:t>
      </w:r>
    </w:p>
    <w:p>
      <w:r>
        <w:t>62. The offenses mentioned above have been the subject of four joint referrals, three of which were prior to the entry into force of law no. 2001-420 of May 15, 2001, relating to new economic regulations, known as the NRE law, and one self-referral, subsequent to this law. Their commission, for the non-prescribed period, has been continuous from 1989 to 2005.</w:t>
      </w:r>
    </w:p>
    <w:p>
      <w:r>
        <w:t>63. By virtue of the non-retroactivity of more severe punitive laws, the provisions introduced by the NRE law in I of Article L. 464-2 of the Commercial Code, in that they are more severe than those previously in force, do not apply to practices committed before the date of its entry into force, namely May 15, 2001. Furthermore, the NRE law expressly provided that the new provisions on sanctions do not apply to cases for which the referral to the Competition Council was made prior to the entry into force of the law.</w:t>
      </w:r>
    </w:p>
    <w:p>
      <w:r>
        <w:t>64. Thus, the application of the more severe provisions is subject to a double condition: that the referral is subsequent to the law and that the facts are subsequent to the law.</w:t>
      </w:r>
    </w:p>
    <w:p>
      <w:r>
        <w:t>65. In this case, the practices being continuous before and after the entry into force of the law, the second condition is met for the period 2001-2005. However, the first condition is not met. Indeed, in the presence of multiple referrals concerning the same practices that have been joined, the fact that one of them is subsequent to the date of entry into force of the more severe law has no impact on the anteriority, in relation to this same date, of the other referrals which remain subject to the examination of the Council within the framework of the same litigation.</w:t>
      </w:r>
    </w:p>
    <w:p>
      <w:r>
        <w:t>66. Thus, in order to ensure the application of a single regime to the practices referred to in joint referrals and to respect the principle of non-retroactivity of more severe punitive laws, it is appropriate to retain the date of the earliest referral to determine the applicable law.</w:t>
      </w:r>
    </w:p>
    <w:p>
      <w:r>
        <w:t>67. It follows that the provisions of I of Article L. 464-2 of the Commercial Code applicable in this case are those that prevailed before the entry into force of law no. 2001-420 of May 15, 2001, relating to new economic regulations.</w:t>
      </w:r>
    </w:p>
    <w:p>
      <w:r>
        <w:t>2. REGARDING THE DETERMINATION OF THE SANCTION</w:t>
      </w:r>
    </w:p>
    <w:p>
      <w:r>
        <w:t>68. Under I of Article L. 464-2 of the Commercial Code, in its wording prior to law no. 2001-420 of May 15, 2001, relating to new economic regulations: "The Competition Council (…/…) may impose a monetary sanction applicable either immediately or in the event of non-compliance with injunctions. …The maximum amount of the sanction is, for a company, 5% of the amount of the turnover excluding taxes achieved in France during the last closed financial year."</w:t>
      </w:r>
    </w:p>
    <w:p>
      <w:r>
        <w:t>69. Regarding the seriousness of the alleged facts, initially qualified as vertical agreements concluded by the three only operators present in the market, namely NEOPOST, SATAS, and SECAP Groupe PITNEY BOWES with the lessees of the machines, it should be noted that these practices are of exceptional age and duration, that they have been the result of all operators present in the market, and that, while La Poste had drawn the attention of their authors to their excessive nature, they persisted, except for SECAP Groupe PITNEY BOWES, which temporarily suspended its practices, only to resume them upon realizing that its competitors had not suspended theirs. Thus, NEOPOST and SATAS deliberately continued to violate competition rules despite warnings from La Poste.</w:t>
      </w:r>
    </w:p>
    <w:p>
      <w:r>
        <w:t>70. The dominant position held by NEOPOST and SATAS further aggravates the alleged facts, particularly compelling, by a ripple effect, SECAP Groupe PITNEY BOWES to continue observing these practices in order to maintain its position in the market, at least from April 2002.</w:t>
      </w:r>
    </w:p>
    <w:p>
      <w:r>
        <w:t>71. Conversely, the mitigating factor related to the behavior of SECAP Groupe PITNEY BOWES must be taken into account, as this company followed La Poste's instructions and modified its practices for a period of eighteen months, then reiterated them under the pressure of the combined inertia of NEOPOST and SATAS.</w:t>
      </w:r>
    </w:p>
    <w:p>
      <w:r>
        <w:t>72. Regarding the extent of the damage caused to the economy, NEOPOST and SATAS argued that the contractual clauses were not systematically concluded or applied in practice, particularly concerning the lump-sum compensation clauses.</w:t>
      </w:r>
    </w:p>
    <w:p>
      <w:r>
        <w:t>73. On the contrary, the investigation report indicates that these clauses were strictly concluded and applied with small users, who constitute three-quarters of the lessees. Only large accounts were able to negotiate. The operators could offer their clients commercial variations, such as a change of machine or a rent reduction, but in case of refusal of this proposal, the lessees could only choose to keep their machine until the normal expiration of the contract or pay the monthly installments due until said expiration.</w:t>
      </w:r>
    </w:p>
    <w:p>
      <w:r>
        <w:t>74. NEOPOST and SATAS further claimed that numerous adjustments were proposed during the contract to their lessees, including offers of more efficient machines, allowing them to pass on to the lessees the technological advancements they had developed.</w:t>
      </w:r>
    </w:p>
    <w:p>
      <w:r>
        <w:t>75. It should be noted that these adjustments, while they may have improved the contractual situation of the lessees, never addressed the essential concerns raised in this case by the contentious clauses. Indeed, due to the successive renewals of the contractual periods, these clauses allowed lessors to avoid any competition, particularly in terms of technology. It can therefore be considered that the dissemination of innovations was indeed hindered by these contractual practices.</w:t>
      </w:r>
    </w:p>
    <w:p>
      <w:r>
        <w:t>76. Furthermore, the Council notes that the practices in question were the result of all operators present in the market, that they froze the market for many years, and for at least more than twenty years, prohibiting, in a market with restricted competitive play, access to other operators, particularly to the world leader who had the means to position itself in this national market. These practices, combined with the market conditions recalled elsewhere, have compartmentalized the French market and slowed down the dissemination of technological progress potentially beneficial to La Poste and users.</w:t>
      </w:r>
    </w:p>
    <w:p>
      <w:r>
        <w:t>77. In light of the elements presented above, the Council considers that the commitments submitted to it address the identified competition concerns, that they are substantial, verifiable, and appear capable of unlocking the market and promoting the development of competition, both among large users and other clients. They indeed allow not only for the prevention of the insertion of the contentious clauses in future rental contracts but also for the modification of ongoing contracts to bring them into compliance with the new durations. This update will be effective within a limited timeframe and compatible with economic efficiency since, beyond informing the contracting parties which will occur by the end of 2005, from the notification of this decision and its publication on the website of the Competition Council, the companies must have completed the modification of ongoing contracts (nearly 70,000 contracts per implicated company) before December 31, 2006.</w:t>
      </w:r>
    </w:p>
    <w:p>
      <w:r>
        <w:t>78. Within the framework of the procedure established by III of Article L. 464-2 of the Commercial Code, the general rapporteur proposed that the sanction incurred by NEOPOST and SATAS be reduced by a proportion ranging from 40% to 50% of the amount that would have normally been imposed in the absence of this procedure.</w:t>
      </w:r>
    </w:p>
    <w:p>
      <w:r>
        <w:t>79. The turnover of NEOPOST achieved in France during the financial year ending January 31, 2005, amounts to €127,717,897. Based on the general and individual elements as assessed above, the amount of the monetary sanction imposed on this company would have been set by the Council at €1,277,178. To take into account the absence of contestation and the commitments made under the provisions of III of Article L. 464-2 of the Commercial Code, this amount is reduced to €600,000.</w:t>
      </w:r>
    </w:p>
    <w:p>
      <w:r>
        <w:t>80. The turnover of SATAS achieved in France during the financial year ending January 31, 2005, amounts to €94,967,500. Based on the general and individual elements as assessed above, the amount of the monetary sanction imposed on this company would have been set by the Council at €949,675. To take into account the absence of contestation and the commitments made under the provisions of III of Article L. 464-2 of the Commercial Code, this amount is reduced to €475,000.</w:t>
      </w:r>
    </w:p>
    <w:p>
      <w:r>
        <w:t>81. Within the framework of the procedure established by III of Article L. 464-2 of the Commercial Code, the general rapporteur proposed that the sanction incurred by SECAP Groupe PITNEY BOWES be reduced by a proportion ranging from 50% to 70% of the amount that would have normally been imposed in the absence of this procedure.</w:t>
      </w:r>
    </w:p>
    <w:p>
      <w:r>
        <w:t>82. The turnover of SECAP Groupe PITNEY BOWES achieved in France during the financial year ending December 31, 2004, amounts to €115,037,000, excluding the activity from Document Messaging Technologies and Pitney Bowes France. Based on the general and individual elements as assessed above, the amount of the monetary sanction imposed on this company would have been set by the Council at €570,000. To take into account the absence of contestation and the commitments made under the provisions of III of Article L. 464-2 of the Commercial Code, this amount is reduced to €285,000.</w:t>
      </w:r>
    </w:p>
    <w:p>
      <w:r>
        <w:rPr>
          <w:b/>
        </w:rPr>
        <w:t>[Pages 16–16]</w:t>
      </w:r>
    </w:p>
    <w:p>
      <w:r>
        <w:t>DECISION</w:t>
      </w:r>
    </w:p>
    <w:p>
      <w:r>
        <w:t>Article 1: It is established that the companies NEOPOST, SATAS, and SECAP Groupe PITNEY BOWES have violated the provisions of Articles L. 420-1 of the Commercial Code and 81 of the EC Treaty.</w:t>
      </w:r>
    </w:p>
    <w:p>
      <w:r>
        <w:t>Article 2: It is established that the companies NEOPOST and SATAS have violated the provisions of Articles L. 420-2 of the Commercial Code and 82 of the EC Treaty.</w:t>
      </w:r>
    </w:p>
    <w:p>
      <w:r>
        <w:t>Article 3: The commitments made by the companies NEOPOST, SATAS, and SECAP Groupe PITNEY BOWES as mentioned in paragraphs 60 and 61 of this decision are acknowledged, and they are ordered to comply with them in all respects.</w:t>
      </w:r>
    </w:p>
    <w:p>
      <w:r>
        <w:t>Article 4: The following financial penalties are imposed:</w:t>
        <w:br/>
        <w:t>• on the company NEOPOST a penalty of 600,000 euros;</w:t>
        <w:br/>
        <w:t>• on the company SATAS a penalty of 475,000 euros;</w:t>
        <w:br/>
        <w:t>• on the company SECAP Groupe PITNEY BOWES a penalty of 285,000 euros.</w:t>
      </w:r>
    </w:p>
    <w:p>
      <w:r>
        <w:t>Deliberated on the oral report of Ms. Le Breton, by Ms. Perrot, Vice-President presiding over the session, Ms. Béhar-Touchais and Ms. Renard-Payen and Mr. Honorat, members.</w:t>
      </w:r>
    </w:p>
    <w:p>
      <w:r>
        <w:t>The session secretary, The Vice-President,</w:t>
        <w:br/>
        <w:t>Catherine Duparcq Anne Perrot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