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https://www.autoritedelaconcurrence.fr/fr/decision/relative-des-pratiques-mises-en-oeuvre-dans-le-secteur-de-la-location-entretien-du-linge</w:t>
      </w:r>
    </w:p>
    <w:p>
      <w:r>
        <w:t>Pages translated : 34</w:t>
      </w:r>
    </w:p>
    <w:p/>
    <w:p>
      <w:r>
        <w:rPr>
          <w:b/>
        </w:rPr>
        <w:t>[Pages 1–3]</w:t>
      </w:r>
    </w:p>
    <w:p>
      <w:r>
        <w:t>FRENCH REPUBLIC</w:t>
        <w:br/>
        <w:t>Decision No. 07-D-21 of June 26, 2007</w:t>
        <w:br/>
        <w:t>regarding practices implemented</w:t>
        <w:br/>
        <w:t>in the linen rental and maintenance sector</w:t>
        <w:br/>
        <w:t>The Competition Council (Section III A),</w:t>
      </w:r>
    </w:p>
    <w:p>
      <w:r>
        <w:t>Having regard to the letter of July 15, 2004, registered under number 04/0053 F, by which the Minister of Economy referred to the Competition Council a file concerning the state of competition in the linen rental and maintenance market;</w:t>
      </w:r>
    </w:p>
    <w:p>
      <w:r>
        <w:t>Having regard to Articles 81 and 82 of the Treaty establishing the European Community;</w:t>
      </w:r>
    </w:p>
    <w:p>
      <w:r>
        <w:t>Having regard to Book IV of the Commercial Code relating to price and competition freedom;</w:t>
      </w:r>
    </w:p>
    <w:p>
      <w:r>
        <w:t>Having regard to the business secrecy decisions 06-DSA-15 and 06-DSA-16 of May 11, 2006, and the decisions: 06-DEC-01 of June 13, 2006, 07-DSA-DEC-02 of April 6, 2007, 07-DSA-DEC-03 of April 10, 2007, and 07-DSA-DEC-04 of April 23, 2007, authorizing the use of documents classified in the confidential annex;</w:t>
      </w:r>
    </w:p>
    <w:p>
      <w:r>
        <w:t>Having regard to the decision of the General Rapporteur dated February 26, 2007, proceeding with the disjunction of the referral concerning the practices implemented by the company Mewa, succeeding the company formerly known as Euronet;</w:t>
      </w:r>
    </w:p>
    <w:p>
      <w:r>
        <w:t>Having regard to the minutes of January 10, 2007, by which the companies MAJ, Régionale de Location et services textiles, Les Lavandières, Pierrette TBA, Lovetra, Thimeau, and GIE Elis requested to benefit from the provisions of III of Article L. 464-2 of the Commercial Code;</w:t>
      </w:r>
    </w:p>
    <w:p>
      <w:r>
        <w:t>Having regard to the minutes of January 11, 2007, by which the grouping of industrial textile service companies (GEIST) requested to benefit from the provisions of III of Article L. 464-2 of the Commercial Code;</w:t>
      </w:r>
    </w:p>
    <w:p>
      <w:r>
        <w:t>Having regard to the minutes of February 21, 2007, by which the company Initial BTB requested to benefit from the provisions of III of Article L. 464-2 of the Commercial Code;</w:t>
      </w:r>
    </w:p>
    <w:p>
      <w:r>
        <w:t>Having regard to the observations presented on March 23, 2007, by the company Initial BTB, the economic interest group Elis, the grouping of industrial textile service companies (GEIST), and by the Government Commissioner;</w:t>
      </w:r>
    </w:p>
    <w:p>
      <w:r>
        <w:t>Having regard to the other documents in the file;</w:t>
      </w:r>
    </w:p>
    <w:p>
      <w:r>
        <w:t>The rapporteur, the general rapporteur, the Government Commissioner, the company Initial BTB, the economic interest group Elis, the grouping of industrial textile service companies (GEIST) heard during the session of April 25, 2007;</w:t>
      </w:r>
    </w:p>
    <w:p>
      <w:r>
        <w:t>The representatives of the National Commission for Information Technology and Civil Liberties (CNIL) and the Minister of Labor, Social Cohesion, and Housing, heard on the basis of the provisions of Article L. 463-7 of the Commercial Code;</w:t>
      </w:r>
    </w:p>
    <w:p>
      <w:r>
        <w:t>Having regard to the documents sent on May 4 and 9, 2007, by the company Initial BTB and by GIE Elis;</w:t>
      </w:r>
    </w:p>
    <w:p>
      <w:r>
        <w:t>Adopts the following decision:</w:t>
      </w:r>
    </w:p>
    <w:p>
      <w:r>
        <w:t>I. Findings</w:t>
        <w:br/>
        <w:t>A. THE RELEVANT SECTOR: LINEN RENTAL AND MAINTENANCE</w:t>
        <w:br/>
        <w:t>The market</w:t>
        <w:br/>
        <w:t>1. Companies can resort to external services for the cleaning of their professional linen, mainly flat linen (sheets, towels, tablecloths) and work clothes for their employees. For this, they can choose to entrust their linen to a wholesale laundry or to call upon linen rental and maintenance companies. In the latter case, the renter owns the work linen and regularly provides the client with cleaned linen and work clothes, generally once or twice a week. Professional clothing is mainly of three types: standard work clothing intended to protect the employee's clothing (apron or blouse), specialized protective clothing (personal protective equipment), and image clothing, comparable to uniforms in the company's colors.</w:t>
      </w:r>
    </w:p>
    <w:p>
      <w:r>
        <w:t>2. For about fifteen years, the rental-maintenance formula has been developing among companies, to the detriment of traditional wholesale laundry. This evolution can be explained for several reasons. Firstly, the company no longer has to invest in a stock of linen or ensure its rotation since the linen is the property of the renter. Secondly, the company can save on logistical costs related to the distribution of linen to employees thanks to the system set up by the renter. In addition to delivery, renters can indeed offer more elaborate clean linen delivery systems than simple unloading at a delivery point, such as, for example, a system of lockers marked with each employee's name. In larger units, linen renters can also install automatic clothing dispensers. All items being marked by an electronic chip, they can be delivered directly to their user using a magnetic card. Finally, thirdly, renters are able to make tailored offers by personalizing linen dedicated to a single client, which makes their service completely substitutable for a "proprietary" system in which the client purchases or has linen made in their colors.</w:t>
      </w:r>
    </w:p>
    <w:p>
      <w:r>
        <w:t>3. The French market for textile rental and maintenance for businesses is estimated by the investigation report at approximately €1.2 billion (Billion €) in 2001.</w:t>
      </w:r>
    </w:p>
    <w:p>
      <w:r>
        <w:t>4. This estimate is confirmed by the figures provided by the grouping of industrial textile service companies (GEIST) for 2001 presented in the table below, which also shows that hotels and restaurants represent 27% of this demand, healthcare establishments 25%, and the rest of the companies 48%.</w:t>
        <w:br/>
        <w:t>Healthcare-Geriatrics €295 M 25%</w:t>
        <w:br/>
        <w:t>Hotels Restaurants €325 M 27%</w:t>
        <w:br/>
        <w:t>Industry and Miscellaneous €559 M 48%</w:t>
      </w:r>
    </w:p>
    <w:p>
      <w:r>
        <w:t>5. From a dynamic perspective, it is noted that the linen rental and maintenance sector has experienced strong growth during the period covered by the referral since the sector's turnover increased by 35% from 1994 to 2000. This growth was even more significant for large companies, as during the same period, sales to companies generating more than €3 million in turnover increased by 64%.</w:t>
      </w:r>
    </w:p>
    <w:p>
      <w:r>
        <w:t>6. A 2001 XERFI study, cited by the investigation report, describes the diversification of the activities of these large companies, which have been able to offer a wide range of services to develop their business: "the enrichment and upgrading of services are paying off: the heavyweights, often subsidiaries of large groups or belonging to business groupings, have the size and financial standing to play the card of complementarity. They thus offer their clients a range of services and products covering all the companies' needs in terms of hygiene and cleanliness: floor treatment, water fountains, air purifiers...".</w:t>
      </w:r>
    </w:p>
    <w:p>
      <w:r>
        <w:t>7. According to the 2001 XERFI study, the rental-maintenance sector is also more concentrated than the wholesale laundry sector. In 2002, 98 linen rental companies were recorded with a total turnover of €1200 million, compared to 468 laundry-dyeing companies with a turnover of €300 million.</w:t>
      </w:r>
    </w:p>
    <w:p>
      <w:r>
        <w:t>8. While many companies, often local, offer wholesale laundry services, only about a hundred are capable of providing a textile rental-maintenance service and belong, in fact, to the category of "linen renters," classified by INSEE as companies engaged in linen or textile rental and maintenance.</w:t>
      </w:r>
    </w:p>
    <w:p>
      <w:r>
        <w:t>The companies</w:t>
        <w:br/>
        <w:t>9. The most significant linen or textile rental-maintenance companies are those grouped within GIE Elis, the companies Initial BTB, Régie Linge (RLD), and Anett. All other companies, which cover less than 2% of the market, only have a regional activity.</w:t>
      </w:r>
    </w:p>
    <w:p>
      <w:r>
        <w:t>The Elis Group</w:t>
        <w:br/>
        <w:t>10. Established in 1820, the Pontoise laundry has gradually become the Elis group through successive acquisitions. It is a holding company named Holdelis, which holds 99.9% of a parent company, MAJ, which itself controls about twenty subsidiaries mainly involved in the rental-maintenance of textile articles but also in textile production such as the manufacturing of work clothes (Molinel acquired in 2000), tablecloths (le Jacquart Français), or hygiene (Kennedy: manufacturing of cleaning products). The companies of the group operating in France in the textile rental-maintenance sector are: Lovetra Grenelle Service, Les Lavandières, a company that is itself the parent company of Localinge Paris Sud, Blanchisserie Moderne, RLST, Thimeau, and Pierrette TBA.</w:t>
      </w:r>
    </w:p>
    <w:p>
      <w:r>
        <w:t>11. Alongside the holding, the company MAJ and its subsidiaries created a GIE, GIE Elis, whose purpose is to offer them "administrative and accounting services, financial, marketing and commercial, IT, as well as in human resources, industrial and technical management, and also purchasing." GIE Elis has 250 employees, including a sales department that negotiates "key account" contracts.</w:t>
      </w:r>
    </w:p>
    <w:p>
      <w:r>
        <w:t>12. All subsidiaries of the holding company Holdelis are members of this GIE, as well as an external company to the group, the company SET, which does not operate in the textile rental-maintenance sector.</w:t>
      </w:r>
    </w:p>
    <w:p>
      <w:r>
        <w:rPr>
          <w:b/>
        </w:rPr>
        <w:t>[Pages 4–6]</w:t>
      </w:r>
    </w:p>
    <w:p>
      <w:r>
        <w:t>13. The Elis group, present in seven European countries as well as in the United States, undertook a vertical integration by acquiring, in 2000, the number three French company in professional clothing, Molinel.</w:t>
      </w:r>
    </w:p>
    <w:p>
      <w:r>
        <w:t>14. In the market for linen rental and maintenance, the companies of the Elis group hold together 58% of the market share.</w:t>
      </w:r>
    </w:p>
    <w:p>
      <w:r>
        <w:t>The company Initial BTB</w:t>
      </w:r>
    </w:p>
    <w:p>
      <w:r>
        <w:t>15. Founded in 1923, the company BTB (short for Blanchisserie Teinturerie de Boulogne) was acquired in 1995 by Générale des Eaux, which had a rental-maintenance division, Ecolinge. Then in 1997, the British group Rentokil, which had taken control of Initial, which entered the capital of BTB in 1981, bought out the share of Générale des Eaux. Initial BTB then became 98% owned by Rentokil.</w:t>
      </w:r>
    </w:p>
    <w:p>
      <w:r>
        <w:t>16. According to statements from the General Director of Initial BTB: "The turnover is approximately €300 million in 2004. This is the turnover of Initial BTB France including health, hygiene, industry (...) Our activity is 95% linen rental maintenance, with the remaining 5% being wholesale laundry. 80% of textile turnover is industrial. The rest consists of clients in the health sector. Of these 80%, 30-35% are key account clients, i.e., 350 key account clients out of 70,000 extremely diversified clients (ranging from small retail butchers to a large Peugeot factory)."</w:t>
      </w:r>
    </w:p>
    <w:p>
      <w:r>
        <w:t>17. Initial BTB, the number two in the sector, holds approximately 18% of the French market for linen rental and maintenance.</w:t>
      </w:r>
    </w:p>
    <w:p>
      <w:r>
        <w:t>The other companies</w:t>
      </w:r>
    </w:p>
    <w:p>
      <w:r>
        <w:t>18. The sector is highly concentrated around the two leaders mentioned above, which cover more than 3/4 of the market in value. The two other significant players, RLD and Anett, thus appear as "challengers" to the two most important companies.</w:t>
      </w:r>
    </w:p>
    <w:p>
      <w:r>
        <w:t>19. According to statements from the CEO of RLD, "Régie Linge, in its current form, was born in early 1999 following the desire of an investment fund (ASTORG, which holds 65% of the shares, French and international funds with Suez Industrie Finances as the 'sponsor') to create an alternative in the market for the rental-maintenance of textile articles."</w:t>
      </w:r>
    </w:p>
    <w:p>
      <w:r>
        <w:t>20. With its three franchisees, RLD achieved a turnover of €114.3 million in 2002, distributed as follows: 40% in industry, 28% in hospitality and catering, 12% in the health sector, 10% in hygiene products (including mats), and 10% in laundry.</w:t>
      </w:r>
    </w:p>
    <w:p>
      <w:r>
        <w:t>21. Anett is a holding company owned by family capital. It is primarily active in the health establishment sector, which represents 40% of its sales. Its turnover was €73.2 million in 2002. Anett is a national player but is not present in the Northern region.</w:t>
      </w:r>
    </w:p>
    <w:p>
      <w:r>
        <w:t>The key account segment</w:t>
      </w:r>
    </w:p>
    <w:p>
      <w:r>
        <w:t>22. In the market for linen rental and maintenance, it is possible to isolate the "key account" segment, which corresponds to a specific demand: that of companies with significant turnover (Initial BTB considers the threshold to be €60 million, annex 70, reference 1374), a large number of potential users (at least 300 people according to Initial BTB, annex 70, reference 1374), and a presence in at least two regions requiring centralized negotiation.</w:t>
      </w:r>
    </w:p>
    <w:p>
      <w:r>
        <w:t>23. Without providing a precise definition of this category of clients, the Elis group indicates that the negotiation of contracts for key clients is centralized at the level of the GIE itself and entrusted to a specialized sales department, with the members of the GIE being responsible for executing the contract. This organization implicitly confirms that the term "key accounts" corresponds to a specific service that often includes the provision of clothing dedicated to the client.</w:t>
      </w:r>
    </w:p>
    <w:p>
      <w:r>
        <w:t>24. According to information provided by the parties, the turnover generated in the "key account" segment by both parties has evolved according to the table below.</w:t>
      </w:r>
    </w:p>
    <w:p>
      <w:r>
        <w:t>Amount of turnover in the "key account" segment: in millions €</w:t>
        <w:br/>
        <w:t>Total turnover of the segment | Turnover Initial BTB | Turnover Elis group</w:t>
        <w:br/>
        <w:t>1998 | 44 | 29.5 | 14</w:t>
        <w:br/>
        <w:t>1999 | 54 | 34.6 | 19</w:t>
        <w:br/>
        <w:t>2000 | 60 | 37.7 | 23</w:t>
        <w:br/>
        <w:t>2001 | 82 | 44.1 | 38</w:t>
        <w:br/>
        <w:t>2002 | 106 | 51.5 | 55</w:t>
        <w:br/>
        <w:t>2003 | 130 | 54.9 | 76</w:t>
        <w:br/>
        <w:t>2004 | 153 | 58.4 | 95</w:t>
        <w:br/>
        <w:t>2005 | 164 | 62.3 | 102</w:t>
        <w:br/>
        <w:t>(source: the parties)</w:t>
      </w:r>
    </w:p>
    <w:p>
      <w:r>
        <w:t>The professional union: GEIST</w:t>
      </w:r>
    </w:p>
    <w:p>
      <w:r>
        <w:t>25. In 1970, linen rental companies, feeling the need for a national structure to represent them, created the French Linen Association (AFL). It is an association under the law of 1901 aimed at defending the interests of the profession. It subsequently became the French Association of Textile Article Renters (AFLAT).</w:t>
      </w:r>
    </w:p>
    <w:p>
      <w:r>
        <w:t>26. In 1999, AFLAT transformed into GEIST (Groupement des Entreprises Industrielles de Services Textiles), which includes 19 members, all linen rental companies, including the four main companies in the profession, Elis, Initial BTB, RLD, and Anett, and 31 associate members (manufacturers of machines, textiles, detergents...). The missions of GEIST are as follows: to represent the actors of the profession before public authorities and all private and public organizations, to organize the study of economic, commercial, environmental, technical, fiscal, social, legal, and legislative issues concerning the exercise of the profession, to promote scientific research regarding the improvement of processes, materials, products, production practices, and marketing; to centralize and disseminate information concerning members; to promote and defend the interests of the profession.</w:t>
      </w:r>
    </w:p>
    <w:p>
      <w:r>
        <w:t>27. Nine companies are represented on the board of directors, whose members are elected by a general assembly that also designates an office.</w:t>
      </w:r>
    </w:p>
    <w:p>
      <w:r>
        <w:t>B. THE PRACTICES IDENTIFIED</w:t>
      </w:r>
    </w:p>
    <w:p>
      <w:r>
        <w:t>28. The DGCCRF conducted an investigation which required the use of the provisions of Article L. 450-4 of the Commercial Code. This investigation resulted in three authorizations for visits and seizures. The first was issued on January 15, 2001, the second on September 25, 2002, and the third on October 16, 2002.</w:t>
      </w:r>
    </w:p>
    <w:p>
      <w:r>
        <w:t>1. The practices of the Elis group and the company Initial BTB:</w:t>
      </w:r>
    </w:p>
    <w:p>
      <w:r>
        <w:t>29. The documents seized during the administrative investigation during the interventions on January 23, 2001, and September 25, 2002, were collected at the headquarters of the GIE Elis and certain member companies of the group, as well as at the headquarters of the company Initial BTB.</w:t>
      </w:r>
    </w:p>
    <w:p>
      <w:r>
        <w:t>30. These documents report either contacts between key account managers of the two competing companies, ELIS and Initial BTB (June 26, 1997, December 16, 1998, February 16, 1999, January 28 and April 4, 2002), or internal meetings among Initial BTB managers reviewing the relations between Elis and Initial BTB. They established the existence of a consultation between the sales managers of the GIE Elis and those of Initial BTB, during the period from May 7, 1997, to April 4, 2002.</w:t>
      </w:r>
    </w:p>
    <w:p>
      <w:r>
        <w:t>31. The purpose of these contacts in meetings was to respond in a coordinated manner to two situations encountered during the negotiation of contracts with key clients. The first situation is one in which the company, after putting several suppliers in competition, chooses only one for all its needs: this is referred to as an "exclusive client." Only one rental company is then responsible for the purchase and maintenance of uniforms and professional linen for the duration of the contract, which is often three years. The second situation is one in which the client company chooses to retain several suppliers, generally two, and to distribute among them the service of its various establishments (it is rare for two rental companies to operate in the same establishment). The rental companies must then purchase and manage the same uniforms in a coordinated manner, according to the client's wishes, and jointly address requests for changes to the contract. This is referred to as a "shared client."</w:t>
      </w:r>
    </w:p>
    <w:p>
      <w:r>
        <w:t>The case of exclusive clients</w:t>
      </w:r>
    </w:p>
    <w:p>
      <w:r>
        <w:t>32. In the first case, that is, for exclusive clients, the consultation aimed to maintain the status quo on the distribution of clients between the two companies and took the form of a non-aggression pact at the time of contract renewal, as evidenced by the note from October 1999 (annex 5, reference 115), which bears the mention "key accounts: exclusives → do not intervene."</w:t>
      </w:r>
    </w:p>
    <w:p>
      <w:r>
        <w:t>33. This distribution of clients involved, for both companies, an exchange of information about their intentions or pricing offers, in order to limit the risks of changing suppliers. One of the two would not submit a bid or would present a cover offer. Several annotations illustrate the implementation of this strategy:</w:t>
        <w:br/>
        <w:t>"BERGERAT MONNOYEUR: BTB submitted its prices to ELIS and withdrew"</w:t>
        <w:br/>
        <w:t>"PETIT FORESTIER: BTB blocks its offer"</w:t>
        <w:br/>
        <w:t>"UPS: BTB responds + expensive"</w:t>
        <w:br/>
        <w:t>"Gaumont Cinema: same as UPS"</w:t>
        <w:br/>
        <w:t>"ATAC, EUROMASTER, CARGLASS: correct proposal from BTB."</w:t>
      </w:r>
    </w:p>
    <w:p>
      <w:r>
        <w:rPr>
          <w:b/>
        </w:rPr>
        <w:t>[Pages 7–9]</w:t>
      </w:r>
    </w:p>
    <w:p>
      <w:r>
        <w:t>34. The negotiation of the CARGLASS contract in 1999 more precisely illustrates the practice of cover offers. A document dated December 16, 1998 (annex 43, reference 222) seized at Elis, related to the "CARGLASS" file, indicates that a sales manager of GIE Elis, Mr. X…, met with his counterpart from Initial BTB, Mr. Y…, and that the latter agreed to "postpone his offer submission date until early January" (emphasis added) and, importantly, that he agreed to raise his prices, as specified in his annotation "I significantly made him raise the prices he intends to propose" (annex 71, references 1401 and following).</w:t>
      </w:r>
    </w:p>
    <w:p>
      <w:r>
        <w:t>35. The documents in the file establish that the submission of the Initial BTB quote was indeed postponed to early January since this quote only arrived at the client on January 11 and that the prices of Initial BTB were much higher than those of Elis, which was able to maintain its exclusive contract.</w:t>
      </w:r>
    </w:p>
    <w:p>
      <w:r>
        <w:t>36. The renewal of this contract three years later again revealed the efforts of the companies to maintain the distribution of exclusive clients. According to statements from Initial BTB: "In 2002, CARGLASS, very dissatisfied with the services of ELIS, launched a restricted consultation (only INITIAL BTB was able to respond to their consultation, due to its national coverage). Ultimately, ELIS, to retain the market, erased one year of unpaid bills caused by customer dissatisfaction and remains to this day the exclusive supplier of CARGLASS." (annex 67, reference 341).</w:t>
      </w:r>
    </w:p>
    <w:p>
      <w:r>
        <w:t>The case of shared clients</w:t>
      </w:r>
    </w:p>
    <w:p>
      <w:r>
        <w:t>37. In the case of shared clients, the consultation between Elis and Initial BTB aimed to avoid price reductions imposed by the common client and consisted of coordinating pricing offers during the contract negotiation.</w:t>
      </w:r>
    </w:p>
    <w:p>
      <w:r>
        <w:t>38. Evidence of this consultation aimed at price harmonization is notably found in the following two documents: a handwritten note from October 1999 that states: "Key account files: shared → balance the rates" and an undated note "Shared clients: we consult to harmonize rates + conditions, same for increases." (annex 22, reference 01).</w:t>
      </w:r>
    </w:p>
    <w:p>
      <w:r>
        <w:t>39. Some of the seized documents specifically name a few "shared" contracts for which exchanges of information between ELIS and BTB aimed at price harmonization took place (or will be decided).</w:t>
      </w:r>
    </w:p>
    <w:p>
      <w:r>
        <w:t>40. Thus, the aforementioned October 1999 note indicates:</w:t>
        <w:br/>
        <w:t>"MONOPRIX: ELIS no longer moves Prices and RFA matched."</w:t>
        <w:br/>
        <w:t>"MIDAS: do nothing without a common policy."</w:t>
        <w:br/>
        <w:t>"FRAIKIN: offer to be submitted within 2 to 3 days. They plan to keep 2 providers; Agree…"</w:t>
        <w:br/>
        <w:t>"SOGEDAC: 'operation 1000 carpets… ELIS will communicate the prices.'"</w:t>
        <w:br/>
        <w:t>"YOPLAIT: 'to be discussed between us E and B.'"</w:t>
        <w:br/>
        <w:t>The BTB note of June 27, 1997 (annex 22, reference 22) mentions: "NESTLE ISANCOURT (17) → ELIS in size negotiation. Mr. Z… communicates ELIS prices + gives the name of the responsible person."</w:t>
        <w:br/>
        <w:t>or again (annex 22, reference 13): "SOGEDAC: 'meal on 16.02.99 + Pierre A… (ELIS); fax the SOGEDAC pricing.'"</w:t>
      </w:r>
    </w:p>
    <w:p>
      <w:r>
        <w:t>41. When price comparisons could be made, either by observing submissions to the same call for tenders from Elis, BTB, and external providers to the agreement, or for two successive contracts for which the holder entrusted the service to an external provider to the agreement, the observed price differences were very significant.</w:t>
      </w:r>
    </w:p>
    <w:p>
      <w:r>
        <w:t>42. The investigation thus allowed for the examination of contracts for which a third competitor, RLD, submitted bids at advantageous prices. For example, during the call for tenders conducted by the company Bergerat-Monnoyeur, which uses work clothing for workshop use (Caterpillar dealer and distributor of Feu Vert brand products), for the new collection of "image" clothing, the company RLD proposed prices 8 to 41% lower than those of Elis, and 13 to 36% lower than those of Initial BTB.</w:t>
      </w:r>
    </w:p>
    <w:p>
      <w:r>
        <w:t>43. The details of the price differences by service are provided in the table below, noting, from a methodological standpoint, that these are custom offers and not catalog offers, and that part of the price difference could be explained by differences in services. In any case, these variations between suppliers, if they exist, were accepted by the client.</w:t>
        <w:br/>
        <w:t>ELIS 2001 Initial 2001 RLD 2001 Difference Difference</w:t>
        <w:br/>
        <w:t>(image) (image) (image) RLD /ELIS RLD/Initial</w:t>
        <w:br/>
        <w:t>Overall suit (2 changes) 12.75 12.85 10.15 - 20% - 21%</w:t>
        <w:br/>
        <w:t>Pants (2 changes) 7.00 7.41 6.44 - 8% - 13%</w:t>
        <w:br/>
        <w:t>Jacket (2 changes) 8.90 / 7.14 - 20% /</w:t>
        <w:br/>
        <w:t>Shirt (3 changes) 5.74 7.37 4.90 - 15% - 34%</w:t>
        <w:br/>
        <w:t>EPI overall 24.00 22.04 14.10 - 41% - 36%</w:t>
        <w:br/>
        <w:t>(2 changes)</w:t>
        <w:br/>
        <w:t>(sources: annexes 84 references 1639 and 1642, 87 references 1996, 1997 and 1994 and 70 reference 1387).</w:t>
      </w:r>
    </w:p>
    <w:p>
      <w:r>
        <w:t>44. Similarly, during the call for tenders organized in 2002 by Système U for image clothing, the company RLD proposed prices 30% lower than those practiced by Elis and Initial BTB in previous years. Before RLD entered the market, prices were relatively stable as shown in the table below which tracks the evolution of prices for "image" clothing for several successive offers:</w:t>
        <w:br/>
        <w:t>1997 1999 2002 2003</w:t>
        <w:br/>
        <w:t>ELIS BTB ELIS BTB ELIS BTB RLD RLD 2003/ RLD 2003/</w:t>
        <w:br/>
        <w:t>ELIS 2002/ BTB 2002</w:t>
        <w:br/>
        <w:t>Jacket</w:t>
        <w:br/>
        <w:t>9.95 10.33 9.20 9.15 9.05 8.84 6.17 - 31% - 30%</w:t>
        <w:br/>
        <w:t>(2 changes)</w:t>
        <w:br/>
        <w:t>Marinière</w:t>
        <w:br/>
        <w:t>7.55 8.92 7.35 7.30 7.25 7.27 6.17 - 15% - 15%</w:t>
        <w:br/>
        <w:t>(2 changes)</w:t>
        <w:br/>
        <w:t>Blazer</w:t>
        <w:br/>
        <w:t>7.40 9.42 7.40 7.45 7.31 7.48 5.05 - 31% - 32%</w:t>
        <w:br/>
        <w:t>(2 changes)</w:t>
        <w:br/>
        <w:t>Pants</w:t>
        <w:br/>
        <w:t>7.11 - 6.20 - 6.13 - 4.59 - 25% /</w:t>
        <w:br/>
        <w:t>(2 changes)</w:t>
        <w:br/>
        <w:t>(annexes 67 references 384 and 388, 68 references 551, 554 and 560 and 82 reference 1611).</w:t>
      </w:r>
    </w:p>
    <w:p>
      <w:r>
        <w:t>45. It appears from this table that RLD's prices for the Système U contract were, in 2003, 15 to 30% lower than those of competitors Elis and BTB. Even if there may have been a difference in the cost of the service from one year to the next, in the event of a decrease in the manufacturing cost of clothing for example, it can be noted that this difference would need to be very drastic to explain the break in evolution between 1997-2002 and 2002-2003.</w:t>
      </w:r>
    </w:p>
    <w:p>
      <w:r>
        <w:t>2. The practices of the professional group GEIST:</w:t>
        <w:br/>
        <w:t>46. The last visit and seizure, carried out by the investigative services on October 16, 2002, took place at the headquarters of the Group of Industrial Textile Service Companies (GEIST). The investigations established that the group disseminated to its members a formula for price increases based on cost evolution, which was also used as a contractual clause for annual price revision, in contract models established by the group for its members.</w:t>
      </w:r>
    </w:p>
    <w:p>
      <w:r>
        <w:t>47. This revision formula has an administrative origin. In 1985, during the establishment of a new price regime (price freeze), the profession of textile rental companies, under the aegis of its professional union, the predecessor of GEIST, signed with the government, on July 22, 1985, a commitment to combat inflation. This commitment took the form of an "amendment [to the commitment to combat inflation] relating to the rental of linen and work clothing services." Under this amendment, companies could contractually apply a price revision formula provided it contained a fixed part of 15%.</w:t>
      </w:r>
    </w:p>
    <w:p>
      <w:r>
        <w:t>48. As of January 1, 1987, prices were deregulated. However, in a circular dated December 5, 1986, Mr. B…, the general delegate of the union, indicated that the union "would continue to monitor price evolution based on the variation of the formula that is specific to it… As of January 1, 1987, we will periodically publish the results of the revision formula but by removing the fixed part of 15%, that is to say, reverting to the old formula in its entirety."</w:t>
      </w:r>
    </w:p>
    <w:p>
      <w:r>
        <w:t>49. In fact, the union then proposed to companies a formula without a fixed part, retaining the general structure of the old price revision formula. In 2002, GEIST continued to use the same price revision formula, without a fixed part, in accordance with the 1987 decision.</w:t>
      </w:r>
    </w:p>
    <w:p>
      <w:r>
        <w:t>50. However, in October 2001, the president of GEIST indicated in a circular letter to its members that it seemed justified not to adhere to the amount resulting from the application of the revision formula, as it led to an insufficient increase compared to the actual increase in costs for the profession, in the following terms:</w:t>
        <w:br/>
        <w:t>"The various increases that occurred throughout 2001 reveal, according to the professional parametric formula and the latest known indices, a theoretical revaluation of our rates of 0.96%. However, this figure does not take into account the real impact of the implementation of the 35-hour workweek on our payroll, nor did it last year. In hindsight, we estimate the valuation of this impact at 3.2%; this would bring the total impact on our costs to over 4%. The latest known indices of 2001 also do not integrate the 'September 11 effect,' one of the consequences of which is already reflected in significant increases in our insurance contracts. For the record, I will also recall the significant increase in the price of water observed among a number of our members, which will tend to generalize over time. I therefore invite you to take these developments into account in your price revisions for the year 2002. The future of our profession will depend on our ability to pass on the various increases to our costs in order to maintain a quality of service that meets our clients' expectations."</w:t>
      </w:r>
    </w:p>
    <w:p>
      <w:r>
        <w:rPr>
          <w:b/>
        </w:rPr>
        <w:t>[Pages 10–12]</w:t>
      </w:r>
    </w:p>
    <w:p>
      <w:r>
        <w:t>51. Thus, GEIST, on the one hand, reminded its members that the revision formula was indeed intended to guide them in their decisions regarding price increases and, on the other hand, invited them to implement, that year, larger increases than those resulting directly from the calculation formula to take into account unforeseen particular events not included in the historical formula.</w:t>
      </w:r>
    </w:p>
    <w:p>
      <w:r>
        <w:t>C. THE NOTIFIED GRIEVANCES</w:t>
      </w:r>
    </w:p>
    <w:p>
      <w:r>
        <w:t>52. Two grievances were notified on October 9, 2006:</w:t>
      </w:r>
    </w:p>
    <w:p>
      <w:r>
        <w:t>"It is alleged against the economic interest group ELIS and certain companies that compose it, namely the companies MAJ, RLST (Régionale de Location et Services Textiles), Grenelle Services, Les Lavandières, Pierrette TBA, Lovetra, Euronet, and Thimeau, as well as the company Initial BTB, that they conspired from May 1997 to 2002 to distort competition in the market for the rental and maintenance of textiles, particularly for the large accounts segment. These practices are prohibited by Article 81 of the Treaty and Article L. 420-1 of the Commercial Code." (grievance no. 1)</w:t>
      </w:r>
    </w:p>
    <w:p>
      <w:r>
        <w:t>"It is alleged against the group of industrial textile service companies (GEIST) that during the period 1998-2002, it disseminated a price revision formula to its members that encouraged the member companies of the aforementioned group, operating in the market for the rental and maintenance of textiles, to increase the prices of the services they offered. Such a practice, which has an anti-competitive object and is likely to have anti-competitive effects, is prohibited by Article 81 of the Treaty and Article L. 420-1 of the Commercial Code." (grievance no. 2)</w:t>
      </w:r>
    </w:p>
    <w:p>
      <w:r>
        <w:t>D. IMPLEMENTATION OF III OF ARTICLE L. 464-2 OF THE COMMERCIAL CODE</w:t>
      </w:r>
    </w:p>
    <w:p>
      <w:r>
        <w:t>53. The company Initial BTB, the GIE Elis, and the member companies of the GIE that received the notification of grievances decided not to contest the first grievance, which was the only one addressed to them. For its part, the group of industrial textile service companies (GEIST), the sole recipient of the second grievance, chose not to contest it. All the companies and organizations involved thus requested the benefit of the provisions of III of Article L. 464-2 of the Commercial Code, which states:</w:t>
      </w:r>
    </w:p>
    <w:p>
      <w:r>
        <w:t>"When an organization or a company does not contest the reality of the grievances notified to it and commits to modifying its behaviors for the future, the general rapporteur may propose to the Competition Council, which hears the parties and the Government Commissioner without prior establishment of a report, to impose the monetary sanction provided for in I, taking into account the absence of contestation. In this case, the maximum amount of the sanction incurred is reduced by half."</w:t>
      </w:r>
    </w:p>
    <w:p>
      <w:r>
        <w:t>54. The implementation of these provisions resulted in three signed minutes, respectively, on January 10, 2007, by the representatives of GIE Elis and its implicated members, on January 11, 2007, by the group of industrial textile service companies (GEIST), and on February 20, 2007, by the company Initial BTB.</w:t>
      </w:r>
    </w:p>
    <w:p>
      <w:r>
        <w:t>55. Since all the implicated parties chose not to contest the grievances, no report was established. The company Initial BTB, the ELIS group (as well as the companies that compose it), and the group of industrial textile service companies (GEIST) nevertheless presented observations regarding the determination of the sanction, particularly concerning the severity of the practices and the significance of the damage to the economy.</w:t>
      </w:r>
    </w:p>
    <w:p>
      <w:r>
        <w:t>The commitments of GIE Elis and the member companies of the GIE</w:t>
      </w:r>
    </w:p>
    <w:p>
      <w:r>
        <w:t>56. For the implementation of III of Article L. 464-2 of the Commercial Code, GIE Elis as well as the companies MAJ, Régionale de Location et de Services Textiles, Grenelle Service, Les Lavandières, Pierrette-TBA, Lovetra, Thimeau, undertook, by minutes of January 10, 2007, commitments that were specified and supplemented during the session, the text of which was summarized in a document dated May 9, 2007:</w:t>
      </w:r>
    </w:p>
    <w:p>
      <w:r>
        <w:t>"1st Commitment: For the management of professional contacts</w:t>
      </w:r>
    </w:p>
    <w:p>
      <w:r>
        <w:t>- Elis will instruct the relevant personnel never to participate in meetings with representatives of competing companies, including for the management of contracts with clients having multiple suppliers, except for technical meetings organized at the client's request.</w:t>
      </w:r>
    </w:p>
    <w:p>
      <w:r>
        <w:t>By technical meetings, we mean:</w:t>
      </w:r>
    </w:p>
    <w:p>
      <w:r>
        <w:t>- either meetings bringing together, at the client's request, various actors in the provision of professional clothing (manufacturers, rental companies, style offices, communication agencies) and aimed at integrating the expertise of the rental companies regarding, in particular:</w:t>
        <w:br/>
        <w:t>(i) taking into account the constraints of industrial processing of textile articles in the choice of clothing models (washing temperature, choice of accessories, color compatibility, durability of the manufacturing, stock management, ...),</w:t>
        <w:br/>
        <w:t>(ii) validating the technical specifications of the client sent to the manufacturer(s) as well as the response provided by them to the technical points raised,</w:t>
        <w:br/>
        <w:t>(iii) defining the supply schedule with the manufacturers based on the quantities necessary and adapted to the client's needs,</w:t>
        <w:br/>
        <w:t>(iv) defining measurable quality standards.</w:t>
      </w:r>
    </w:p>
    <w:p>
      <w:r>
        <w:t>These meetings allow the client to ensure a homogeneous execution of the rental and maintenance services of professional clothing by the different rental companies to which the client, in such a case, entrusts the execution of these services.</w:t>
      </w:r>
    </w:p>
    <w:p>
      <w:r>
        <w:t>- or meetings bringing together, at the client's request, the incoming and outgoing rental companies when a contract with a so-called "large accounts" client (national contracts on private tenders for the rental of professional clothing for industry and commerce) ends, aimed at determining the conditions for the return of clothing from the outgoing rental company.</w:t>
      </w:r>
    </w:p>
    <w:p>
      <w:r>
        <w:t>- Elis commits to requesting the relevant client to participate or be represented at each of these meetings and to prepare a report indicating, in particular, the date and purpose of the meeting as well as the name and position of the participants and, if applicable, a record of the decisions made.</w:t>
      </w:r>
    </w:p>
    <w:p>
      <w:r>
        <w:t>- Elis commits to keeping these documents in its archives, in compliance with regulations, for a period of five years after the meeting during which competing companies were present.</w:t>
      </w:r>
    </w:p>
    <w:p>
      <w:r>
        <w:t>This provision does not prevent Elis from participating in the activities of professional trade shows and professional associations of which it is a member, in strict compliance with competition law rules.</w:t>
      </w:r>
    </w:p>
    <w:p>
      <w:r>
        <w:t>2nd Commitment: Regarding personnel</w:t>
      </w:r>
    </w:p>
    <w:p>
      <w:r>
        <w:t>- Elis commits to implementing a program aimed at raising awareness among the relevant personnel about competition law rules and informing them of the terms and importance of these commitments and the obligation to comply with them.</w:t>
      </w:r>
    </w:p>
    <w:p>
      <w:r>
        <w:t>As part of this program, Elis commits to:</w:t>
      </w:r>
    </w:p>
    <w:p>
      <w:r>
        <w:t>- organizing training sessions for commercial managers likely to be in contact with competitors on the content of competition law rules,</w:t>
        <w:br/>
        <w:t>- developing, with the help of its advisors, a written instruction note intended for the relevant personnel, describing the principles governing relations with competitors, particularly within associations and trade shows, and the sanctions applicable in case of violation of competition law rules. This note will particularly remind that a staff member's participation in an anti-competitive practice constitutes a fault that may lead to disciplinary sanctions up to dismissal.</w:t>
      </w:r>
    </w:p>
    <w:p>
      <w:r>
        <w:t>This instruction note will be provided individually to each member of the relevant personnel in duplicate, one copy being kept by the recipient, the second to be returned duly dated, signed, and marked "acknowledged on..." to the hierarchical supervisor to be kept in the Human Resources Department at the headquarters of GIE Elis.</w:t>
      </w:r>
    </w:p>
    <w:p>
      <w:r>
        <w:t>- Elis commits to appointing a mediator within GIE Elis, responsible for ensuring compliance with these commitments and, if necessary, alerting the general management of the concerned company of any violations thereof.</w:t>
      </w:r>
    </w:p>
    <w:p>
      <w:r>
        <w:t>This mediator will notably be tasked with establishing a professional alert hotline or email allowing, in compliance with regulations and particularly the "Data Protection Act," any Elis employee aware of potentially anti-competitive practices to inform the mediator, who will guarantee confidentiality to that employee.</w:t>
      </w:r>
    </w:p>
    <w:p>
      <w:r>
        <w:t>This mediator may conduct any audit on the facts brought to their attention and must transmit the resulting report to the general management of the concerned company.</w:t>
      </w:r>
    </w:p>
    <w:p>
      <w:r>
        <w:t>The mediator will be appointed by a general assembly of GIE Elis and will have full latitude to fulfill their mission both within GIE Elis and with the member companies, including all the aforementioned companies, and to take all the aforementioned measures with the concerned companies;</w:t>
      </w:r>
    </w:p>
    <w:p>
      <w:r>
        <w:t>- Elis commits to keeping, subject to compliance with applicable regulations, the mediator's working documents for a period of five years from their establishment."</w:t>
      </w:r>
    </w:p>
    <w:p>
      <w:r>
        <w:rPr>
          <w:b/>
        </w:rPr>
        <w:t>[Pages 13–15]</w:t>
      </w:r>
    </w:p>
    <w:p>
      <w:r>
        <w:t>3rd Commitment: For the Respect of Commitments</w:t>
      </w:r>
    </w:p>
    <w:p>
      <w:r>
        <w:t>ELIS commits to implementing an internal control of the respect of subscribed commitments which will be carried out as follows:</w:t>
      </w:r>
    </w:p>
    <w:p>
      <w:r>
        <w:t>- The Human Resources Department of GIE ELIS will verify that the information note related to business life and competition law has been sent to each of the concerned employees, then signed and returned by each of said employees;</w:t>
      </w:r>
    </w:p>
    <w:p>
      <w:r>
        <w:t>- The information note related to business life and competition law, updated if necessary, will be sent again each year to all concerned employees, to remind them of the importance of respecting competition law;</w:t>
      </w:r>
    </w:p>
    <w:p>
      <w:r>
        <w:t>- GIE ELIS will request each year from the commercial managers in charge of key accounts (national contracts for private tenders for the rental of professional clothing for industry and commerce) within GIE ELIS and the regional directors in relation to these clients a written declaration confirming that they have personally complied with the competition law rules recalled in the aforementioned information note;</w:t>
      </w:r>
    </w:p>
    <w:p>
      <w:r>
        <w:t>- The Human Resources Department of GIE ELIS will maintain an annual record of training meetings on competition law, specifying in particular the number of participants in these meetings;</w:t>
      </w:r>
    </w:p>
    <w:p>
      <w:r>
        <w:t>- Any commercial employee required to participate in a technical meeting, as defined in the minutes of commitments, must inform the mediator and their hierarchical superior in advance and, if applicable, send them a copy of the invitation received from the client, and confirm that they will ask the client to participate in the meeting and to prepare the minutes;</w:t>
      </w:r>
    </w:p>
    <w:p>
      <w:r>
        <w:t>- The mediator may delegate an auditor who will attend the technical meeting organized by the client; the commercial employee who participated in the meeting will send the mediator the minutes of the meeting prepared by the client and, failing that, will prepare their own minutes;</w:t>
      </w:r>
    </w:p>
    <w:p>
      <w:r>
        <w:t>- The mediator will keep in their archives for a period of five years and in compliance with regulations, all documents related to the controls mentioned above;</w:t>
      </w:r>
    </w:p>
    <w:p>
      <w:r>
        <w:t>In order to inform the council of the execution of the commitments made by Elis, GIE ELIS will send it, during the first quarter of each year, a report detailing the implementation, during the previous year, of the commitments made by Elis in the minutes and the complementary internal control procedures defined above. This report will notably indicate:</w:t>
      </w:r>
    </w:p>
    <w:p>
      <w:r>
        <w:t>- The number of employees who received the information note related to business life and competition law;</w:t>
      </w:r>
    </w:p>
    <w:p>
      <w:r>
        <w:t>- The number of individual declarations regarding compliance with competition law;</w:t>
      </w:r>
    </w:p>
    <w:p>
      <w:r>
        <w:t>- The number of training meetings on competition law and the number of participants in these meetings;</w:t>
      </w:r>
    </w:p>
    <w:p>
      <w:r>
        <w:t>- The number and dates of technical meetings held at the request of clients;</w:t>
      </w:r>
    </w:p>
    <w:p>
      <w:r>
        <w:t>- The number of alerts received by the mediator and the follow-up given by the mediator to these alerts and, if applicable, by the general management.</w:t>
      </w:r>
    </w:p>
    <w:p>
      <w:r>
        <w:t>This report will be sent to the Competition Council during the three calendar years following the notification to Elis of the decision to be made by the Council. In the following years, this report will be sent to the Council upon its express request.</w:t>
      </w:r>
    </w:p>
    <w:p>
      <w:r>
        <w:t>57. To take into account the non-contestation of the grievances and the commitments made by the companies of the Elis group at the signing of the minutes, the general rapporteur proposed that any sanction incurred be reduced by a proportion ranging from 30 to 35% of the amount that would normally have been imposed.</w:t>
      </w:r>
    </w:p>
    <w:p>
      <w:r>
        <w:t>58. During the session on April 25, GIE Elis also indicated that, during its general assembly on February 14, 2007, the group had appointed and defined the mission of the mediator responsible for ensuring compliance with these commitments (cf. minutes of the general assembly - document no. 1 attached to the observations of ELIS dated March 23, 2007).</w:t>
      </w:r>
    </w:p>
    <w:p>
      <w:r>
        <w:t>59. Finally, ELIS submitted to the Council a file concerning the implementation of the contractual commitments stated in the minutes of January 10 and including the following documents:</w:t>
      </w:r>
    </w:p>
    <w:p>
      <w:r>
        <w:t>- An information note related to business life and competition law that will be sent by name to all current commercial employees of ELIS and to all new commercial employees upon their hiring;</w:t>
      </w:r>
    </w:p>
    <w:p>
      <w:r>
        <w:t>- The list of commercial employees (approximately 800) to whom the aforementioned information note will be sent, this note to be signed and returned by each of the employees; ELIS's note to the regional directors of the member companies requesting them to disseminate the information note;</w:t>
      </w:r>
    </w:p>
    <w:p>
      <w:r>
        <w:t>- The program of meetings of establishment committees, works councils, and central works councils (59 meetings), for which prior consultation is necessary in order to modify the internal regulations; the agenda of the establishment committees, works councils, and central works councils including the draft clause to be integrated into the internal regulations;</w:t>
      </w:r>
    </w:p>
    <w:p>
      <w:r>
        <w:t>- The 2007 calendar of training meetings related to business life and competition law, as well as the training program and the training module related to business life and competition law;</w:t>
      </w:r>
    </w:p>
    <w:p>
      <w:r>
        <w:t>- Two legal consultations on professional alert and social legislation.</w:t>
      </w:r>
    </w:p>
    <w:p>
      <w:r>
        <w:t>60. Having taken note of the proposal for an additional commitment made in the session by the company Initial BTB regarding the improvement of market fluidity in the event of a change of supplier (see paragraph 65) and invited during the session to make a similar commitment if desired, the Elis group formulated the following additional commitment by a letter dated May 9, 2007:</w:t>
      </w:r>
    </w:p>
    <w:p>
      <w:r>
        <w:t>61. "When a contract ends in favor of another rental company, to allow the incoming rental company to procure new clothing, and to avoid any risk of interruption or disruption of service for the client, ELIS will accept, at the client's request, to extend the contract under the same conditions pro rata temporis, it being specified that the client's request must be made in writing within a reasonable notice period (at least three months) before the end of the contract, and that the extension may not exceed three months."</w:t>
      </w:r>
    </w:p>
    <w:p>
      <w:r>
        <w:t>The commitments of the company Initial BTB</w:t>
      </w:r>
    </w:p>
    <w:p>
      <w:r>
        <w:t>62. For the implementation of III of Article L. 464-2 of the Commercial Code, the company Initial BTB has made several commitments that were specified and supplemented during the session. Their final status results from a document sent by the company to the Council on May 4, 2007:</w:t>
      </w:r>
    </w:p>
    <w:p>
      <w:r>
        <w:t>1st Commitment</w:t>
      </w:r>
    </w:p>
    <w:p>
      <w:r>
        <w:t>The company Initial BTB commits, regarding so-called "shared" clients, that is to say clients who have chosen to have two textile rental and maintenance service providers, to only meet the other selected provider in the presence of the client and only at the client's request. Discussions may only concern purely technical matters (for example, the making of uniforms or their maintenance) and in no case pricing, except for specific instructions from the client regarding purchase prices from external uniform suppliers.</w:t>
      </w:r>
    </w:p>
    <w:p>
      <w:r>
        <w:t>To ensure the effective nature of this commitment, Initial BTB commits to implementing an internal control procedure. This monitoring task will be entrusted to the internal audit manager. To this end, they will have the authority to attend meetings and carry out all necessary verifications.</w:t>
      </w:r>
    </w:p>
    <w:p>
      <w:r>
        <w:t>The internal audit manager will prepare an annual report of their diligence which will be sent to the general management of Initial BTB and kept for a period of five years. During the first three years of implementing these commitments, a copy of these reports will be sent to the Competition Council. Beyond this period, the reports will be communicated to the Competition Council upon simple request.</w:t>
      </w:r>
    </w:p>
    <w:p>
      <w:r>
        <w:t>2nd Commitment</w:t>
      </w:r>
    </w:p>
    <w:p>
      <w:r>
        <w:t>To this end, the company Initial BTB commits to systematically informing by all means the terms and importance of this commitment to all concerned personnel who may come into contact with the personnel of competitors.</w:t>
      </w:r>
    </w:p>
    <w:p>
      <w:r>
        <w:t>It should be specified that the notion of "concerned personnel" refers to management personnel as well as the commercial personnel for prospecting and customer service. It indicated that training sessions would be annual and that a certificate would be issued to each participant. Finally, Initial BTB emphasized that the concerned personnel would be informed.</w:t>
      </w:r>
    </w:p>
    <w:p>
      <w:r>
        <w:t>This information will be recalled notably:</w:t>
      </w:r>
    </w:p>
    <w:p>
      <w:r>
        <w:t>- In the welcome booklet for newly hired employees which includes the internal procedures of the company;</w:t>
      </w:r>
    </w:p>
    <w:p>
      <w:r>
        <w:t>- During the annual training sessions delivered to the concerned personnel; at the end of each training session, each participant will be asked to sign a certificate by which the employee will confirm having been made aware of the competition rules;</w:t>
      </w:r>
    </w:p>
    <w:p>
      <w:r>
        <w:t>- In internal notes related to training, ethics, or compliance with competition rules;</w:t>
      </w:r>
    </w:p>
    <w:p>
      <w:r>
        <w:rPr>
          <w:b/>
        </w:rPr>
        <w:t>[Pages 16–18]</w:t>
      </w:r>
    </w:p>
    <w:p>
      <w:r>
        <w:t>- during the job interviews of these personnel or during performance reviews with them. It will be reminded that any participation in an anti-competitive practice exposes its author to the disciplinary sanctions provided for in Article 3.7 of the company's internal regulations.</w:t>
      </w:r>
    </w:p>
    <w:p>
      <w:r>
        <w:t>3rd Commitment</w:t>
      </w:r>
    </w:p>
    <w:p>
      <w:r>
        <w:t>The company Initial BTB commits to continuing the steps aimed at implementing an internal procedure known as "whistleblowing" extended to violations of competition rules (see in the confidential annex the draft code of conduct of the company Initial BTB modified accordingly, in compliance with the Labor Code and the applicable rules regarding personal data).</w:t>
      </w:r>
    </w:p>
    <w:p>
      <w:r>
        <w:t>This procedure will introduce the ability for any employee of the company Initial BTB to report any anti-competitive practice of which they are aware or suspect to the Human Resources Director of the company Initial BTB or to the Internal Audit Director of Rentokil Initial PLC.</w:t>
      </w:r>
    </w:p>
    <w:p>
      <w:r>
        <w:t>63. To take into account the non-contestation of the grievances and the commitments made by Initial BTB at the signing of the minutes, the general rapporteur proposed that the sanction potentially incurred be reduced by a proportion of 30 to 35% of the amount that would normally have been imposed.</w:t>
      </w:r>
    </w:p>
    <w:p>
      <w:r>
        <w:t>64. Before the session, the company Initial BTB sent on April 23, 2007, to the general rapporteur several documents evidencing the implementation of the commitments made:</w:t>
        <w:br/>
        <w:t>- the decision of the executive committee regarding the modification of the welcome booklet of Initial BTB dated April 16, 2007, as well as the code of conduct itself; an excerpt from the modified welcome booklet of the company Initial BTB;</w:t>
        <w:br/>
        <w:t>- the program and description of the content of the training sessions for the year 2007 for new sales representatives; a signed certificate of participation in the sales school session including a module on awareness of compliance with competition rules;</w:t>
        <w:br/>
        <w:t>- the excerpt from the central works council of April 11 regarding the internal whistleblowing procedure; the request for authorization sent to the CNIL dated April 17, 2007, concerning the whistleblowing procedure.</w:t>
      </w:r>
    </w:p>
    <w:p>
      <w:r>
        <w:t>65. During the session, the company Initial BTB presented an additional commitment aimed at facilitating the transfer of professional clothing to the new provider when the client decides to change suppliers. Specifically, it proposed to transfer to the client the stock of professional clothing in place with them at the end of the contract. The client, by becoming the owner of the clothing stock, will thus have the possibility to have their professional clothing maintained by the new provider until the provision of new clothing. According to Initial BTB, this proposal would eliminate the obstacle to changing suppliers that constitutes the risk of an interruption of the rental-maintenance service created by the frequent difficulties arising from the negotiation of the conditions for the recovery of the linen stock between the outgoing and incoming lessor, and thus facilitate the functioning of competition in the market.</w:t>
      </w:r>
    </w:p>
    <w:p>
      <w:r>
        <w:t>66. Invited to formalize this commitment more precisely, which is likely to improve the fluidity of the large accounts market by facilitating the recovery of professional linen - under conditions that are both transparent and fair - in the event of a change of supplier, the company Initial BTB committed by letter dated May 4, to the following wording: "in the context of the recovery of the contract by a new lessor, Initial BTB commits, as the outgoing lessor, to guarantee to its clients who wish it the immediate transfer of ownership of said clothing, at their residual value, calculated at its purchase price and after applying a depreciation rate equal to 1/36 per month of use from the implementation of each item, the barcode registration being authoritative."</w:t>
      </w:r>
    </w:p>
    <w:p>
      <w:r>
        <w:t>The commitments of GEIST</w:t>
      </w:r>
    </w:p>
    <w:p>
      <w:r>
        <w:t>67. Under the minutes of the implementation of III of Article L. 464-2 of the Commercial Code, signed on January 11, 2007, GEIST made the following commitments:</w:t>
      </w:r>
    </w:p>
    <w:p>
      <w:r>
        <w:t>1st Commitment:</w:t>
        <w:br/>
        <w:t>GEIST commits not to disseminate to its members, in any way, any price revision formula whatsoever, it being specified that this commitment was implemented as soon as GEIST became aware of the questionable nature of its practice, i.e., from the date of the visit of the competition agents in October 2002;</w:t>
      </w:r>
    </w:p>
    <w:p>
      <w:r>
        <w:t>GEIST commits that the dissemination of economic information to its members will be limited to those indices published by INSEE, in raw form, it being specified that this commitment was implemented as soon as GEIST became aware of the questionable nature of its practice, i.e., from the date of the visit of the competition agents in October 2002;</w:t>
      </w:r>
    </w:p>
    <w:p>
      <w:r>
        <w:t>GEIST commits to disseminate a wider choice of economic indices published by INSEE that may be useful to its members, namely:</w:t>
        <w:br/>
        <w:t>- water index, (identifier: 08 50 26 661),</w:t>
        <w:br/>
        <w:t>- water/gas/electricity index, (identifier: 08 50 23429),</w:t>
        <w:br/>
        <w:t>- wage index: hourly labor cost, all employees: clothing-leather (NAF 1819) (identifier: 06 302 1708),</w:t>
        <w:br/>
        <w:t>- "energy" index; energy products for all uses, professional and collective excluding water (identifier: 08 50 23 833),</w:t>
        <w:br/>
        <w:t>- Raw cotton fabrics, (identifier: 08 50 27 873),</w:t>
        <w:br/>
        <w:t>- EBIQ: energy, intermediate goods and equipment (identifier: 08 67 69 025),</w:t>
        <w:br/>
        <w:t>- TCH: transport, communications and hospitality (identifier: 08 67 35 376),</w:t>
        <w:br/>
        <w:t>- ICC: construction cost index (identifier: 06 04 03 011).</w:t>
      </w:r>
    </w:p>
    <w:p>
      <w:r>
        <w:t>These indicators will be disseminated in raw form without being combined, using weighting coefficients, in a global formula that could be assimilated to a method of calculating a common increase in costs that can be passed on in prices.</w:t>
      </w:r>
    </w:p>
    <w:p>
      <w:r>
        <w:t>2nd Commitment:</w:t>
        <w:br/>
        <w:t>GEIST commits to modifying the standard commercial contract that it makes available to its members by removing, in the "Price Variation" clause, any reference to any price revision formula, it being specified that this commitment was implemented as soon as GEIST became aware of the questionable nature of its practice, i.e., from the date of the visit of the competition agents in October 2002.</w:t>
      </w:r>
    </w:p>
    <w:p>
      <w:r>
        <w:t>- Thus, the clause drafted, until 2002, as follows:</w:t>
        <w:br/>
        <w:t>"The prices indicated on the order forms or invoices are deemed to be established based on the rates (scales) of the Lessor in effect on the day of the conclusion of the contract. They vary in the same proportions as these rates and according to the evolution of general and professional economic conditions or the Lessor's price revision formula."</w:t>
      </w:r>
    </w:p>
    <w:p>
      <w:r>
        <w:t>Will now be drafted as follows:</w:t>
        <w:br/>
        <w:t>"The prices of the services indicated on the order forms are established based on the rates of the Lessor as communicated to the client on the day of the conclusion of the contract. EVENTUALLY, a price revision clause may be introduced:</w:t>
        <w:br/>
        <w:t>Prices are revised based on [ ] (state here the Lessor's revision clause. Example of a revision clause:</w:t>
        <w:br/>
        <w:t>"Prices are automatically revised every [ ] (frequency), on [ ] (indicate the date) proportionally to the variation of the index (or indices) [choose one or more indices related to the subject of the contract or the activity of one of the parties to the contract) as published by INSEE on the INSEE website, the base index (indices) serving as a reference being the last known index (indices) at the date of the revision."</w:t>
      </w:r>
    </w:p>
    <w:p>
      <w:r>
        <w:t>68. To take into account the non-establishment of the grievance and the commitments indicated above, the general rapporteur proposed that the sanction incurred by GEIST be reduced by a proportion of 40 to 50% of the amount that would normally have been imposed.</w:t>
      </w:r>
    </w:p>
    <w:p>
      <w:r>
        <w:rPr>
          <w:b/>
        </w:rPr>
        <w:t>[Pages 19–21]</w:t>
      </w:r>
    </w:p>
    <w:p>
      <w:r>
        <w:t xml:space="preserve">II. Discussion  </w:t>
        <w:br/>
        <w:t xml:space="preserve">A. ON THE APPLICATION OF COMMUNITY LAW  </w:t>
        <w:br/>
        <w:t xml:space="preserve">69. The two grievances were notified on the basis of Article L. 420-1 of the Commercial Code and Article 81 of the European Treaty.  </w:t>
        <w:br/>
        <w:t xml:space="preserve">70. As the Council recalled in its decisions 06-D-09 and 06-D-37, three elements must be demonstrated to establish that the practices are likely to have significantly affected intra-community trade: the existence of exchanges between member states concerning the products subject to the practice (first point), the existence of practices likely to affect these exchanges (second point), and the sensitive nature of this possible effect (third point).  </w:t>
        <w:br/>
        <w:t xml:space="preserve">71. Regarding the first two points, the two horizontal collusion practices conducted throughout the national territory are likely to affect intra-community trade. Indeed, the Court of Justice of the European Communities has repeatedly established (see in particular ECJ, June 18, 1998, (C35/96) and ECJ, February 19, 2002 (C309-99)) the principle that an agreement covering the entire national territory of a member state affects, by its very nature, intra-community trade to the extent that it "has the effect of consolidating national compartmentalization, thereby hindering the interpenetration intended by the Treaty."  </w:t>
        <w:br/>
        <w:t xml:space="preserve">72. Concerning the third point, the European Commission's guidelines on the notion of affecting trade (2004/C 101/07) cite in paragraph 52 the two cumulative de minimis thresholds below which an agreement is presumed not to significantly affect trade between member states:  </w:t>
        <w:br/>
        <w:t xml:space="preserve">- the total market share of the parties in the relevant community market affected by the agreement does not exceed 5%;  </w:t>
        <w:br/>
        <w:t xml:space="preserve">- and, in the case of horizontal agreements, the average annual turnover achieved in the community by the companies involved with the products concerned by the agreement does not exceed €40 million.  </w:t>
        <w:br/>
        <w:t xml:space="preserve">73. Conversely, agreements affecting more than 5% of the relevant community market and on which the companies involved achieve at least €40 million are presumed to significantly affect, unless proven otherwise by the parties, intra-community trade (paragraph 53 of the communication).  </w:t>
        <w:br/>
        <w:t xml:space="preserve">74. In this case, concerning the first grievance regarding an agreement between the Elis group and the company Initial BTB, the practices observed in the market for linen rental and maintenance cover the entire French territory, a substantial part of the community market. The participants in the agreement represent approximately 76% of the linen rental and maintenance market on which they achieved a turnover of €1.2 billion in 2001, figures well above the de minimis thresholds.  </w:t>
        <w:br/>
        <w:t>75. The agreement was therefore likely to affect trade between member states, for example by distorting the entry conditions for new players, possibly from other member states, such as Initial BTB, which is itself a subsidiary of a British group.</w:t>
      </w:r>
    </w:p>
    <w:p>
      <w:r>
        <w:t xml:space="preserve">76. Regarding the second practice, the member companies of GEIST, a union that includes, in addition to the two main operators, Elis and Initial BTB, 17 other linen rental companies, accounting for more than 90% of the market, also have a turnover exceeding the de minimis threshold, i.e., more than 5% of the community market, and more than €40 million.  </w:t>
        <w:br/>
        <w:t xml:space="preserve">77. The two practices are therefore likely to significantly affect intra-community trade, which the parties do not contest.  </w:t>
        <w:br/>
        <w:t xml:space="preserve">B. ON THE PRACTICES  </w:t>
        <w:br/>
        <w:t xml:space="preserve">Concerning the first grievance  </w:t>
        <w:br/>
        <w:t xml:space="preserve">78. It emerges from the documents seized by investigators during their investigations that numerous contacts and meetings took place between representatives of the GIE Elis and representatives of the company Initial BTB during the period between January 1997 and April 2002. These various meetings and contacts allowed representatives of the competing companies in the same markets to implement an agreement for the management of "key account" clients for several years, on the one hand to allocate clients and on the other hand to harmonize prices.  </w:t>
        <w:br/>
        <w:t xml:space="preserve">79. These facts, the materiality, qualification, or attribution of which are not contested by the companies involved, fall, in the sense of the jurisprudence of the Court of Justice of the European Communities (“Anic Partecipazioni” points 78 to 81, 83 to 85 and 203 and C-199/92 P Hüls/Commission points 158 to 166), under a continuous and complex agreement that can be classified as a single infringement as long as the illicit behaviors pursue the same objective and are implemented by the same parties aware of competing towards a common goal. According to this jurisprudence, it is the framing of the practices in a common perspective that allows for the conclusion of the existence of a single and continuous infringement, which can be subject to the same sanction.  </w:t>
        <w:br/>
        <w:t xml:space="preserve">80. In this case, the company Initial BTB and the GIE Elis, as well as its members, pursued through their repeated contacts the same objective of client allocation for "key accounts" and price harmonization for the services offered to "shared" clients.  </w:t>
        <w:br/>
        <w:t xml:space="preserve">81. It follows that the practices described in paragraphs 29 to 47, which lasted from May 1997 to April 2002 between the GIE Elis and the company Initial BTB, constitute a continuous agreement prohibited by both Article L. 420-1 of the Commercial Code and Article 81 of the Treaty.  </w:t>
        <w:br/>
        <w:t xml:space="preserve">Concerning the second grievance  </w:t>
        <w:br/>
        <w:t xml:space="preserve">82. The findings presented in paragraphs 48 to 53 establish, on the one hand, the development and dissemination by GEIST of a price revision formula (from 1998 to 2002), and on the other hand, the dissemination, by the same group, of a circular encouraging an additional increase in 2001.  </w:t>
        <w:br/>
        <w:t xml:space="preserve">83. However, it is a constant jurisprudence, notably in decisions 97-D-41 and 98-D-61, that the practices of professional organizations that disseminate to their members, sometimes under the guise of management assistance, instructions, directives, or recommendations regarding prices or price increases are prohibited by Article L. 420-1 of the Commercial Code. Indeed, the dissemination of such documents, even when they do not have an imperative character, insofar as they provide each company with an indication of the prices or rates of increase considered "normal" in the profession, can have the effect of encouraging competitors to align their behaviors with those of others, thereby hindering each company's freedom to set its prices based on its own data. In the aforementioned decision, the Council recalled this rule in the following terms: "While it is permissible for a professional union to disseminate information intended to assist its members in managing their business, the assistance provided must not exert direct or indirect influence on the free play of competition within the profession; in particular, the indications given must not have the object or effect of diverting companies from a direct understanding of their costs, which allows them to individually determine their prices" (Decision 98-D-61 of October 6, 1998).  </w:t>
        <w:br/>
        <w:t xml:space="preserve">84. In this case, the dissemination of a price revision formula in circulars (and also its publication in the union's bulletin ("the GEIST letter") may have encouraged companies to apply it mechanically, without taking into account their own economic realities (their own labor costs, the depreciation of their equipment, etc.). It is therefore likely to undermine the autonomy of companies in setting their prices. This practice has an anti-competitive object.  </w:t>
        <w:br/>
        <w:t xml:space="preserve">85. Furthermore, the encouragement to exceed the figures of this revision formula through a circular, disseminated in October 2001, accompanying its annual publication, reinforced the anti-competitive nature of the practice whose object was indeed, for the reasons indicated in paragraph 51, to obstruct the free setting of their prices by companies in the sector.  </w:t>
        <w:br/>
        <w:t xml:space="preserve">86. It follows that these practices of GEIST are contrary to Article L. 420-1 of the Commercial Code and Article 81 of the Treaty.  </w:t>
        <w:br/>
        <w:t xml:space="preserve">C. ON THE SANCTIONS  </w:t>
        <w:br/>
        <w:t xml:space="preserve">Concerning the severity of the collusion practices between ELIS and Initial BTB:  </w:t>
        <w:br/>
        <w:t xml:space="preserve">87. It should first be recalled that collusions between competitors, and particularly those aimed at market or client allocation, are considered by competition authorities as unjustifiable by nature. However, the companies involved have presented observations that allow, according to them, for a different assessment of this severity.  </w:t>
        <w:br/>
        <w:t xml:space="preserve">88. The company Initial BTB alleges that the practices in question present only a relative severity due to their sporadic and limited nature in time, particularly for the period after 2000. Initial BTB also argues that it is merely a "challenger" against the undisputed market leader, GIE ELIS, and that the market power of "key account" clients is significant.  </w:t>
        <w:br/>
        <w:t xml:space="preserve">89. However, the practices observed from 1997 to 2002, which fall under a continuous and complex agreement, cannot be presented as sporadic or isolated: their severity must be assessed globally, based on the general object of the agreement.  </w:t>
        <w:br/>
        <w:t>90. Regarding the size disproportion between the two operators that could lead to a different assessment of the severity of the practice for the smaller operator, this argument cannot be usefully taken into account at the stage of examining the severity of the practices.</w:t>
      </w:r>
    </w:p>
    <w:p>
      <w:r>
        <w:rPr>
          <w:b/>
        </w:rPr>
        <w:t>[Pages 22–24]</w:t>
      </w:r>
    </w:p>
    <w:p>
      <w:r>
        <w:t>91. Finally, the existence of market power that could be exercised by the clients affected by the practices cannot, either, justify the collusive practice nor mitigate its severity. The Council has already ruled on this point in decision 02-D-57 of September 19, 2002, concerning a collusion in the ball bearings sector, in which it stated that "even if proven, the purchasing power of distributors cannot justify manufacturers coordinating to align their price increases," this assessment not having been challenged by the Paris Court of Appeal in its ruling of June 17, 2003.</w:t>
      </w:r>
    </w:p>
    <w:p>
      <w:r>
        <w:t>92. GIE Elis considers, for its part, that the limited size of the market segment concerned by the infringement, in comparison to the entire market for linen rental and maintenance, demonstrates a lack of severity of the practices. It also argues that there was effective competition throughout the period covered by the grievance, which would be evidenced by testimonies from competitors. It particularly emphasizes the fact that the contract concluded with the company Avenance, the largest during the period in question, was subject to a change of supplier to the detriment of Initial BTB.</w:t>
      </w:r>
    </w:p>
    <w:p>
      <w:r>
        <w:t>93. However, the "limited" size of the market affected by the practices is not a mitigating factor regarding their severity: it is merely an element for assessing their effects and thus the significance of the damage to the economy.</w:t>
      </w:r>
    </w:p>
    <w:p>
      <w:r>
        <w:t>94. Similarly, the maintenance of some competition in the market, when proven, is not an element that can justify a mitigation of the severity of the practices. Indeed, it is rare for a collusion to function perfectly over time: each participant retains an interest in maximizing its own profit, once the collective surplus obtained through the collusion has been maximized. It is therefore economically plausible that, under certain circumstances, the discipline of the collusion does not hold.</w:t>
      </w:r>
    </w:p>
    <w:p>
      <w:r>
        <w:t>95. In this case, it should be noted that the allocation agreement between Elis and BTB, concerning "key accounts," did not involve prospects, that is to say, new clients who were under contract with neither party. These could represent a significant stake during a period of strong market growth due to the shift of new clients from wholesale laundry services to rental and maintenance services.</w:t>
      </w:r>
    </w:p>
    <w:p>
      <w:r>
        <w:t>96. Regarding the contract with the company Avenance, also cited by Elis as evidence of the existence of effective competition since this company would have relinquished its status as a shared client between Elis and BTB to award an exclusive contract to Elis, it should be recalled that according to an internal note from Initial BTB included in the file, the renegotiation of this contract in 1999 was indeed within the scope of the collusion, as shown by the following mention from the commercial agent of BTB: "Despite several calls from me, I do not know ELIS's viewpoint on the matter. On our side, we have 5 days to try to amend the most critical aspects" (emphasis added). Even if it is established that these coordination attempts failed, the change of the holder of the Avenance contract appears more as the result of an opportunistic choice by Elis, positioned to recover a very large exclusive contract, than as an element likely to minimize the intrinsic severity of the practices. The fact that the collusion did not function in this specific case must nevertheless be taken into account when examining the damage to the economy.</w:t>
      </w:r>
    </w:p>
    <w:p>
      <w:r>
        <w:t>97. Finally, it should be noted that some of the documents cited by Elis as evidence of effective competition in the key accounts market concern local contracts for which there was no national agreement. These examples are therefore not relevant for the examination of the notified grievance.</w:t>
      </w:r>
    </w:p>
    <w:p>
      <w:r>
        <w:t>Regarding the effect of the practices of ELIS and Initial BTB and the significance of the damage to the economy</w:t>
      </w:r>
    </w:p>
    <w:p>
      <w:r>
        <w:t>98. The company Initial BTB first alleges that the practices in question could not have had a significant effect on prices. It disputes the price comparisons derived from the investigation report and included in the notification of grievances, particularly with the offers from RLD, a competitor of the two companies involved in the collusion. These comparisons would be biased because they do not take into account all the cost variables that can explain price differences. Finally, Initial BTB produces an economic study that would demonstrate a moderate evolution of prices over the period and concludes that the increase in prices for key accounts, whose residual share, unexplained by cost increases, would be at most 3.75% per year.</w:t>
      </w:r>
    </w:p>
    <w:p>
      <w:r>
        <w:t>99. Furthermore, Initial BTB reiterates the argument, already put forward to downplay the severity of the practices, asserting that the coordinations with Elis could not have had a significant effect on the market as they would have only concerned a limited number of clients.</w:t>
      </w:r>
    </w:p>
    <w:p>
      <w:r>
        <w:t>100. The Elis group, also relying on an economic study, argues that price comparisons of services for different clients would not be possible because they involve customized offers and not standardized offers, so that costs and price formation are extremely sensitive to the specific demands of clients. The study concludes that, given the limited number of contracts examined by the investigation, the effect of the practices is impossible to measure.</w:t>
      </w:r>
    </w:p>
    <w:p>
      <w:r>
        <w:t>101. Moreover, Elis argues that, for the contracts included in the file, the economic study reveals negative or very low net margins in most cases.</w:t>
      </w:r>
    </w:p>
    <w:p>
      <w:r>
        <w:t>102. The economic study produced by Initial BTB indeed assesses the price increase based on a counterfactual model to which the "double difference" method is applied. This method consists, in the first instance, of selecting a reference sector where prices are deemed to form in competition and without collusion. In this case, it is the sector of catalog linen rental and maintenance for small clients. In this reference sector, the evolution of prices is observed, on the one hand during the period affected by the collusion on key accounts (1997-2002) and on the other hand during the subsequent period (2003-2006), it being recalled that the reference model constituted by the contracts of "other clients" is assumed not to have been affected by a collusion. In a second step, the evolution of prices in the sector affected by the collusion is observed for the same two periods. The difference in the price trend of the affected sector is then calculated, reduced by the difference calculated, between the same periods, in the unaffected sector. This methodology aims to neutralize the effect of increases related to the normal functioning of the sector and to isolate the increases potentially attributable to the collusion. At the end of this study, the maximum price drift attributable to the collusion would be 3.75% on average on the prices of services per contract.</w:t>
      </w:r>
    </w:p>
    <w:p>
      <w:r>
        <w:t>103. However, this study relies on several questionable assumptions, both from a methodological standpoint and regarding the data used.</w:t>
      </w:r>
    </w:p>
    <w:p>
      <w:r>
        <w:t>104. First, concerning the data used, it should be noted that, according to the explanations provided by the authors of the study, the price comparisons do not take into account contracts signed before 1999: "As it is not possible to know the date of price setting for contracts present in the database since 1998, the observations retained in this approach only concern contracts present in the database for the first time at the earliest in 1999" (study for BTB, page 18).</w:t>
      </w:r>
    </w:p>
    <w:p>
      <w:r>
        <w:t>105. Thus, the study would, in any case, only be relevant for assessing an effect of the collusion on prices between the period 1999-2002 and the period 2003-2006. However, the parties themselves assert, in a convergent manner, that the intensity of the alleged collusion would have significantly decreased during the period 2000-2002 compared to the period 1997-1999, on the grounds that most of the material evidence of collusion in the file is prior to 2000. The failure to take into account contracts concluded at the beginning of the period also has a temporal consequence since "key accounts" contracts are most often three-year contracts. The effect on the price increase for clients who entered into a contract in 1997 or 1998 therefore continues until 1999 or 2000. While it cannot be criticized that the study relied solely on the available empirical data, it must be noted that the limitation of the period over which the effects of the collusion are examined can only reduce the estimation of the extent of these effects.</w:t>
      </w:r>
    </w:p>
    <w:p>
      <w:r>
        <w:t>106. Secondly, it is risky to rely solely on the data from one of the participants in the collusion to make price comparisons. The assumption made by the study that the "other clients" sector was not affected by the collusion and reflects competitive prices would have been more acceptable from a methodological standpoint if the "other clients" data could have included prices from competitors not involved in the collusion or, at the very least, reflected the average prices of the entire market, all suppliers combined.</w:t>
      </w:r>
    </w:p>
    <w:p>
      <w:r>
        <w:t>107. Thirdly, from a methodological standpoint, the robustness of the counterfactual model assumes that the cost structures of the two samples "key accounts" and "other accounts" are comparable.</w:t>
      </w:r>
    </w:p>
    <w:p>
      <w:r>
        <w:t>108. However, according to the parties themselves, who confirmed this in the hearing, the "other clients" of the counterfactual model are essentially small clients who purchase standardized services from a catalog, whereas key accounts resort to tenders for customized clothing in their colors known as "image clothing." Both economic studies, converging on this point, present numerous arguments to explain how the cost structure of customized offers differs from that of a standardized offer (cost of clothing, number of sites to serve, number of employees per site, number of weekly rotations impacting logistical costs, etc.). Thus, the study provided by Elis states: "The reasoning implemented by the investigation report consists of comparing a standard service to a customized service. However, these are two non-comparable services... The approach of the report, which considers catalog prices less -15% [hypothesis of a 15% commercial discount] as market prices for customized services, cannot therefore be used in the case at hand" (study for Elis, pages 49 and 50). Similarly, the negotiation and awarding conditions of contracts follow different mechanisms, as recalled by the study provided by Initial BTB regarding the price gap between key accounts and other accounts for the rental and maintenance of blouses: "This gap likely reflects the significant differences in purchasing power between key accounts and other accounts, with the former structuring their relationships with suppliers based on tenders" (study for Initial BTB, page 20).</w:t>
      </w:r>
    </w:p>
    <w:p>
      <w:r>
        <w:t>109. As a result, the comparison of price trends for key accounts with those of prices for services to other clients, even taking into account commercial discounts, does not seem relevant, particularly because the mechanisms for price formation based on costs are different. Thus, the essential assumption of the "double difference" method does not appear to be verified: the observed price variations in the unaffected sector...</w:t>
      </w:r>
    </w:p>
    <w:p>
      <w:r>
        <w:rPr>
          <w:b/>
        </w:rPr>
        <w:t>[Pages 25–27]</w:t>
      </w:r>
    </w:p>
    <w:p>
      <w:r>
        <w:t>par l'entente ne constituent pas une estimation pertinente de ce qu'auraient dû être, hors entente, les variations de prix du secteur affecté.</w:t>
      </w:r>
    </w:p>
    <w:p>
      <w:r>
        <w:t>110. Finally, the study provided by BTB does not demonstrate how the comparison between the prices of the companies involved in the key accounts market and the prices of competitors not party to the agreement in the same market would be a priori less relevant than the comparison between the prices of the parties involved in two related markets: the key accounts market and the catalog offers market.</w:t>
      </w:r>
    </w:p>
    <w:p>
      <w:r>
        <w:t>111. On the contrary, it seems hardly contestable that an offer from an operator not party to the agreement, made during a tender for which an agreement has been established, cannot provide a valid indication of the order of magnitude of the "overprice" resulting from the agreement. This order of magnitude is a useful indicator of the extent of the damage to the economy, even if one cannot argue, given the specificities of tailored offers, that this observed overprice on a few markets would be the exact measure of the effects of the agreement on the entirety of the key accounts market.</w:t>
      </w:r>
    </w:p>
    <w:p>
      <w:r>
        <w:t>112. Thus, far from being an exaggeration of the effects of the agreement, the average figure of an annual overprice of 3.75% per contract appears rather as a mere fragile indication, to be compared with the overprices of 15% to 30% observed in the observation of certain individual contracts.</w:t>
      </w:r>
    </w:p>
    <w:p>
      <w:r>
        <w:t>113. Regarding the study provided by Elis, it rightly establishes that tailored offers are highly dependent on the logistical parameters imposed by the client, such as the number of weekly changes or the dispersion of sites and employees, which makes them difficult to compare with each other. A high unit price for a structurally costly service, compared to a lower price corresponding to a service that is easier to execute logistically, cannot therefore be a valid test to demonstrate an overprice resulting from the agreement.</w:t>
      </w:r>
    </w:p>
    <w:p>
      <w:r>
        <w:t>114. However, the robust conclusion of the study is limited to the observation of the high dispersion of direct costs according to the services. The information presented cannot, however, constitute a basis for convincingly assessing the level of direct costs per service and even less the allocation of indirect costs to the various services. It suffices to note that:</w:t>
        <w:br/>
        <w:t>- Elis's calculation leads to showing a loss on direct cost of 21% and a loss of 74% on total cost for the U system contract, whereas for this same contract RLD proposed prices 30% lower than Elis's prices; unless one imagines an extreme inefficiency of Elis compared to RLD, one must receive with caution a calculation that would seek to demonstrate that a competitor manages to lower prices by 30% on which the outgoing company was already making a 74% loss; even assuming fierce competition on this contract, one can doubt the plausibility of the net margin presented by the economic study and the robustness of the calculation method that allowed it to be established;</w:t>
        <w:br/>
        <w:t>- the dispersion of margins on contracts also makes the study unconvincing since it concludes to the existence of negative margins on two-thirds of the "key accounts" contracts with significant dispersions ranging from 16% to 74% losses; it is hard to understand how the sales agents of the GIE can have the freedom to engage the member companies of the group on such disastrous contracts without authorization from their principals, noting that these are centralized negotiations in which the GIE acts as an agent for the companies that will execute the service and bear the losses;</w:t>
      </w:r>
    </w:p>
    <w:p>
      <w:r>
        <w:t>- finally, the level of alleged losses in the key accounts sector does not align well with the overall results of the companies involved, both for Initial BTB and for the members of GIE Elis, which show very favorable management balances and current results before taxes of around 20% of turnover.</w:t>
      </w:r>
    </w:p>
    <w:p>
      <w:r>
        <w:t>115. Beyond the elements drawn from the economic studies submitted to the file, the parties present more qualitative arguments to minimize the importance of the damage to the economy.</w:t>
      </w:r>
    </w:p>
    <w:p>
      <w:r>
        <w:t>116. According to the Elis group, the damage to the economy would be limited due to three factors: first, the strong potential competitive pressure that would arise from the fact that companies can at any time "reinternalize" the laundry maintenance activity; second, the market power of clients that would act against that of the linen rental companies; third, the narrowness of the concerned market as well as the small number of clients affected by the practices.</w:t>
      </w:r>
    </w:p>
    <w:p>
      <w:r>
        <w:t>117. The company Initial BTB puts forward similar arguments by invoking both the negotiating power of the "key accounts" clients and the fact that the market would have remained very competitive.</w:t>
      </w:r>
    </w:p>
    <w:p>
      <w:r>
        <w:t>118. First, it should be noted that the assertion of the likelihood of the threat of "reinternalization" contradicts the evolution of the sector, presented in the economic study produced by GIE Elis, which reports a strong dynamism of rental-maintenance to the detriment of wholesale laundry, a service that is the natural complement to the internal management of linen purchasing by companies.</w:t>
      </w:r>
    </w:p>
    <w:p>
      <w:r>
        <w:t>119. The rental-maintenance sector is characterized by the continuous growth of overall turnover, with an average annual growth rate of 6.6% from 1997 to 2002. In this regard, a Xerfi study from January 2002 specifies that "As for linen rental companies, their turnover [in 2002] will increase by 3% after having marked an increase of 4.9% and 4.5% in the two previous years. The renewal of contracts will not be called into question, especially since they are generally multi-year. Indeed, outsourcing is now a proven mode of organization to which companies are increasingly sensitive." (emphasis added)</w:t>
      </w:r>
    </w:p>
    <w:p>
      <w:r>
        <w:t>120. The Xerfi study therefore contradicts the argument of GIE Elis regarding the likelihood of a credible threat of "reinternalization" of the laundry maintenance activity of companies, which appears on the contrary as an organizational mode that presents efficiency advantages for clients regardless of the price levels practiced during the period under review. At most, it must be admitted that the overprice resulting from the agreement was sufficiently limited not to undermine the advantage for clients of choosing the outsourced mode.</w:t>
      </w:r>
    </w:p>
    <w:p>
      <w:r>
        <w:t>121. Secondly, regarding the argument that the practices only concerned a small market segment, the Council notes that the agreement concerned all "key accounts" clients, that is to say, a segment of the linen rental-maintenance market on which the two concerned companies achieved a turnover exceeding 100 million euros in 2001. Without passing judgment on the absolute importance of such an amount, it should be taken into account in the assessment of the damage to the economy and the calculation of sanctions that must be proportionate to the size of the affected market.</w:t>
      </w:r>
    </w:p>
    <w:p>
      <w:r>
        <w:t>122. Thirdly, and contrary to what is indicated in the economic study produced by Elis, the purchasing power of the client, which manifests itself notably during the procurement process, cannot be taken into account to refute or minimize the existence of damage to the economy. Indeed, the exchanges of information between competitors were precisely aimed at thwarting the ability of large clients to organize effective competition among suppliers.</w:t>
      </w:r>
    </w:p>
    <w:p>
      <w:r>
        <w:t>123. Finally, fourthly, regarding the existence of residual competition between the parties to the agreement, the Council recalls that, as indicated in paragraph 94, a market-sharing agreement is rarely complete and, above all, respected absolutely, with members of the agreement retaining a marginal possibility of maximizing their own surplus depending on the circumstances. The cases that escaped the agreement were mainly new clients to be approached among the key accounts as indicated by the mentions on the document seized at Initial BTB: "shared clients, we consult to harmonize rates + conditions same for increases; Example of consultation: Yoplait/GR/Midas/SHR etc; Prospects = no consultation, we keep it secret" (emphasis added). The tenders concerning shared contracts that become exclusive contracts are also likely to undermine the application of the agreement, as they make it difficult to attribute immediate countermeasures to the loser.</w:t>
      </w:r>
    </w:p>
    <w:p>
      <w:r>
        <w:t>124. However, the existence of these episodes does not undermine the overall effects of the agreement on the rest of the market, especially when it is established that there are possibilities of retaliation that have the effect of "disciplining the other member of the agreement." In this case, an internal note dated October 5, 1998, seized at Initial BTB shows that such a mechanism existed as indicated by the following excerpt: "Our strategy towards the branches served by our competitor is somewhat different. You must not proceed with systematic approaches to the concerned prospects, in order to avoid any risk of retaliation on the establishments we serve (even on other clients...)." (emphasis added)</w:t>
      </w:r>
    </w:p>
    <w:p>
      <w:r>
        <w:t>125. In conclusion, the Council notes that none of the arguments presented are capable of demonstrating that the practices did not have an effect and that the damage to the economy would be of little importance in light of the size of the affected market, even if it must be admitted that from 1999 the intensity of exchanges decreased, which may constitute an indication of a mitigation of the effects of the agreement.</w:t>
      </w:r>
    </w:p>
    <w:p>
      <w:r>
        <w:t>126. On the contrary, the method used by the investigation report allows estimating, based on a comparison of the prices of the companies involved and the prices of a competitor not party to the agreement, that an overprice of 15% to 30% on certain contracts is plausible, which does not, however, allow concluding that it is an average overprice across the entire market. In the same vein, the method used by one of the economic studies submitted to the file concludes to an average overprice of 3.75% attributable to the effects of the agreement, which should be considered as an estimate minimizing the effects on prices, given the identified methodological biases.</w:t>
      </w:r>
    </w:p>
    <w:p>
      <w:r>
        <w:t>127. Considering all these calculations, it is possible to put forward an assessment of the artificial price increase in the affected market attributable to the practices in question. Based on the elements presented above, it can be reasonably estimated that it is in the order of 5% to 10%, which leads, for the six years during which the practices were established and during which the affected market grew from €44 million to €106 million (see § 24), to a cumulative damage to the economy of around €20 million to €40 million.</w:t>
      </w:r>
    </w:p>
    <w:p>
      <w:r>
        <w:t>Regarding the commitments of Initial BTB and Elis:</w:t>
      </w:r>
    </w:p>
    <w:p>
      <w:r>
        <w:t>128. When the procedure provided for in III of Article L. 464-2 of the Commercial Code is implemented, the decision of the Council, which examines the proposal of the general rapporteur...</w:t>
      </w:r>
    </w:p>
    <w:p>
      <w:r>
        <w:rPr>
          <w:b/>
        </w:rPr>
        <w:t>[Pages 28–30]</w:t>
      </w:r>
    </w:p>
    <w:p>
      <w:r>
        <w:t>relative to the adjustment of the financial penalty that may be incurred, takes into account both the non-contestation of the grievances and the commitments made for the future.</w:t>
      </w:r>
    </w:p>
    <w:p>
      <w:r>
        <w:t>129. However, the mere renunciation to contest the grievances, which primarily serves to lighten and expedite the work of the investigation by dispensing with the drafting of the report, particularly when chosen by all the parties involved, cannot lead to granting the companies involved only a flat-rate and relatively limited reduction of the penalty incurred. It is the quality of the commitments that can allow for more substantial countermeasures to be granted within the framework of this procedure, as indicated by the Council in its decision 04-D-65 of November 30, 2004: "In certain market situations, the commitments made (...) can have, for the respect of the rules of competitive play, a greater effectiveness than sanctions, particularly if these commitments reflect a substantial modification of the practices of this company and if the competition authorities are enabled to verify their effective implementation."</w:t>
      </w:r>
    </w:p>
    <w:p>
      <w:r>
        <w:t>130. In the case of horizontal collusion, whether it is instantaneous (pre-bid consultation) or lasting (cartel), the reduction - always possible - of penalties faces a double constraint. On the one hand, behavioral commitments likely to improve the functioning of the market for the future are often difficult to imagine. On the other hand, the level of reductions in financial penalties granted within the framework of the leniency program for applicants who cannot benefit from total exemption must remain more incentivizing than that practiced in the context of non-contestation of grievances. The expectation of gain must necessarily remain lower in this second case for the two systems to be coherent and for the incentive to opt for leniency to be preserved.</w:t>
      </w:r>
    </w:p>
    <w:p>
      <w:r>
        <w:t>131. In the present case, the particularities of the market on which the practices were committed allow for a more significant modulation, in the range of 25% to 30%, of the financial penalty that may be incurred.</w:t>
      </w:r>
    </w:p>
    <w:p>
      <w:r>
        <w:t>132. Firstly, the commitments to bring the company's practices into compliance with competition rules went beyond simple internal training programs and staff awareness. These two companies proposed the establishment of a professional alert system (referred to in the United States as "whistleblowing") concerning violations of competition law, which constitutes an innovation in France, as confirmed by representatives of the Minister of Labor and the National Commission on Informatics and Liberty (CNIL) heard during the session. The CNIL also indicated that while the scope of these alert procedures had initially been restricted to violations harmful to the company's assets, in order to avoid any risk of infringing on employees' rights, there was no principled objection to also targeting violations of competition law, provided that the companies submit an individual authorization file to the Commission.</w:t>
      </w:r>
    </w:p>
    <w:p>
      <w:r>
        <w:t>133. Secondly, the very notion of shared clients, which implies a coordinated management of the commercial relationships of different service providers, multiplies the opportunities or pretexts for meetings between competitors, particularly during contract renegotiations. Thus, the meetings of the commercial managers of Elis and BTB could be presented to the investigator as preparatory meetings for joint technical meetings with shared clients. Similarly, the fact that the rental company owns clothing dedicated to one client and unusable for another client is a particularity of the large accounts market that creates a link between the client and the provider that is not conducive to market fluidity. It has therefore been possible for the implicated rental companies to provide behavioral remedies to these market particularities.</w:t>
      </w:r>
    </w:p>
    <w:p>
      <w:r>
        <w:t>134. Finally and above all, the behavioral commitments and the training and alert systems reinforce each other. Indeed, meetings between competitors outside the presence of the client can no longer be justified before the Council by the technical necessities of contract management and may constitute direct evidence of collusion. Moreover, it can be assumed that the temptation to continue such practices covertly will be countered by the fear of them being discovered and reported due to the alert systems implemented in the companies.</w:t>
      </w:r>
    </w:p>
    <w:p>
      <w:r>
        <w:t>135. Regarding the commitments proposed during the session and formalized in the letters received on May 4 and 9, 2007, the Council considers that the written proposal from Initial BTB has addressed the objections raised by Elis during the session, according to which the ex ante establishment of a price for the repurchase of linen stock would lead to the creation of a barrier to entry for a new provider. Indeed, Initial BTB proposed to apply, in its contracts, a depreciation scale resulting in a zero transfer value of the linen after three years, the average duration of large account contracts, and a low residual value for clothing purchased during the contract. The proposed formula is simple and fair: it will facilitate the resumption of contracts without being hindered by price obstacles.</w:t>
      </w:r>
    </w:p>
    <w:p>
      <w:r>
        <w:t>136. In contrast, the proposal from Elis only provides a temporary remedy to the issue of clothing transfers at the end of the contract by only allowing for an extension of the current contract, which is granted under rigid notice conditions. This solution also has the practical result of guaranteeing three additional months of revenue for the outgoing provider and an equivalent loss of business for the newcomer.</w:t>
      </w:r>
    </w:p>
    <w:p>
      <w:r>
        <w:t>137. Certainly, this difference in approach to the problem posed is not irreparable, and it is possible that the market will self-select the best practices. One cannot, in fact, exclude that Elis, under pressure from large clients, may be led in the medium term to include exit clauses in its contracts equivalent to those of Initial BTB, if they are deemed more favorable.</w:t>
      </w:r>
    </w:p>
    <w:p>
      <w:r>
        <w:t>138. But in the immediate term, it must be noted that Initial BTB presents, in terms of contract exits, a more substantial commitment as it grants its clients wishing to change suppliers an advantage that will not be granted to it when it itself succeeds another rental company. This should be taken into account in the final proposal for a fine reduction.</w:t>
      </w:r>
    </w:p>
    <w:p>
      <w:r>
        <w:t>139. The Council should take note of these commitments, confirmed before it, order the companies to comply with them, and grant a 30% reduction of the penalty to Initial BTB and a 25% reduction to GIE Elis as well as to the member companies of the group.</w:t>
      </w:r>
    </w:p>
    <w:p>
      <w:r>
        <w:t>Regarding the practices of GEIST and its commitments:</w:t>
      </w:r>
    </w:p>
    <w:p>
      <w:r>
        <w:t>140. GEIST alleges the lack of seriousness of the practice in question by arguing the merely indicative nature of the disseminated formula, its administrative origin, and its routine dissemination which denotes a lack of intent to harm competition and the absence of price surveillance. It points out that the practice ceased as soon as the first investigative actions in 2002. Furthermore, GEIST argues that its behavior did not cause any damage to the economy since the revision formula was only adopted in a very small minority of contracts and that the members of GEIST did not take into account the indications received in setting their prices.</w:t>
      </w:r>
    </w:p>
    <w:p>
      <w:r>
        <w:t>141. Regarding the severity scale, the Council admits that the practice in question does not fall into the category of those that, by their very nature, must be most severely sanctioned. It also recognizes that its authors were not necessarily aware, when they annually disseminated the disputed revision scale, of the anti-competitive nature of this mechanism. However, it notes, conversely, that the leaders of GEIST did not hesitate, when this scale did not seem favorable enough to them, to artificially "inflate" the proposed revision formula - after a contact from the union's secretary with the deputy general manager of one of the two implicated companies - to push for a greater increase in prices to the detriment of client companies.</w:t>
      </w:r>
    </w:p>
    <w:p>
      <w:r>
        <w:t>142. The damage to the economy is also not of proven significance. It emerges from the file that the "ready-to-use" price increase formula was not mechanically followed by most of those to whom it was addressed, thus limiting the effects of the practice in question.</w:t>
      </w:r>
    </w:p>
    <w:p>
      <w:r>
        <w:t>143. Regarding the commitments made by GEIST, which also reflect a change in behavior that occurred as early as 2002, they have the merit of assuring the Council that the organization in question has fully grasped the anti-competitive nature of the past dissemination of the already mentioned price revision formula. If such commitments are therefore credible and can also lend themselves to easy verification, it is necessary to qualify their substantial nature, as they offer little more for the competitive functioning of the market than the consequences that GEIST should have drawn from the finding of the infringement established by this decision.</w:t>
      </w:r>
    </w:p>
    <w:p>
      <w:r>
        <w:t>2. ON THE CEILING OF SANCTIONS</w:t>
      </w:r>
    </w:p>
    <w:p>
      <w:r>
        <w:t>144. It is established that the companies of the Elis group involved and the company BTB implemented a collusion from 1997 to 2002. This constitutes a continuous infringement that began before the entry into force of law no. 2001-420 of May 15, 2001, relating to new economic regulations and continued after this date. The practice attributed to GEIST was also implemented continuously until October 2002. The referral of August 24, 2004, is subsequent to this entry into force. It follows that the provisions of Book IV of the Commercial Code applicable to both grievances are those resulting from the law of May 15, 2001.</w:t>
      </w:r>
    </w:p>
    <w:p>
      <w:r>
        <w:t>145. Article L. 464-2 of the Commercial Code, in its wording resulting from the law of May 15, 2001, states: "If the offender is not a company, the maximum amount of the penalty is 3 million euros. The maximum amount of the penalty is, for a company, 10% of the highest amount of worldwide turnover excluding taxes achieved during one of the financial years closed since the financial year preceding the one during which the practices were implemented. If the accounts of the company concerned have been consolidated or combined under the applicable texts to its corporate form, the turnover taken into account is that appearing in the consolidated or combined accounts of the consolidating or combining company."</w:t>
      </w:r>
    </w:p>
    <w:p>
      <w:r>
        <w:t>146. Article L. 464-2 of the Commercial Code, III, provides that "When an organization or a company does not contest the reality of the grievances notified to it and commits to modifying its behaviors for the future, the general rapporteur may propose to the Competition Council, which hears the parties and the government commissioner without prior establishment of a report, to impose the financial penalty provided for in I taking into account the absence of contestation."</w:t>
      </w:r>
    </w:p>
    <w:p>
      <w:r>
        <w:rPr>
          <w:b/>
        </w:rPr>
        <w:t>[Pages 31–33]</w:t>
      </w:r>
    </w:p>
    <w:p>
      <w:r>
        <w:t>147. The turnover of the company Initial BTB amounted to €302 million during the fiscal year 2005, its accounts being consolidated within those of the British group Rentokil Initial PLC. The fact that the consolidating company is British does not prevent its consolidated accounts from being considered for the calculation of the sanction ceiling, in accordance with the provisions of Article L. 464-2 of the Commercial Code. Indeed, the European harmonization directive known as the "seventh directive on company law" (No. 83/349/EEC) defines the common conditions for the establishment and publication of consolidated accounts, as well as the methods for preparing these accounts, within the Union. Member States may certainly choose certain options regarding their consolidation method, but harmonization remains strong due to the use of international accounting standards IFRS, which are imposed by the application of European Regulation No. 1606/2001. As a result, the consolidated accounts published by a company in a Member State are recognized in another Member State provided that it applies international accounting standards, which is the case for any publicly listed company.</w:t>
      </w:r>
    </w:p>
    <w:p>
      <w:r>
        <w:t>148. The consolidated accounts of Rentokil Initial PLC show, for 2005, a turnover of £2,124.7 million, or €3,154 million. However, this figure is lower than that of 1997, for which the amount was £2,812.1 million, or €4,201 million. Given these elements, the normally applicable sanction ceiling, equal to 10% of the highest consolidated turnover during the examined period, is €420 million. By application of the provisions of III of Article L. 464-2 of the Commercial Code, the legal ceiling of the applicable sanction is reduced to 5% of this turnover, or €210 million.</w:t>
      </w:r>
    </w:p>
    <w:p>
      <w:r>
        <w:t>149. The Elis group does not consolidate its accounts. It is therefore necessary to take into account the turnover - the highest among those that can be considered for the period described in paragraph 145 - of each company involved for the calculation of the individual sanction ceiling.</w:t>
      </w:r>
    </w:p>
    <w:p>
      <w:r>
        <w:t>150. The turnover of GIE Elis, achieved during the fiscal year ending December 31, 2006, amounts to €185.4 million. By application of the provisions of III of Article L. 464-2 of the Commercial Code, the legal ceiling of the applicable sanction is reduced to 5% of this turnover, or €9.27 million.</w:t>
      </w:r>
    </w:p>
    <w:p>
      <w:r>
        <w:t>151. The turnover of the company MAJ, achieved during the fiscal year ending December 31, 2006, amounts to €408.9 million. By application of the provisions of III of Article L. 464-2 of the Commercial Code, the legal ceiling of the applicable sanction is reduced to 5% of this turnover, or €22.7 million.</w:t>
      </w:r>
    </w:p>
    <w:p>
      <w:r>
        <w:t>152. The turnover of the company Les Lavandières, achieved during the fiscal year ending December 31, 2006, amounts to €115.4 million. By application of the provisions of III of Article L. 464-2 of the Commercial Code, the legal ceiling of the applicable sanction is reduced to 5% of this turnover, or €5.75 million.</w:t>
      </w:r>
    </w:p>
    <w:p>
      <w:r>
        <w:t>153. The turnover of the company Régionale de location et services textiles achieved in France during the fiscal year ending December 31, 2005, amounts to €55.5 million. By application of the provisions of III of Article L. 464-2 of the Commercial Code, the legal ceiling of the applicable sanction is reduced to 5% of this turnover, or €2.75 million.</w:t>
      </w:r>
    </w:p>
    <w:p>
      <w:r>
        <w:t>154. The turnover of the company Grenelle Services, achieved during the fiscal year ending December 31, 2006, amounts to €58.7 million. By application of the provisions of III of Article L. 464-2 of the Commercial Code, the legal ceiling of the applicable sanction is reduced to 5% of this turnover, or €2.9 million.</w:t>
      </w:r>
    </w:p>
    <w:p>
      <w:r>
        <w:t>155. The turnover of the company Pierrette TBA, achieved during the fiscal year ending December 31, 2006, amounts to €48 million. By application of the provisions of III of Article L. 464-2 of the Commercial Code, the legal ceiling of the applicable sanction is reduced to 5% of this turnover, or €2.4 million.</w:t>
      </w:r>
    </w:p>
    <w:p>
      <w:r>
        <w:t>156. The turnover of the company Thimeau, achieved during the fiscal year ending December 31, 2006, amounts to €27 million. By application of the provisions of III of Article L. 464-2 of the Commercial Code, the legal ceiling of the applicable sanction is reduced to 5% of this turnover, or €1.35 million.</w:t>
      </w:r>
    </w:p>
    <w:p>
      <w:r>
        <w:t>157. The turnover of the company Lovetra, achieved during the fiscal year ending December 31, 2006, amounts to €3.6 million. By application of the provisions of III of Article L. 464-2 of the Commercial Code, the legal ceiling of the applicable sanction is reduced to 5% of this turnover, or €180,000.</w:t>
      </w:r>
    </w:p>
    <w:p>
      <w:r>
        <w:t>Regarding the amount of sanctions</w:t>
      </w:r>
    </w:p>
    <w:p>
      <w:r>
        <w:t>158. GIE Elis and its seven implicated members, the companies MAJ, RLST, Grenelle Services, Les Lavandières, Pierrette TBA, Lovetra, and Thimeau, presented a joint defense and collectively undertook the same commitments. None of the arguments presented by this group during the adversarial debate regarding the seriousness of the practices, the significance of the damage to the economy, or the particular situation of the companies addressed a potential differentiation in the assessment of the sanction incurred by them.</w:t>
      </w:r>
    </w:p>
    <w:p>
      <w:r>
        <w:t>159. In particular, neither the file nor the observations of the group would justify a different assessment of the personal share taken by each of the member companies of the GIE for the execution of the key account contracts that were the subject of the agreement.</w:t>
      </w:r>
    </w:p>
    <w:p>
      <w:r>
        <w:t>160. The GIE nevertheless noted that its turnover largely reflected the services performed on behalf of its members, thus representing the result of internal subcontracting without effect on the final customer. It indicated that, while the sum of the turnovers of the notified companies excluding Euronet (MAJ, Les Lavandières, RLST, Grenelle Services, Pierrette TBA, Thimeau, and Lovetra) was €902.6 million in 2006, "the turnover of the notified companies excluding internal subcontracting (consolidation) [was] €690.5 million in 2006" (Table in Annex 1 to Elis's observations).</w:t>
      </w:r>
    </w:p>
    <w:p>
      <w:r>
        <w:t>161. Consequently, it is appropriate not to sanction GIE Elis as such, whose turnover is merely a reflection of internal services that would have been neutralized had the group chosen to consolidate its accounts, to decide on a global amount of sanction for all the companies that chose to defend themselves collectively and to distribute it among them in proportion to the turnovers, excluding internal sales, achieved in the French market, as they appear in the accounting documents they provided and in the table in Annex 1 to their observations, namely:</w:t>
        <w:br/>
        <w:t>• €396.4 million for MAJ,</w:t>
        <w:br/>
        <w:t>• €113.5 million for Les Lavandières,</w:t>
        <w:br/>
        <w:t>• €52.7 million for RLST,</w:t>
        <w:br/>
        <w:t>• €54.3 million for Grenelle Services,</w:t>
        <w:br/>
        <w:t>• €44.6 million for Pierrette TBA,</w:t>
        <w:br/>
        <w:t>• €24.8 million for Thimeau,</w:t>
        <w:br/>
        <w:t>• €3.5 million for Lovetra.</w:t>
      </w:r>
    </w:p>
    <w:p>
      <w:r>
        <w:t>162. Finally, it is necessary to take into account the respective power of the two groups in the French market and notably the fact that the Elis group achieves a turnover three times higher than that of Initial BTB and that its net sales, in the sole market of linen rental and maintenance, are still 2.5 times more significant.</w:t>
      </w:r>
    </w:p>
    <w:p>
      <w:r>
        <w:t>163. Based on the general elements outlined above, it is appropriate to allocate among the member companies of GIE Elis a monetary sanction amount of €17.3 million to which a common fine reduction rate of 25% will be applied in accordance with the provisions of III of Article L. 464-2 of the Commercial Code.</w:t>
      </w:r>
    </w:p>
    <w:p>
      <w:r>
        <w:t>164. Based on the general and individual elements as assessed above, the monetary sanction that would have been imposed on the company MAJ would have been €10 million. To take into account the absence of contestation of grievances and the commitments made, this amount is reduced to €7.5 million.</w:t>
      </w:r>
    </w:p>
    <w:p>
      <w:r>
        <w:t>165. Based on the general and individual elements as assessed above, the monetary sanction that would have been imposed on the company Les Lavandières would have been €2.7 million. To take into account the absence of contestation of grievances and the commitments made, this amount is reduced to €2,025,000.</w:t>
      </w:r>
    </w:p>
    <w:p>
      <w:r>
        <w:t>166. Based on the general and individual elements as assessed above, the monetary sanction that would have been imposed on the company Régionale de location et services textiles would have been €1.3 million. To take into account the absence of contestation of grievances and the commitments made, this amount is reduced to €975,000.</w:t>
      </w:r>
    </w:p>
    <w:p>
      <w:r>
        <w:t>167. Based on the general and individual elements as assessed above, the monetary sanction that would have been imposed on the company Grenelle Services would have been €1.3 million. To take into account the absence of contestation of grievances and the commitments made, this amount is reduced to €975,000.</w:t>
      </w:r>
    </w:p>
    <w:p>
      <w:r>
        <w:t>168. Based on the general and individual elements as assessed above, the monetary sanction that would have been imposed on the company Pierrette TBA would have been €1.2 million. To take into account the absence of contestation of grievances and the commitments made, this amount is reduced to €900,000.</w:t>
      </w:r>
    </w:p>
    <w:p>
      <w:r>
        <w:t>169. Based on the general and individual elements as assessed above, the monetary sanction that would have been imposed on the company Thimeau would have been €700,000. To take into account the absence of contestation of grievances and the commitments made, this amount is reduced to €525,000.</w:t>
      </w:r>
    </w:p>
    <w:p>
      <w:r>
        <w:t>170. Based on the general and individual elements as assessed above, the monetary sanction that would have been imposed on the company Lovetra would have been €80,000. To take into account the absence of contestation of grievances and the commitments made, this amount is reduced to €60,000.</w:t>
      </w:r>
    </w:p>
    <w:p>
      <w:r>
        <w:t>171. The turnover of the company Initial BTB amounted to €302 million during the fiscal year 2006. Based on the general and individual elements as assessed, the monetary sanction imposed on this company would have been €7.5 million. To take into account the absence of contestation of grievances and the commitments made, this amount is reduced to €5.25 million.</w:t>
      </w:r>
    </w:p>
    <w:p>
      <w:r>
        <w:t>172. In consideration of the financial situation of GEIST and the contributory capacity of its members, as well as the other elements recalled in paragraphs 141 to 143, it is appropriate, while the legal ceiling is €1.5 million after application of III of Article L. 464-2 of the Commercial Code, to set the sanction to be imposed at €40,000, instead of the €50,000 that would have been imposed if the organization had not renounced contesting the grievance and made the commitments to which it must adhere.</w:t>
      </w:r>
    </w:p>
    <w:p>
      <w:r>
        <w:rPr>
          <w:b/>
        </w:rPr>
        <w:t>[Pages 34–34]</w:t>
      </w:r>
    </w:p>
    <w:p>
      <w:r>
        <w:t>DECISION</w:t>
      </w:r>
    </w:p>
    <w:p>
      <w:r>
        <w:t>Article 1: It is established that the companies Initial BTB, the GIE Elis as well as the companies MAJ, Régionale de location et services textiles, Grenelle Services, Les Lavandières, Pierrette-TBA, Lovetra, Thimeau members of this GIE, have violated the provisions of Article L. 420-1 of the Commercial Code and Article 81 of the EC Treaty.</w:t>
      </w:r>
    </w:p>
    <w:p>
      <w:r>
        <w:t>Article 2: It is established that GEIST (grouping of industrial textile service companies) has violated the provisions of Articles L. 420-1 of the Commercial Code and Article 81 of the EC Treaty.</w:t>
      </w:r>
    </w:p>
    <w:p>
      <w:r>
        <w:t>Article 3: The commitments made by GIE Elis as well as the companies MAJ, Régionale de location et services textiles, Grenelle Services, Les Lavandières, Pierrette-TBA, Lovetra, Thimeau members of this GIE as mentioned in paragraphs 56 and 61, by the company Initial BTB as mentioned in paragraphs 62 and 66, and by GEIST as mentioned in paragraph 67 are acknowledged. These companies or organizations are ordered to comply with them in all respects.</w:t>
      </w:r>
    </w:p>
    <w:p>
      <w:r>
        <w:t>Article 4: No financial penalty is imposed on GIE Elis.</w:t>
      </w:r>
    </w:p>
    <w:p>
      <w:r>
        <w:t>Article 5: The following financial penalties are imposed:</w:t>
        <w:br/>
        <w:t>• on the company Initial BTB a penalty of €5.25 million;</w:t>
        <w:br/>
        <w:t>• on the company MAJ a penalty of €7.5 million;</w:t>
        <w:br/>
        <w:t>• on the company Les Lavandières a penalty of €2,025,000;</w:t>
        <w:br/>
        <w:t>• on the company Régionale de location et services textiles a penalty of €975,000;</w:t>
        <w:br/>
        <w:t>• on the company Grenelle Services a penalty of €975,000;</w:t>
        <w:br/>
        <w:t>• on the company Pierrette TBA a penalty of €900,000;</w:t>
        <w:br/>
        <w:t>• on the company Thimeau a penalty of €525,000;</w:t>
        <w:br/>
        <w:t>• on the company Lovetra a penalty of €60,000;</w:t>
        <w:br/>
        <w:t>• on GEIST a penalty of €40,000.</w:t>
      </w:r>
    </w:p>
    <w:p>
      <w:r>
        <w:t>Deliberated on the oral report of Ms. Wibaux, by Mr. Lasserre, President, Mr. Nasse, Ms. Aubert and Ms. Perrot, Vice-Presidents, Ms. Behar-Touchais and Ms. Renard-Payen, Mr. Bidaud, Mr. Flichy and Mr. Ripotot, Members.</w:t>
      </w:r>
    </w:p>
    <w:p>
      <w:r>
        <w:t>The Secretary of the session, The President,</w:t>
        <w:br/>
        <w:t>Marie-Anselme Lienafa Bruno Lasserre</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