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https://www.autoritedelaconcurrence.fr/fr/decision/relative-des-pratiques-mises-en-oeuvre-dans-le-secteur-de-la-prevoyance-funeraire-0</w:t>
      </w:r>
    </w:p>
    <w:p>
      <w:r>
        <w:t>Pages translated : 11</w:t>
      </w:r>
    </w:p>
    <w:p/>
    <w:p>
      <w:r>
        <w:rPr>
          <w:b/>
        </w:rPr>
        <w:t>[Pages 1–3]</w:t>
      </w:r>
    </w:p>
    <w:p>
      <w:r>
        <w:t xml:space="preserve">LYONNAIS had marketed a total of 54,890 standardized funeral insurance contracts between 2002 and 2004 in partnership with the GNEPF.  </w:t>
        <w:br/>
        <w:t xml:space="preserve">d) The Caisse d'Epargne  </w:t>
        <w:br/>
        <w:t xml:space="preserve">14. The Caisse d'Epargne network includes 4,700 branches. Only 31 savings banks marketed funeral insurance contracts. Ecureuil-Vie, the life insurance subsidiary of the Caisse d'Epargne group until March 2007, has since been a 100% subsidiary of the CNP group. By the end of 2004, the Caisse d'Epargne had marketed, according to its own data, 36,464 funeral insurance contracts in partnership with the GNEPF.  </w:t>
        <w:br/>
        <w:t xml:space="preserve">B. THE PRACTICES  </w:t>
        <w:br/>
        <w:t>15. The practices in question concern the establishment of funeral insurance contracts marketed from 2002 by Crédit Lyonnais, Caisse d'Epargne, and La Poste in partnership with the GNEPF.</w:t>
      </w:r>
    </w:p>
    <w:p>
      <w:r>
        <w:t>---</w:t>
        <w:br/>
        <w:t xml:space="preserve">RÉPUBLIQUE FRANÇAISE  </w:t>
        <w:br/>
        <w:t xml:space="preserve">Decision No. 08-D-14 of June 13, 2008  </w:t>
        <w:br/>
        <w:t xml:space="preserve">regarding practices implemented in the funeral insurance sector  </w:t>
        <w:br/>
        <w:t xml:space="preserve">The Competition Council (Section II),  </w:t>
        <w:br/>
        <w:t xml:space="preserve">Having regard to the letter registered on March 18, 2005, under numbers 05/0021 F and 05/0022 M, by which the associations La Quiétude and the Union of Funeral Professionals (U.P.F) referred to the Competition Council practices implemented by the company OGF, the National Group of Funeral Service Entrepreneurs (GNEPF), Crédit Lyonnais, Caisse d'Epargne, and La Poste, requesting that interim measures be pronounced on the basis of Article L. 464-1 of the Commercial Code;  </w:t>
        <w:br/>
        <w:t xml:space="preserve">Having regard to Articles 81 and 82 of the Treaty establishing the European Community;  </w:t>
        <w:br/>
        <w:t xml:space="preserve">Having regard to Book IV of the Commercial Code relating to price freedom;  </w:t>
        <w:br/>
        <w:t xml:space="preserve">Having regard to Decision No. 05-D-21 dated May 17, 2005, of the Competition Council;  </w:t>
        <w:br/>
        <w:t xml:space="preserve">Having regard to the written observations submitted by the Government Commissioner received on April 30, 2008, by the company OGF dated May 5, 2008, by Crédit Lyonnais dated April 29, and by the associations UPF and La Quiétude dated May 12, 2008;  </w:t>
        <w:br/>
        <w:t xml:space="preserve">Having regard to the other documents in the file;  </w:t>
        <w:br/>
        <w:t xml:space="preserve">The rapporteur, the general rapporteur, the Government Commissioner, the representatives of the associations La Quiétude and the Union of Funeral Professionals (U.P.F), Crédit Lyonnais, La Poste, and the companies OGF and GNEPF heard during the session of June 3, 2008, the Caisse d'Epargne group having been regularly convened;  </w:t>
        <w:br/>
        <w:t>Adopts the following decision:</w:t>
      </w:r>
    </w:p>
    <w:p>
      <w:r>
        <w:t xml:space="preserve">I. Introduction  </w:t>
        <w:br/>
        <w:t xml:space="preserve">1. The associations La Quiétude and UPF referred the matter to the Competition Council on March 18, 2005, pursuant to Article L. 462-5 of the Commercial Code, regarding practices implemented by the OGF group, GNEPF, Crédit Lyonnais, Caisse d'Epargne, and La Poste in the funeral insurance sector. The practices in question concern funeral insurance contracts marketed between 2002 and 2004 by Crédit Lyonnais, Caisse d'Epargne, and La Poste, in partnership with GNEPF.  </w:t>
        <w:br/>
        <w:t xml:space="preserve">2. This referral was accompanied by a request for interim measures, which was rejected by the Competition Council in its Decision No. 05-D-21 of May 17, 2005. The Council indeed noted that Law No. 2004-1343 of December 9, 2004, which applies to contracts signed from December 10, 2004, had, in practice, put an end to the marketing of new disputed contracts and that only the stock of contracts marketed between 2002 and 2004 was likely to have anticompetitive effects upon the resolution of these contracts. The execution of a significant portion of this stock of contracts was not expected to occur before an average period of 10 years, leading it to conclude that the harm to the general economy, to that of the affected sector, to consumer interests, or to the complaining company was not of a "serious and immediate" nature.  </w:t>
        <w:br/>
        <w:t xml:space="preserve">3. In its aforementioned Decision No. 05-D-21, the Competition Council did, however, "not exclude that the stock of 'standardized' service contracts from GNEPF constitutes a barrier to entry into certain of these markets, limiting access to the funeral insurance market and thus ultimately to the funeral services market for competing funeral operators." It therefore continued the investigation into the substance of the case to establish any practices contrary to the provisions of Articles L. 420-1 of the Commercial Code and 81 of the EC Treaty on the one hand, and L. 420-2 and 82 of the EC Treaty on the other hand.  </w:t>
        <w:br/>
        <w:t xml:space="preserve">II. Findings  </w:t>
        <w:br/>
        <w:t xml:space="preserve">A. THE ACTORS  </w:t>
        <w:br/>
        <w:t xml:space="preserve">1. THE COMPLAINANTS: UPF AND LA QUIÉTUDE  </w:t>
        <w:br/>
        <w:t xml:space="preserve">4. The complainants are two associations under the 1901 law that group together SMEs in the funeral sector across the national territory.  </w:t>
        <w:br/>
        <w:t xml:space="preserve">5. According to Article 2 of its statutes, UPF aims "to defend the interests of and protect SMEs in the funeral professions in order to preserve their independence and the professional quality of their services to families."  </w:t>
        <w:br/>
        <w:t xml:space="preserve">6. According to Article 2 of its statutes, La Quiétude aims "to promote all means to enable any person to access, under the best possible conditions, all existing or to be created contracts [...] particularly in the fields of medicalization in all its forms, in that of funerals or insurance contracts or others that may relate to them [...]" (emphasis added).  </w:t>
        <w:br/>
        <w:t xml:space="preserve">2. THE COMPANIES INVOLVED  </w:t>
        <w:br/>
        <w:t xml:space="preserve">a) OGF and GNEPF  </w:t>
        <w:br/>
        <w:t xml:space="preserve">7. The OGF group, established in 1844, became the historical operator PFG in 1898. OGF-PFG was a concessionaire for the services of numerous municipalities between 1904 and 1996. The concessions covered part of the service (the external service) while funeral agencies could carry out all other services (free service and funeral masonry).  </w:t>
        <w:br/>
        <w:t xml:space="preserve">8. The OGF group is the main funeral operator at the national level, with a market share exceeding 25% in 2003 in the funeral services market (138,000 funerals performed out of 550,300 deaths recorded). Its network extends across the entire national territory of metropolitan France.  </w:t>
        <w:br/>
        <w:t xml:space="preserve">9. In the late 1970s, the OGF group created a funeral insurance activity and then, in 1989, a Prevoyance department. The GNEPF is the insurance subsidiary of the OGF group. On March 29, 2006, OGF and GNEPF merged.  </w:t>
        <w:br/>
        <w:t xml:space="preserve">10. According to OGF, the number of standardized contracts concluded by GNEPF in partnership with La Poste, Crédit Lyonnais, and Caisse d'Epargne and currently in stock amounts to 25,687, 49,850, and 31,069, respectively, for a total of 106,606 contracts. If we add all other funeral contracts concluded by GNEPF with other partners, including personalized funeral insurance contracts marketed by Auxia, the total number of funeral insurance contracts in stock as of December 31, 2004, amounts to approximately 210,000. The slight differences with the figures from the banks below are explained by contract modifications after their signing.  </w:t>
        <w:br/>
        <w:t xml:space="preserve">11. According to OGF, about 14% of the 550,000 deaths recorded in France in 2003 would have been covered by a funeral insurance contract, corresponding to 77,000 contracts. That same year, OGF executed 19,386 "standardized" and "personalized" funeral insurance contracts. In 2003, GNEPF's market share in the funeral insurance market would consequently have risen to 23.8%.  </w:t>
        <w:br/>
        <w:t xml:space="preserve">b) La Poste  </w:t>
        <w:br/>
        <w:t xml:space="preserve">12. La Poste has 17,000 points of sale for financial services. Before the entry into force of the law of December 9, 2004, funeral insurance contracts were marketed in about 3,000 offices. By the end of 2004, La Poste had marketed, according to its own data, 26,206 standardized contracts in partnership with GNEPF.  </w:t>
        <w:br/>
        <w:t xml:space="preserve">c) Crédit Lyonnais  </w:t>
        <w:br/>
        <w:t>13. The Crédit Lyonnais network includes 1,844 branches. Funeral insurance contracts were marketed only within the branches of the Crédit Lyonnais network before the merger with Crédit Agricole. According to its own estimate, Crédit...</w:t>
      </w:r>
    </w:p>
    <w:p>
      <w:r>
        <w:rPr>
          <w:b/>
        </w:rPr>
        <w:t>[Pages 4–6]</w:t>
      </w:r>
    </w:p>
    <w:p>
      <w:r>
        <w:t xml:space="preserve">un monopole sur ce marché.  </w:t>
        <w:br/>
        <w:t xml:space="preserve">34. En outre, la commercialisation de ces contrats de prévoyance funéraire standardisés a permis d’élargir l’offre sur le marché, en rendant ces produits accessibles à un plus grand nombre de consommateurs, ce qui est en soi un facteur de concurrence.  </w:t>
        <w:br/>
        <w:t xml:space="preserve">35. Enfin, il convient de noter que la réglementation en vigueur, notamment la loi 2004-1343 du 9 décembre 2004, a introduit des mesures visant à garantir la concurrence sur le marché des prestations funéraires, en imposant des obligations de transparence et de flexibilité dans les contrats de prévoyance obsèques.  </w:t>
        <w:br/>
        <w:t>36. En conclusion, les éléments présentés ne permettent pas de conclure à l’existence d’une restriction par objet dans les contrats litigieux, ni à une atteinte aux conditions d’exercice de la concurrence sur le marché de la prévoyance funéraire.</w:t>
      </w:r>
    </w:p>
    <w:p>
      <w:r>
        <w:rPr>
          <w:b/>
        </w:rPr>
        <w:t>[Pages 7–9]</w:t>
      </w:r>
    </w:p>
    <w:p>
      <w:r>
        <w:t xml:space="preserve">potential competition between "packaged" contracts. It cannot therefore be argued that the contracts entered into between 2002-2004 by GNEPF-OGF, whose main purpose was the launch of an innovative product, aimed to preempt the funeral insurance market with the ultimate goal of creating a lock-in of the downstream funeral services market, even if the multiplication of these contracts could, in the long term, have such effects in the event that a single operator was solely able to subscribe to them on a large scale.  </w:t>
        <w:br/>
        <w:t xml:space="preserve">C. ON THE POSSIBLE EFFECT OF THE EXECUTION OF THE STOCK OF CONTRACTS  </w:t>
        <w:br/>
        <w:t xml:space="preserve">34. As indicated by the Competition Council in its decision No. 05-D-21 already cited, the absence of immediate effect of the practices in question on the funeral insurance market resulted from the modification of the legislative framework, which limits the analysis of the effects over time of the stock of contracts entered into between 2002 and 2004. The existence of a de facto exclusivity of GNEPF for the execution of the disputed contracts during this period is likely to induce, at the time of their resolution, eviction effects on the local funeral services markets due to the lasting capture of clients by GNEPF.  </w:t>
        <w:br/>
        <w:t xml:space="preserve">35. However, the likely dispersion in space and time of the resolution of the contracts in question necessitates a more detailed study of the potential effects on the local funeral services markets to assess any possible restrictions on competition in these markets.  </w:t>
        <w:br/>
        <w:t xml:space="preserve">1. STATISTICAL ANALYSIS OF THE EFFECTS OF THE EXECUTION OF THE STOCK OF CONTRACTS  </w:t>
        <w:br/>
        <w:t xml:space="preserve">a) Estimation of a projection of the resolution of the contracts  </w:t>
        <w:br/>
        <w:t xml:space="preserve">36. In the context of the investigation, OGF provided data regarding the number of contracts subscribed per year, by age and by gender, with each of the three bancassurers (standardized contracts) and with Auxia (customized contracts). The distribution of the number of contracts subscribed each year with these same operators by department was also provided.  </w:t>
        <w:br/>
        <w:t xml:space="preserve">37. The same request was made to each of the three bancassurers regarding their own stock of funeral insurance contracts in partnership with GNEPF. However, since the data provided by the bancassurers, unlike those provided by OGF, do not deduct contracts that have been terminated, bought back, or subject to waiver, there were small differences, and the investigation chose to use the data provided by OGF to maintain data homogeneity.  </w:t>
        <w:br/>
        <w:t xml:space="preserve">38. In order to estimate the year of death of each subscriber, based on their age and the year of subscription, statistical projections were made using, in particular, the mortality table from the National Institute of Demographic Studies for 2003-2005.  </w:t>
        <w:br/>
        <w:t xml:space="preserve">39. For its part, OGF submitted to the file a study entitled "Impact of Funeral Insurance Contracts" conducted by the Towers Perrin firm. Based on mortality tables and OGF data regarding the number of contracts subscribed each year, by age and by gender, this study estimates, similar to the projections established by the investigation, the likely timelines of the contracts in question.  </w:t>
        <w:br/>
        <w:t xml:space="preserve">40. The results of the statistical analysis conducted by the rapporteur and those of the Towers Perrin study are very close. Both studies agree that 2015 will be the year during which the largest number of contracts is expected to be executed, this number remaining modest and below 5,000 according to the study conducted by the rapporteur. The weakness of this figure is related to the spread of funeral services over a relatively extended period, namely 2006-2045 for almost the entire stock, due to the heterogeneity of the age of the subscribers.  </w:t>
        <w:br/>
        <w:t xml:space="preserve">41. The results of the two studies are presented below in graphical form:  </w:t>
        <w:br/>
        <w:t xml:space="preserve">Figure 1: Comparison of the spread of the resolution of the stock of funeral insurance contracts  </w:t>
        <w:br/>
        <w:t xml:space="preserve">Number of contracts executed per year: study conducted by the investigation service of the Competition Council  </w:t>
        <w:br/>
        <w:t xml:space="preserve">2000  </w:t>
        <w:br/>
        <w:t xml:space="preserve">1800  </w:t>
        <w:br/>
        <w:t xml:space="preserve">1600  </w:t>
        <w:br/>
        <w:t xml:space="preserve">1400  </w:t>
        <w:br/>
        <w:t xml:space="preserve">1200  </w:t>
        <w:br/>
        <w:t xml:space="preserve">1000  </w:t>
        <w:br/>
        <w:t xml:space="preserve">800  </w:t>
        <w:br/>
        <w:t xml:space="preserve">600  </w:t>
        <w:br/>
        <w:t xml:space="preserve">400  </w:t>
        <w:br/>
        <w:t xml:space="preserve">200  </w:t>
        <w:br/>
        <w:t xml:space="preserve">0  </w:t>
        <w:br/>
        <w:t xml:space="preserve">1995 2005 2015 2025 2035 2045 2055 2065  </w:t>
        <w:br/>
        <w:t xml:space="preserve">Caisse d'épargne Crédit Lyonnais La Poste  </w:t>
        <w:br/>
        <w:t xml:space="preserve">Number of contracts executed per year: Towers Perrin study  </w:t>
        <w:br/>
        <w:t xml:space="preserve">2,000.00  </w:t>
        <w:br/>
        <w:t xml:space="preserve">1,800.00  </w:t>
        <w:br/>
        <w:t xml:space="preserve">1,600.00  </w:t>
        <w:br/>
        <w:t xml:space="preserve">1,400.00  </w:t>
        <w:br/>
        <w:t xml:space="preserve">1,200.00  </w:t>
        <w:br/>
        <w:t xml:space="preserve">1,000.00  </w:t>
        <w:br/>
        <w:t xml:space="preserve">800.00  </w:t>
        <w:br/>
        <w:t xml:space="preserve">600.00  </w:t>
        <w:br/>
        <w:t xml:space="preserve">400.00  </w:t>
        <w:br/>
        <w:t xml:space="preserve">200.00  </w:t>
        <w:br/>
        <w:t xml:space="preserve">0.00  </w:t>
        <w:br/>
        <w:t xml:space="preserve">1995 2005 2015 2025 2035 2045 2055 2065  </w:t>
        <w:br/>
        <w:t xml:space="preserve">Caisse d'épargne Crédit Lyonnais La Poste  </w:t>
        <w:br/>
        <w:t xml:space="preserve">42. It is noted that the studies converge on the main points: the resolution of the Caisse d’épargne contracts is the earliest with a peak during the period 2005-2007, the contracts of Crédit Lyonnais, which are the most numerous, reach a maximum of executions starting from 2020, and the contracts of La Poste, which are the least numerous, are mainly resolved between 2010 and 2015.  </w:t>
        <w:br/>
        <w:t xml:space="preserve">b) Estimation of the impact of the contracts on the funeral services market  </w:t>
        <w:br/>
        <w:t xml:space="preserve">43. In order to estimate the market share of funeral services represented by the stock of contracts, the number of contracts executed each year was compared to the total number of deaths expected for that same year. The estimate retained for the number of deaths per year between 2005 and 2050 is derived from the central demographic scenario of Insee.  </w:t>
        <w:br/>
        <w:t xml:space="preserve">44. More specifically, for each year of death, the total number of standardized contracts executed was compared to the number of deaths estimated in France according to the central demographic scenario of Insee. To estimate an upper limit of the restrictive competition effects of the stock of contracts, the study assumes that OGF executes 100% of the standardized contracts that come due.  </w:t>
        <w:br/>
        <w:t xml:space="preserve">45. The Towers Perrin study performs a similar calculation but also provides an estimate of OGF's market share assuming it to be equal to 80% of the previously estimated impact on the market, on the grounds that, according to OGF, 20% of the contracts marketed by the bancassurers are ultimately executed by other funeral service providers than OGF, for example, if families are unaware of the existence of this contract or deliberately choose not to have the funerals executed by OGF.  </w:t>
        <w:br/>
        <w:t xml:space="preserve">46. Both studies arrive at completely similar results showing that the impact of the contracts marketed by the three bancassurers is spread over time with a very limited effect on the national funeral services market. At most, the annual impact of the execution of the contracts marketed by the three bancassurers would reach 0.8% around 2015, as shown in the following graph.  </w:t>
        <w:br/>
        <w:t xml:space="preserve">Figure 2: Comparison of the impact of the stock of standardized contracts  </w:t>
        <w:br/>
        <w:t xml:space="preserve">Standardized contracts/deaths: study conducted by the investigation service of the Competition Council  </w:t>
        <w:br/>
        <w:t xml:space="preserve">0.90%  </w:t>
        <w:br/>
        <w:t xml:space="preserve">0.80%  </w:t>
        <w:br/>
        <w:t xml:space="preserve">0.70%  </w:t>
        <w:br/>
        <w:t xml:space="preserve">0.60%  </w:t>
        <w:br/>
        <w:t xml:space="preserve">0.50%  </w:t>
        <w:br/>
        <w:t xml:space="preserve">0.40%  </w:t>
        <w:br/>
        <w:t xml:space="preserve">0.30%  </w:t>
        <w:br/>
        <w:t xml:space="preserve">0.20%  </w:t>
        <w:br/>
        <w:t xml:space="preserve">0.10%  </w:t>
        <w:br/>
        <w:t xml:space="preserve">0.00%  </w:t>
        <w:br/>
        <w:t xml:space="preserve">2000 2005 2010 2015 2020 2025 2030 2035 2040 2045 2050  </w:t>
        <w:br/>
        <w:t xml:space="preserve">47. OGF being also the executor of the customized funeral insurance contracts marketed by Auxia, a second estimate was made taking into account the sum of these contracts and those marketed by the three bancassurers.  </w:t>
        <w:br/>
        <w:t>1 The funeral insurance contracts marketed by the three bancassurers are referred to as standardized contracts.</w:t>
      </w:r>
    </w:p>
    <w:p>
      <w:r>
        <w:rPr>
          <w:b/>
        </w:rPr>
        <w:t>[Pages 10–11]</w:t>
      </w:r>
    </w:p>
    <w:p>
      <w:r>
        <w:t>48. The consideration of the personalized contracts marketed by Auxia, for which the associated funeral service provider is also OGF, raises the maximum market impact from 0.8% when only standardized contracts are taken into account, to 1.5%, which remains negligible. Furthermore, the temporal distribution of the resolution of the contracts is not significantly altered.</w:t>
      </w:r>
    </w:p>
    <w:p>
      <w:r>
        <w:t xml:space="preserve">Figure 3: Total number of contracts (including or not including personalized contracts) relative to the total number of deaths  </w:t>
        <w:br/>
        <w:t xml:space="preserve">1.60%  </w:t>
        <w:br/>
        <w:t xml:space="preserve">1.40%  </w:t>
        <w:br/>
        <w:t xml:space="preserve">1.20%  </w:t>
        <w:br/>
        <w:t xml:space="preserve">1.00%  </w:t>
        <w:br/>
        <w:t xml:space="preserve">0.80%  </w:t>
        <w:br/>
        <w:t xml:space="preserve">0.60%  </w:t>
        <w:br/>
        <w:t xml:space="preserve">0.40%  </w:t>
        <w:br/>
        <w:t xml:space="preserve">0.20%  </w:t>
        <w:br/>
        <w:t xml:space="preserve">0.00%  </w:t>
        <w:br/>
        <w:t xml:space="preserve">2000 2005 2010 2015 2020 2025 2030 2035 2040 2045 2050 2055  </w:t>
        <w:br/>
        <w:t>Standardized contracts/ total deaths Standardized + personalized contracts/ total deaths</w:t>
      </w:r>
    </w:p>
    <w:p>
      <w:r>
        <w:t xml:space="preserve">c) Geographic distribution of contracts  </w:t>
        <w:br/>
        <w:t>49. In order to ensure that the execution of funeral insurance contracts marketed in partnership with the GNEPF is not concentrated in a small number of departments, thereby harming local competition, the distribution of contracts by subscription department has also been analyzed. Although this is not systematically the case, it can be reasonably considered that a significant portion of the contracts is executed in the department where they were subscribed.</w:t>
      </w:r>
    </w:p>
    <w:p>
      <w:r>
        <w:t>50. The distribution by department of contracts marketed by each bancassurer shows a homogeneous distribution across the national territory. The highest concentration concerns the contracts marketed by Caisse d'Epargne in the North: 11.5% of Caisse d'Epargne contracts are involved, representing 3,759 contracts. In total, the department in which the largest number of contracts were marketed by the three bancassurers is also the North, with 6,607 contracts. The execution of these contracts is expected to be spread over time, presumably in a manner similar to the rest of the stock, that is to say between 2006 and 2045 for almost all of them. Given that the North had 2,576,000 inhabitants as of January 1, 2005, and that 21,895 deaths were recorded there that year, it is clear that the spread over 40 years of the execution of 6,607 contracts will represent only a very marginal share of funerals each year.</w:t>
      </w:r>
    </w:p>
    <w:p>
      <w:r>
        <w:t>51. Given the modest number of disputed contracts that are expected to be executed by OGF in relation to the total number of deaths anticipated over the same period, and in the absence of a significant temporal and geographical concentration of the execution dates of these contracts, the practices denounced by the referring associations are therefore not likely to harm competition in the funeral services markets, in violation of Articles L. 420-1 and L. 420-2 of the Commercial Code. A fortiori, it can be considered that these practices are also not likely to constitute a violation of Articles 81 and 82 of the EC Treaty, and this without the need to examine their potential effects on trade between Member States.</w:t>
      </w:r>
    </w:p>
    <w:p>
      <w:r>
        <w:t xml:space="preserve">DECISION  </w:t>
        <w:br/>
        <w:t xml:space="preserve">Single Article: It is not established that Crédit Lyonnais, La Poste, Caisse d'Epargne, and the company OGF have violated the provisions of Articles L. 420-1 and L. 420-2 of the Commercial Code and Articles 81 and 82 of the EC Treaty.  </w:t>
        <w:br/>
        <w:t xml:space="preserve">Deliberated on the oral report of Ms. Aubier, by Ms. Perrot, Vice-President, presiding over the session, Ms. Behar-Touchais and Xueref, Mr. Flichy and Honorat, members.  </w:t>
        <w:br/>
        <w:t xml:space="preserve">The session secretary, The Vice-President,  </w:t>
        <w:br/>
        <w:t xml:space="preserve">Marie-Anselme Lienafa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