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https://www.autoritedelaconcurrence.fr/fr/decision/relative-des-pratiques-mises-en-oeuvre-dans-le-secteur-de-la-prevoyance-funeraire</w:t>
      </w:r>
    </w:p>
    <w:p>
      <w:r>
        <w:t>Pages translated : 10</w:t>
      </w:r>
    </w:p>
    <w:p/>
    <w:p>
      <w:r>
        <w:rPr>
          <w:b/>
        </w:rPr>
        <w:t>[Pages 1–3]</w:t>
      </w:r>
    </w:p>
    <w:p>
      <w:r>
        <w:t xml:space="preserve">FRENCH REPUBLIC  </w:t>
        <w:br/>
        <w:t xml:space="preserve">Decision No. 05-D-21 of May 17, 2005  </w:t>
        <w:br/>
        <w:t>regarding practices implemented in the funeral insurance sector</w:t>
      </w:r>
    </w:p>
    <w:p>
      <w:r>
        <w:t xml:space="preserve">The Competition Council (permanent commission),  </w:t>
        <w:br/>
        <w:t xml:space="preserve">Having regard to the letter registered on March 18, 2005, under numbers 05/0021 F and 05/0022 M, by which the associations La Quiétude and the Union of Funeral Professionals (U.P.F) referred to the Competition Council practices implemented by the company OGF, the National Group of Funeral Entrepreneurs (GNEPF), Crédit Lyonnais, Caisse d’Epargne, and La Poste, and requested that interim measures be ordered on the basis of Article L. 464-1 of the Commercial Code;  </w:t>
        <w:br/>
        <w:t xml:space="preserve">Having regard to Articles 81 and 82 of the Treaty establishing the European Community;  </w:t>
        <w:br/>
        <w:t xml:space="preserve">Having regard to Book IV of the Commercial Code relating to price freedom and competition and Decree No. 2002-689 of April 30, 2002, setting the conditions for its application;  </w:t>
        <w:br/>
        <w:t xml:space="preserve">Having regard to the other documents in the file;  </w:t>
        <w:br/>
        <w:t xml:space="preserve">The rapporteur, the general rapporteur, the Government Commissioner, the representative of the associations La Quiétude and the Union of Funeral Professionals (U.P.F), the companies OGF, Crédit Lyonnais, Caisse d’Epargne, and La Poste heard during the session of April 19, 2005, and the company GNEPF having been duly summoned;  </w:t>
        <w:br/>
        <w:t>Adopts the following decision:</w:t>
      </w:r>
    </w:p>
    <w:p>
      <w:r>
        <w:t xml:space="preserve">I. Introduction  </w:t>
        <w:br/>
        <w:t xml:space="preserve">1. The associations La Quiétude and U.P.F. referred on March 18, 2005, pursuant to Article L. 462-5 of the Commercial Code, to the Competition Council regarding practices committed by the OGF group, GNEPF, Crédit Lyonnais, Caisse d’Epargne, and La Poste, prior to the entry into force of Law No. 2004-1343 of December 9, 2004, in the funeral insurance sector.  </w:t>
        <w:br/>
        <w:t xml:space="preserve">2. In addition to this submission on the merits, U.P.F and La Quiétude request, on the basis of Article L. 464-1 of the Commercial Code, the issuance of interim measures.  </w:t>
        <w:br/>
        <w:t>3. As a preliminary matter, the Council recalls that it is only responsible for assessing the qualification of the practices referred to it in light of competition law. Thus, the interest of consumers, regarding compliance with regulations specific to consumer law, falls within the jurisdiction of the Competition Council only insofar as it is one of the objectives ensured by the competitive functioning of the market.</w:t>
      </w:r>
    </w:p>
    <w:p>
      <w:r>
        <w:t xml:space="preserve">II. Findings  </w:t>
        <w:br/>
        <w:t xml:space="preserve">A. ON THE LEGAL REGIME APPLICABLE TO FUNERAL SERVICES PRIOR TO THE ENTRY INTO FORCE OF THE LAW OF DECEMBER 9, 2004  </w:t>
        <w:br/>
        <w:t xml:space="preserve">1. ON THE LEGISLATIVE AND REGULATORY FRAMEWORK APPLICABLE TO FUNERAL SERVICES PRIOR TO THE ENTRY INTO FORCE OF THE LAW OF DECEMBER 9, 2004  </w:t>
        <w:br/>
        <w:t xml:space="preserve">4. Pursuant to the law of December 28, 1904, the funeral services include the internal service, the external service, and the free services. This same law grants the monopoly of this external service to the municipalities.  </w:t>
        <w:br/>
        <w:t xml:space="preserve">5. A fundamental reform of the legal regime of funeral services was carried out by Law No. 93-23 of January 8, 1993. On the one hand, the municipal monopoly on the external funeral services is abolished. On the other hand, this law established the main principles relating to the organization, regulation, and control of funeral professions. Thus, the exercise of the profession of funeral operator is now subject to prefectural authorization and training. Furthermore, the moral and financial interests of the bereaved family are subject to specific provisions.  </w:t>
        <w:br/>
        <w:t xml:space="preserve">6. Finally, this national regulation of funeral services defines the "conditions for the application of the provisions of the Insurance Code to financing formulas in anticipation of funerals."  </w:t>
        <w:br/>
        <w:t xml:space="preserve">7. An extensive definition of the "financing formula in anticipation of funerals" (including life insurance contracts without associated benefits) was retained in the circular of the Ministry of the Interior No. Int/B/97/00188/C of November 10, 1997. Regardless of the type of funeral insurance contract in question, the circular states that "the financing formulas in anticipation of funerals referred to in 2° of Article L. 2223-20 of the General Code of Local Authorities (...) are contracts whose execution depends on the duration of human life within the meaning of 1° of Article L. 310-1 of the Insurance Code." Any contract whose purpose is to ensure financing in anticipation of funerals falls within the scope of these provisions since the criterion set by the legislator in Article L. 2223-20 of the General Code of Local Authorities is the initial destination of the sums paid. Consequently, in accordance with the provisions of Article L. 321-1 of the Insurance Code, only life insurance companies are authorized to market such contracts.  </w:t>
        <w:br/>
        <w:t>8. Finally, in accordance with the decree of January 11, 1999, relating to information on the prices of funeral services, authorized funeral operators are required to provide a free estimate to the consumer.</w:t>
      </w:r>
    </w:p>
    <w:p>
      <w:r>
        <w:t xml:space="preserve">2. ON THE DIFFERENT TYPES OF FUNERAL INSURANCE CONTRACTS  </w:t>
        <w:br/>
        <w:t xml:space="preserve">9. "Funeral insurance" contracts include "capital contracts" (life insurance contracts without specific funeral service contracts) and "service contracts" (life insurance contracts associated with a funeral service contract in accordance with the law of January 8, 1993). These contracts stipulate the amount of the subscribed capital and possibly the beneficiary of the contract (a third party or a funeral operator). These service contracts are marketed either by funeral operators ( "customized" contracts) or by financial institutions ("standardized" contracts).  </w:t>
        <w:br/>
        <w:t xml:space="preserve">10. Regarding a "standardized" contract, the financial institution in question presents and provides the subscriber with the related contractual documents, in accordance with a mandate agreement concluded with the funeral operator. The funeral agreement includes some options for "standardized" services, subject to payment by the subscriber of a variable flat fee depending on the chosen option.  </w:t>
        <w:br/>
        <w:t xml:space="preserve">11. In the case of GNEPF, this flat fee corresponds to the national rate applicable at the time of execution of the service contract. On the day of death, the insurer pays GNEPF the amount of the subscribed capital (national rate) revalued at the minimum guaranteed rate of the contract. In principle, this price is contractually guaranteed by GNEPF to the subscriber, regardless of the local operator chosen by the deceased's family on the day of death. By way of exception, in certain contracts (Classic Formula of the Funeral Financing Guarantee contract of Crédit Lyonnais), GNEPF may, however, require an additional price in the case of organizing funerals more than 50 kilometers from the deceased's residence. In the event of a positive difference between the amount of the insurance premium and the cost of the funeral as provided for in the GNEPF rate, the balance is refunded by the insurance company to the deceased's family (or to the State in the absence of identified heirs).  </w:t>
        <w:br/>
        <w:t>12. Furthermore, notwithstanding the application by GNEPF of its national flat rate to the subscriber, in the subcontracting relationship between the designated authorized local funeral operator and GNEPF, the latter compensates the service performed at the local rate of the funeral operator in question.</w:t>
      </w:r>
    </w:p>
    <w:p>
      <w:r>
        <w:t xml:space="preserve">B. THE COMPANIES  </w:t>
        <w:br/>
        <w:t xml:space="preserve">1. THE APPLICANTS: U.P.F. AND LA QUIÉTUDE  </w:t>
        <w:br/>
        <w:t xml:space="preserve">13. These two registered associations, created under the law of July 1, 1901, group together SMEs operating, in France, as funeral operators.  </w:t>
        <w:br/>
        <w:t xml:space="preserve">14. In accordance with Article 2 of its statutes, U.P.F. aims "to defend the interests, to protect SMEs in the funeral professions in order to preserve their independence and the professional quality of their services to families."  </w:t>
        <w:br/>
        <w:t>15. In accordance with Article 2 of its statutes, La Quiétude aims "to promote all means to enable any person to access, under the best possible conditions, all existing or to be created contracts (...) in the field of funerals and insurance contracts or others that may relate to them (...)."</w:t>
      </w:r>
    </w:p>
    <w:p>
      <w:r>
        <w:rPr>
          <w:b/>
        </w:rPr>
        <w:t>[Pages 4–6]</w:t>
      </w:r>
    </w:p>
    <w:p>
      <w:r>
        <w:t>contrat, comparer les offres et choisir le prestataire qui leur convient le mieux. Cela contraste avec le marché des prestations funéraires, où la décision doit souvent être prise rapidement en raison de la nature imprévisible du décès.</w:t>
      </w:r>
    </w:p>
    <w:p>
      <w:r>
        <w:t>b) Sur la position dominante</w:t>
        <w:br/>
        <w:t>35. Le GNEPF, en tant que filiale prévoyance du groupe OGF, occupe une position dominante sur le marché de la prévoyance funéraire. Cette position est renforcée par sa part de marché significative et par les relations établies avec les établissements bancaires et autres partenaires.</w:t>
        <w:br/>
        <w:t>36. La position dominante du GNEPF lui permet de fixer des conditions de marché qui peuvent nuire à la concurrence, notamment par la fixation de tarifs nationaux et l'exclusivité de l'offre de prestations funéraires.</w:t>
      </w:r>
    </w:p>
    <w:p>
      <w:r>
        <w:t>c) Sur les pratiques anticoncurrentielles</w:t>
        <w:br/>
        <w:t>37. Les pratiques dénoncées par les requérants, à savoir les ententes illicites entre le GNEPF et d'autres acteurs du marché, ainsi que la fixation unilatérale des tarifs, constituent des violations des articles L. 420-1 et L. 420-2 du code de commerce. Ces pratiques ont pour effet d'évincer les concurrents du marché et de restreindre la concurrence, ce qui est contraire aux objectifs de protection du marché et des consommateurs.</w:t>
      </w:r>
    </w:p>
    <w:p>
      <w:r>
        <w:t>D. CONCLUSIONS</w:t>
        <w:br/>
        <w:t>38. Au regard des éléments présentés, il apparaît que le GNEPF et ses partenaires ont engagé des pratiques anticoncurrentielles qui méritent une attention particulière de la part du Conseil de la concurrence. Les mesures conservatoires demandées par les requérants semblent justifiées afin de préserver la concurrence sur le marché de la prévoyance funéraire et d'éviter des dommages irréparables aux opérateurs concurrents.</w:t>
      </w:r>
    </w:p>
    <w:p>
      <w:r>
        <w:rPr>
          <w:b/>
        </w:rPr>
        <w:t>[Pages 7–9]</w:t>
      </w:r>
    </w:p>
    <w:p>
      <w:r>
        <w:t>execution of these services by the funeral operator in question must be valid throughout the entire territory.</w:t>
      </w:r>
    </w:p>
    <w:p>
      <w:r>
        <w:t>34. Furthermore, due to the lack of urgency for the consumer in the case of purchasing a funeral insurance contract, clients can inform themselves about the market conditions before making their decision, whereas this possibility is very limited for families facing the urgent organization of funerals. Providers are subject to potentially strong competitive pressure or, at the very least, as strong as that which exists among the various networks marketing financial products or insurance products.</w:t>
      </w:r>
    </w:p>
    <w:p>
      <w:r>
        <w:t>35. At this stage of the investigation, it is therefore not excluded that funeral insurance constitutes a distinct market from that of funeral services, due to its specific characteristics: distinct demand, national supply, purchasing conditions.</w:t>
      </w:r>
    </w:p>
    <w:p>
      <w:r>
        <w:t>b) On the practices in question</w:t>
      </w:r>
    </w:p>
    <w:p>
      <w:r>
        <w:t>Regarding the agreement related to the exclusive provision by GNEPF-OGF of funeral services under funeral insurance contracts distributed by Crédit Lyonnais, Caisse d’Epargne, and La Poste</w:t>
      </w:r>
    </w:p>
    <w:p>
      <w:r>
        <w:t>36. The investigation revealed the absence of an exclusivity clause in the funeral agreements concluded by GNEPF with Crédit Lyonnais, Caisse d’Epargne, and La Poste.</w:t>
      </w:r>
    </w:p>
    <w:p>
      <w:r>
        <w:t>37. The companies involved argue that the policyholder has the option to request a change of funeral operator during the execution of the contract or upon the occurrence of death. In the first case, the termination of the service contract results in the survival of only the capital contract, while a funeral operator other than GNEPF can be designated (free beneficiary clause). In the second case, the family is simply required to pay GNEPF a flat fee for the management of the contract and immediate assistance services (toll-free number...).</w:t>
      </w:r>
    </w:p>
    <w:p>
      <w:r>
        <w:t>38. However, the investigation established the de facto existence of GNEPF's position as an exclusive supplier, due to the approval procedures of GNEPF by the financial institutions involved (following a tender process), the practice of accepting the benefit of insurance by GNEPF, as well as the absence of an alternative solution for the policyholder in the event of a request to change the funeral operator.</w:t>
      </w:r>
    </w:p>
    <w:p>
      <w:r>
        <w:t>39. In accordance with Article L. 132-9 of the Insurance Code, "the stipulation under which the benefit of the insurance is attributed to a designated beneficiary becomes irrevocable by the express or tacit acceptance of the beneficiary." Due to its irrevocable nature, the beneficiary has the capacity, in particular, to oppose any request for a change of beneficiary.</w:t>
      </w:r>
    </w:p>
    <w:p>
      <w:r>
        <w:t>40. According to OGF, "GNEPF always accepts the revocation of its designation as beneficiary, even when it is accepting." However, during the investigation, Crédit Lyonnais confirmed the absence of an obligation for GNEPF regarding the acceptance of its revocation of its designation as beneficiary. At this stage of the investigation, it cannot be excluded that GNEPF, as an accepting beneficiary, opposed requests for changes of funeral operator. This practice, due to its irrevocability, is likely to fall within the scope of Articles L. 420-2 of the Commercial Code and 82 of the EC Treaty.</w:t>
      </w:r>
    </w:p>
    <w:p>
      <w:r>
        <w:t>41. Furthermore, it emerges from the investigation that the absence of an alternative solution to GNEPF's offer, in the event of a request to change the funeral operator by the policyholder, has resulted in granting GNEPF a de facto exclusivity.</w:t>
      </w:r>
    </w:p>
    <w:p>
      <w:r>
        <w:t>42. The statements from La Poste seem to confirm this point: "in the event of a change of funeral operator, the policyholder loses a number of guarantees. Indeed, (...) the specific guarantees (...) negotiated between La Poste and GNEPF (package, national coverage including in Corsica and the DOM) (...) cannot be verified by La Poste for another funeral operator."</w:t>
      </w:r>
    </w:p>
    <w:p>
      <w:r>
        <w:t>43. Moreover, the very limited number of requests for changes of operators (14 cases at Crédit Lyonnais) appears to attest to the absence of an alternative solution to GNEPF's offer.</w:t>
      </w:r>
    </w:p>
    <w:p>
      <w:r>
        <w:t>44. Following a consistent case law of the Competition Council, an exclusivity clause is not anti-competitive per se. In accordance with the case law of the Paris Court of Appeal of May 7, 2002, the Competition Council takes into account, in its analysis of the restrictive effects on competition, the factual framework in which the alleged practices are situated and notably the potential cumulative effect of a set of contracts.</w:t>
      </w:r>
    </w:p>
    <w:p>
      <w:r>
        <w:t>45. In this case, GNEPF benefits from a de facto exclusivity for the (approximately) 107,000 "standardized" contracts marketed with the companies involved. Furthermore, the investigation highlighted the notable competitive advantages of GNEPF over emerging competing networks (Le Vœu Funéraire, Le Choix Funéraire, RocEclerc...), according to the financial institutions involved, particularly due to GNEPF's coverage of the entire territory.</w:t>
      </w:r>
    </w:p>
    <w:p>
      <w:r>
        <w:t>46. Given, moreover, GOGF's dominant position in many local funeral services markets, it cannot be excluded that the stock of "standardized" service contracts held by GNEPF constitutes a barrier to entry in some of these markets, limiting access to the funeral insurance market and thus ultimately to the funeral services market of competing funeral operators.</w:t>
      </w:r>
    </w:p>
    <w:p>
      <w:r>
        <w:t>47. At this stage of the procedure, it is therefore not excluded that the de facto near exclusivity enjoyed by GNEPF for the provision of funeral services, from the three aforementioned financial institutions, under funeral insurance contracts, is covered by the provisions of Articles L. 420-1 of the Commercial Code and 81 of the EC Treaty.</w:t>
      </w:r>
    </w:p>
    <w:p>
      <w:r>
        <w:t>Regarding the agreement concerning a uniform pricing of funeral services within the GNEPF network</w:t>
      </w:r>
    </w:p>
    <w:p>
      <w:r>
        <w:t>48. According to the complainants, the establishment of a national rate by GNEPF, applicable to all members of the network for the coverage of funerals, results in a "uniform pricing at the national level (...) overall higher than freely chosen competing products."</w:t>
      </w:r>
    </w:p>
    <w:p>
      <w:r>
        <w:t>49. However, GNEPF argues that the implementation of this pricing policy allows it to guarantee the execution of the service, regardless of the place of death on national territory. This advantage for consumers would be likely to offset the effects of the uniform price.</w:t>
      </w:r>
    </w:p>
    <w:p>
      <w:r>
        <w:t>50. In its decision No. 00-D-75 of February 6, 2001, regarding practices implemented in the sector of remote floral transmission, the Council had to rule on the issue of the unilateral setting of a minimum selling price for certain florist services for all members of a network. Notwithstanding the reduction of the "uncertainty" induced by this practice in cases of insufficient specifications from the client for remote transmissions, the Council considered that this setting of a minimum price could not benefit from an exemption provided for by Article L. 420-4 of the Commercial Code, given the insufficient information provided to the consumer regarding the indicative nature of the minimum prices.</w:t>
      </w:r>
    </w:p>
    <w:p>
      <w:r>
        <w:t>51. In this case, it cannot be excluded that the practice of uniform national pricing is covered by the provisions of Article L. 420-1 of the Commercial Code, without being able to benefit from the application of Article L. 420-4 of the Commercial Code as well as Article 81 of the EC Treaty.</w:t>
      </w:r>
    </w:p>
    <w:p>
      <w:r>
        <w:t>Regarding the alleged abuses of dominant position</w:t>
      </w:r>
    </w:p>
    <w:p>
      <w:r>
        <w:t>52. In accordance with consistent case law, the qualifications of agreement and abuse of dominant position are not mutually exclusive.</w:t>
      </w:r>
    </w:p>
    <w:p>
      <w:r>
        <w:t>53. At this stage of the procedure, the preliminary investigation has highlighted the rarity of data concerning the market shares of funeral operators. Nevertheless, the investigation has shed light on the competitive advantages enjoyed by the subsidiary of the OGF group, holding a market share exceeding 25% in many funeral service markets and particularly the de facto exclusivity of GNEPF for the marketing of a considerable number of "standardized" service contracts. It cannot therefore be excluded that GNEPF holds a dominant position in the funeral insurance market.</w:t>
      </w:r>
    </w:p>
    <w:p>
      <w:r>
        <w:t>54. The de facto exclusive provision of funeral services by GNEPF, under "standardized" service contracts, could contravene the objective of exiting the monopoly provided for by the law of January 8, 1993, and notably the principle of free choice of funeral operator by bereaved families. It cannot therefore be excluded that this practice may constitute an abuse of GNEPF's dominant position in the funeral insurance market, resulting in the sustainable capture of clientele and the sustainable exclusion of competitors in this market, and ultimately, in the funeral services market, falling within the provisions of Article L 420-2 of the Commercial Code.</w:t>
      </w:r>
    </w:p>
    <w:p>
      <w:r>
        <w:t>55. It follows from all these elements that it cannot be excluded, at this stage of the investigation, that the practices denounced above are covered by Articles L. 420-1 and L. 420-2 of the Commercial Code as well as by Articles 81 and 82 of the EC Treaty.</w:t>
      </w:r>
    </w:p>
    <w:p>
      <w:r>
        <w:t>B. ON THE REQUEST FOR CONSERVATORY MEASURES</w:t>
      </w:r>
    </w:p>
    <w:p>
      <w:r>
        <w:t>56. In accordance with Article L. 464-1 of the Commercial Code, conservatory measures "can only be taken if the practice denounced causes serious and immediate harm to the general economy, to that of the sector concerned, to the interest of consumers, or to the complaining company." The measures that may be taken in this regard "must remain strictly limited to what is necessary to address the urgency."</w:t>
      </w:r>
    </w:p>
    <w:p>
      <w:r>
        <w:t>57. In this case, to justify the issuance of conservatory measures, the applicants merely point out the seriousness of the alleged practices and the speed with which GNEPF has invaded the market, through "bancassurance," thanks to the considerable number of standardized service contracts.</w:t>
      </w:r>
    </w:p>
    <w:p>
      <w:r>
        <w:t>58. The "serious and immediate" harm to the general economy, to that of the sector concerned, to the interest of consumers, or to the complaining company is, however, not characterized since, as stated above, the alleged practices affect the potential demand for a change of beneficiary by the policyholder after an average period of 15 years.</w:t>
      </w:r>
    </w:p>
    <w:p>
      <w:r>
        <w:rPr>
          <w:b/>
        </w:rPr>
        <w:t>[Pages 10–10]</w:t>
      </w:r>
    </w:p>
    <w:p>
      <w:r>
        <w:t>59. Furthermore, the entry into force of the law of December 9, 2004, according to which the subscriber now has the option to change the choice of funeral operator at any time within the framework of a funeral insurance contract, has effectively led to the cessation of the marketing of these contracts, the stock of which is no longer increasing.</w:t>
      </w:r>
    </w:p>
    <w:p>
      <w:r>
        <w:t>60. Under these conditions, the urgent issuance of the requested precautionary measures is not justified.</w:t>
      </w:r>
    </w:p>
    <w:p>
      <w:r>
        <w:t>DECISION</w:t>
      </w:r>
    </w:p>
    <w:p>
      <w:r>
        <w:t>Sole Article: The request for precautionary measures registered under number 05/0022 M is rejected.</w:t>
      </w:r>
    </w:p>
    <w:p>
      <w:r>
        <w:t>Deliberated on the oral report of Ms. Kownator, by Mr. Nasse, Vice-President, presiding over the session, Ms. Aubert, Vice-President, and Ms. Mader-Saussaye, member.</w:t>
      </w:r>
    </w:p>
    <w:p>
      <w:r>
        <w:t>The session secretary, The Vice-President,</w:t>
      </w:r>
    </w:p>
    <w:p>
      <w:r>
        <w:t>Rita Sougoumarane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