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https://www.autoritedelaconcurrence.fr/fr/decision/relative-des-pratiques-mises-en-oeuvre-dans-le-secteur-de-la-promotion-par-internet-de</w:t>
      </w:r>
    </w:p>
    <w:p>
      <w:r>
        <w:t>Pages translated : 19</w:t>
      </w:r>
    </w:p>
    <w:p/>
    <w:p>
      <w:r>
        <w:rPr>
          <w:b/>
        </w:rPr>
        <w:t>[Pages 1–3]</w:t>
      </w:r>
    </w:p>
    <w:p>
      <w:r>
        <w:t xml:space="preserve">FRENCH REPUBLIC  </w:t>
        <w:br/>
        <w:t xml:space="preserve">Decision No. 19-D-02 of January 15, 2019  </w:t>
        <w:br/>
        <w:t xml:space="preserve">regarding practices implemented in the sector of  </w:t>
        <w:br/>
        <w:t>Internet promotion of dental care</w:t>
      </w:r>
    </w:p>
    <w:p>
      <w:r>
        <w:t xml:space="preserve">The Competition Authority (section IB),  </w:t>
        <w:br/>
        <w:t xml:space="preserve">Having regard to the letter of March 7, 2017, registered under number 17/0127 F, by which the company Groupon referred to the Competition Authority practices implemented by the National Council of the Order of Dental Surgeons in the sector of Internet promotion of dental care;  </w:t>
        <w:br/>
        <w:t xml:space="preserve">Having regard to Book IV of the Commercial Code;  </w:t>
        <w:br/>
        <w:t xml:space="preserve">Having regard to the decision of the General Rapporteur of July 10, 2018, stating that the case would be subject to a decision by the Authority without prior establishment of a report;  </w:t>
        <w:br/>
        <w:t xml:space="preserve">Having regard to the observations presented by the Government Commissioner, the representatives of the National Council of the Order of Dental Surgeons, and the company Groupon;  </w:t>
        <w:br/>
        <w:t xml:space="preserve">Having regard to the other documents in the file;  </w:t>
        <w:br/>
        <w:t xml:space="preserve">The Rapporteur, the General Rapporteur, the Government Commissioner, the representatives of the National Council of the Order of Dental Surgeons, the representatives of the company Groupon, and the representative of the Ministry of Solidarity and Health, heard during the session of the Competition Authority on November 29, 2018;  </w:t>
        <w:br/>
        <w:t>Adopts the following decision:</w:t>
      </w:r>
    </w:p>
    <w:p>
      <w:r>
        <w:t xml:space="preserve">Summary1:  </w:t>
        <w:br/>
        <w:t xml:space="preserve">The company Groupon referred to the Competition Authority facts that it considered to constitute a boycott practice implemented by the National Council of the Order of Dental Surgeons ("CNOCD") in the sector of Internet promotion of dental care and, more generally, in the sectors in which it develops its activities.  </w:t>
        <w:br/>
        <w:t xml:space="preserve">The complainant criticizes various measures taken by the CNOCD, including the legal and disciplinary actions it has implemented both against itself and against its partner dental surgeons, and the public communication related to these actions. These actions would have (i) prevented the company Groupon from accessing the market for the Internet referencing of aesthetic dental care and (ii) obstructed the establishment of price competition in the market for aesthetic dental care by discouraging, out of fear of disciplinary sanctions, dental surgeons from using the services of the company Groupon.  </w:t>
        <w:br/>
        <w:t xml:space="preserve">In the context of the notified grievance, the investigation services, referring to recent case law of the Court of Justice of the European Union, considered that the position of the CNOCD aimed at prohibiting dental surgeons from using the services of the company Groupon was based on national provisions, Articles R. 4127-215 and R. 4127-225 of the Public Health Code, contrary to European law - namely Article 56 TFEU and Directive 2000/31/EC on electronic commerce - in that they prohibit dental surgeons from using any direct or indirect advertising methods. In this context, they indicated that these provisions should be left inapplicable and considered that, in this framework, the facts challenged by the company Groupon constituted a boycott practice by the CNOCD against the company Groupon.  </w:t>
        <w:br/>
        <w:t xml:space="preserve">The Authority found that indeed, as it stands, French law no longer seems to comply with European law, as it imposes a general and absolute prohibition on any advertising, whether direct or indirect, on dental surgeons. Indeed, the CJEU has ruled that general and absolute prohibitions on any advertising, whether direct or indirect, violate Directive 2000/31 on electronic commerce and Article 56 TFEU which enshrines the freedom to provide services: see, regarding the provisions applicable to Belgian dentists, its judgment in Vanderborght of May 4, 2017 (CJEU, May 4, 2017, Vanderborght, C-339/15, EU:C:2017:335), which holds that national legislation prohibiting in a general and absolute manner any advertising related to oral and dental care violates Directive 2000/31, as prohibiting any form of commercial communication by electronic means, and also violates Article 56 TFEU relating to the freedom to provide services.  </w:t>
        <w:br/>
        <w:t xml:space="preserve">The CJEU has similarly ruled regarding provisions of French law and more specifically Article R. 4127-215 of the Public Health Code referred to in the notified grievance in the context of the present referral, which prohibits in a general and absolute manner any advertising to dental surgeons.  </w:t>
        <w:br/>
        <w:t xml:space="preserve">The Authority further recalls that it is its responsibility, as ruled by the CJEU, to leave inapplicable internal law provisions incompatible with European law, and that it must take this into account in its specific role of repressing anti-competitive behaviors when faced with such behaviors that are imposed or favored by national legislation that legitimizes or reinforces their effects (CJEU, September 9, 2003, CIF, Case C-198/01, EU:C:2003:430).  </w:t>
        <w:br/>
        <w:t xml:space="preserve">However, in this case, the Authority notes that the position of the CNOCD was based not only on Articles R. 4127-215 and R. 4127-225 of the Public Health Code, whose compliance with European law is challenged, but also on the failure by Groupon and various dental surgeons to comply with multiple other legislative and regulatory provisions relating to the practice of dentistry, which are not alleged to be contrary to European law.  </w:t>
        <w:br/>
        <w:t xml:space="preserve">Therefore, in the present decision, the Authority considers that assuming the provisions prohibiting any form of advertising by dental surgeons are not compliant with European law, it appears from the elements of the file that the various actions of the CNOCD fall within the fulfillment of the public service mission entrusted to it by law (Article L. 4121-2 of the Public Health Code) and involve the exercise, to a not manifestly inappropriate extent, of public power prerogatives.  </w:t>
        <w:br/>
        <w:t xml:space="preserve">Consequently, the Authority, based on Article L. 462-8 of the Commercial Code, declares itself incompetent to rule on practices related to the exercise of the public power prerogatives of the CNOCD, which are referred to it by the company Groupon.  </w:t>
        <w:br/>
        <w:t xml:space="preserve">The Authority wishes, however, to emphasize the necessity of amending, in the short term, the provisions related to advertising that have been affected by the evolution of the case law of the CJEU in order, on the one hand, to ensure the compliance of the relevant regulatory provisions with European law and, on the other hand, to guarantee the full effectiveness of the ethical principles that apply to dental surgeons, including the prohibition of practicing the profession as a business, independence, dignity, and fraternity.  </w:t>
        <w:br/>
        <w:t>1 This summary is strictly indicative. Only the reasons for the decision numbered below are authoritative.</w:t>
      </w:r>
    </w:p>
    <w:p>
      <w:r>
        <w:rPr>
          <w:b/>
        </w:rPr>
        <w:t>[Pages 4–6]</w:t>
      </w:r>
    </w:p>
    <w:p>
      <w:r>
        <w:t xml:space="preserve">SOMMAIRE  </w:t>
        <w:br/>
        <w:t xml:space="preserve">I. Findings .................................................................................... 5  </w:t>
        <w:br/>
        <w:t xml:space="preserve">A. THE REFERRAL ...................................................................................................................................... 5  </w:t>
        <w:br/>
        <w:t xml:space="preserve">B. THE SECTOR AND THE COMPANIES INVOLVED ............................................................ 5  </w:t>
        <w:br/>
        <w:t xml:space="preserve">1. THE PROFESSION OF DENTAL SURGEONS AND DENTAL CARE ................................. 5  </w:t>
        <w:br/>
        <w:t xml:space="preserve">2. THE COMPANY GROUPON ......................................................................................................... 9  </w:t>
        <w:br/>
        <w:t xml:space="preserve">C. THE PRACTICES OBSERVED ............................................................................................... 10  </w:t>
        <w:br/>
        <w:t xml:space="preserve">D. THE NOTIFIED GRIEVANCE .................................................................................................................. 12  </w:t>
        <w:br/>
        <w:t xml:space="preserve">II. Discussion ..................................................................................... 12  </w:t>
        <w:br/>
        <w:t xml:space="preserve">A. ON THE JURISDICTION OF THE AUTHORITY ........................................................................ 12  </w:t>
        <w:br/>
        <w:t xml:space="preserve">1. REMINDER OF THE APPLICABLE PRINCIPLES ........................................................................ 12  </w:t>
        <w:br/>
        <w:t xml:space="preserve">2. APPLICATION TO THE CASE AT HAND .................................................................................... 15  </w:t>
        <w:br/>
        <w:t>DECISION ............................................................................................. 19</w:t>
      </w:r>
    </w:p>
    <w:p>
      <w:r>
        <w:t xml:space="preserve">I. Findings  </w:t>
        <w:br/>
        <w:t xml:space="preserve">A. THE REFERRAL  </w:t>
        <w:br/>
        <w:t xml:space="preserve">2. By letter dated March 7, 2017, registered under number 17/0127 F, the Competition Authority (hereinafter "the Authority") was seized of a complaint from the companies Groupon France SAS and Groupon International Limited (hereinafter collectively "the company Groupon") directed against practices implemented by the National Council of the Order of Dental Surgeons (hereinafter "the CNOCD") in the sector of online promotion of dental care.  </w:t>
        <w:br/>
        <w:t xml:space="preserve">3. In its complaint, the company Groupon denounces a boycott practice, contrary to the provisions of Articles L. 420-1 of the Commercial Code and 101 of the Treaty on the Functioning of the European Union (hereinafter "the TFEU"), in the sector of online promotion of dental care and, more generally, in the sectors in which it develops its activities.  </w:t>
        <w:br/>
        <w:t xml:space="preserve">4. By decision of July 10, 2018, taken pursuant to Articles L. 463-3 and R. 463-12 of the Commercial Code, the general rapporteur decided that the case would be examined by the Authority without prior establishment of a report.  </w:t>
        <w:br/>
        <w:t xml:space="preserve">5. A notification of grievances was sent to the parties and to the Government Commissioner on July 13, 2018.  </w:t>
        <w:br/>
        <w:t xml:space="preserve">B. THE SECTOR AND THE COMPANIES INVOLVED  </w:t>
        <w:br/>
        <w:t xml:space="preserve">1. THE PROFESSION OF DENTAL SURGEONS AND DENTAL CARE  </w:t>
        <w:br/>
        <w:t xml:space="preserve">a) The National Order of Dental Surgeons and its organization  </w:t>
        <w:br/>
        <w:t xml:space="preserve">6. The National Order of Dental Surgeons (hereinafter "the ONCD") is a professional organization established in 1945.  </w:t>
        <w:br/>
        <w:t xml:space="preserve">7. As a private law entity tasked with a public service mission, the ONCD is a strictly professional structure and is not subject to any oversight. Its members are elected advisors from among all French dental surgeons who solely finance the institution.  </w:t>
        <w:br/>
        <w:t xml:space="preserve">8. Article L. 4121-1 of the Public Health Code states that: "The national order (...) of dental surgeons shall mandatorily group all (...) dental surgeons authorized to practice."  </w:t>
        <w:br/>
        <w:t>9. According to Article L. 4121-2 of the same code, its function is to "ensure the maintenance of the principles of morality, probity, competence, and dedication essential to the practice (...) of dentistry (...) and to the observance, by all [its] members, of professional duties, as well as the rules set forth by the code of ethics provided for in Article L. 4127-1," "to ensure the defense of the honor and independence of the profession (...) of dental surgeon." This same article further specifies that the ONCD "accomplishes [its] mission through the departmental councils, regional or interregional councils, and the national council of the order."</w:t>
      </w:r>
    </w:p>
    <w:p>
      <w:r>
        <w:t xml:space="preserve">10. Thus, the organization of the ONCD is structured around the following three entities:  </w:t>
        <w:br/>
        <w:t xml:space="preserve">- the CNOCD, which has the general mission of fulfilling at the national level the responsibilities assigned to the ONCD and ensuring compliance by dental surgeons with their obligations, particularly the code of ethics whose provisions have been incorporated into the regulatory part of the Public Health Code, in Articles R. 4127-201 and following. In this capacity, it "may, before all jurisdictions, exercise all rights reserved to the civil party concerning facts causing direct or indirect harm to the collective interest of the profession of [...] dental surgeon [...]". It also ensures the coordination of action among the various regional and departmental councils by sending circulars and instructions that the departmental councils transmit, where applicable, to dental surgeons. To ensure this coordination, the CNOCD has various means of communication, including a website and a monthly magazine.  </w:t>
        <w:br/>
        <w:t xml:space="preserve">- the regional councils fulfill the missions assigned to the ONCD at the regional level, primarily of an administrative nature (representation and coordination functions).  </w:t>
        <w:br/>
        <w:t xml:space="preserve">- the departmental councils fulfill the missions assigned to the ONCD at the departmental level. They are notably responsible for maintaining the roll of dental surgeons. They may also, "before all jurisdictions, exercise all rights reserved to the civil party concerning facts causing direct or indirect harm to the collective interest of the profession of [...] dental surgeon [...]".  </w:t>
        <w:br/>
        <w:t xml:space="preserve">b) The professional rules applicable to dental surgeons  </w:t>
        <w:br/>
        <w:t xml:space="preserve">11. The profession of dental surgeons is a regulated profession whose practice is governed by the Public Health Code and is subject to the oversight of the ONCD authorities.  </w:t>
        <w:br/>
        <w:t xml:space="preserve">12. Pursuant to Article L. 4111-1 of the Public Health Code, a dental surgeon must meet three cumulative conditions to practice in France: a nationality condition, a diploma condition, and a registration condition on the roll of the Order (the proper maintenance of which is managed by each departmental council).  </w:t>
        <w:br/>
        <w:t xml:space="preserve">13. Dental surgeons must also comply with the provisions relating to the practice of the profession set forth by the Public Health Code as well as the professional rules of the code of ethics for dental surgeons, which are included in the regulatory part of the Public Health Code, in Articles R. 4127-201 and following.  </w:t>
        <w:br/>
        <w:t xml:space="preserve">14. In the context of the present case, the following articles of the Public Health Code relating to the rules associated with the practice of medical professions have been mentioned:  </w:t>
        <w:br/>
        <w:t>- Article L. 4113-5: "It is prohibited for any person not meeting the required conditions for the practice of the profession to receive, under a convention, the entirety or a share of the fees or profits arising from the professional activity of a member of one of the professions governed by this book. This provision does not apply to telemedicine activities as defined in Article L. 6316-1 and to cooperations between health professionals provided for in Articles L. 4011-1 to L. 4011-3. This prohibition does not prevent the application of the provisions of Law No. 90-1258 of December 31, 1990, relating to the practice in the form of companies of liberal professions subject to a legislative or regulatory status or whose title is protected."</w:t>
      </w:r>
    </w:p>
    <w:p>
      <w:r>
        <w:rPr>
          <w:b/>
        </w:rPr>
        <w:t>[Pages 7–9]</w:t>
      </w:r>
    </w:p>
    <w:p>
      <w:r>
        <w:t>- Article L. 4113-9: "Practicing doctors, dental surgeons, and midwives, as well as individuals requesting their registration on the roll of the order of doctors, dental surgeons, or midwives, must communicate to the departmental council of the order to which they belong the contracts and amendments related to the practice of their profession. Additionally, if they do not own the equipment and premises in which they practice or will practice their profession, they must provide the contracts or amendments ensuring their use of this equipment and premises. The same obligations apply to contracts and amendments intended to transfer ownership of the equipment and premises under a resolutory condition. They do not apply to contracts conforming to a standard contract subject to the approval of the ministers responsible for health and social security. […] Any natural or legal person entering into a contract with a doctor, dental surgeon, or midwife must do so in writing. […] Contractual provisions incompatible with the rules of the profession or likely to deprive the contracting parties of their professional independence render them liable to the disciplinary sanctions provided for in Article L. 4124-6."</w:t>
      </w:r>
    </w:p>
    <w:p>
      <w:r>
        <w:t>- Article L. 4163-3: "The act of any person not meeting the required conditions for practicing the profession of doctor, dental surgeon, or midwife, receiving, under a convention, the entirety or a share of the fees or profits arising from the professional activity of a member of one of the professions governed by this book, doctor, dental surgeon, or midwife, is punishable by a fine of 4,500 euros and, in case of recidivism, by six months of imprisonment and a fine of 9,000 euros."</w:t>
      </w:r>
    </w:p>
    <w:p>
      <w:r>
        <w:t>15. The following articles from the code of ethics for dental surgeons have also been mentioned:</w:t>
        <w:br/>
        <w:t>- Article R. 4127-209: "The dental surgeon may not alienate his professional independence in any way or form."</w:t>
        <w:br/>
        <w:t>- Article R. 4127-210: "The following principles, traditional in the practice of dentistry, apply to all dental surgeons, except in cases where their observance would be incompatible with a legislative or regulatory prescription, or would compromise the rational functioning and normal development of social medicine services or institutions. These principles are: - Free choice of the dental surgeon by the patient; - Freedom of prescriptions by the dental surgeon; - Direct agreement between patient and dental surgeon regarding fees; - Direct payment of fees by the patient to the dental surgeon. When one of these principles is deviated from for one of the reasons mentioned in the first paragraph of this article, the practitioner concerned must keep available to the departmental council and, if applicable, to the National Council of the order all documents capable of establishing that the service or institution with which the practitioner practices falls within one of the categories defined in the aforementioned first paragraph and that the provisions of Article L. 4113-5 are not being violated."</w:t>
        <w:br/>
        <w:t>- Article R. 4127-215: "The dental profession must not be practiced as a business. The following are particularly prohibited: 1° The practice of the profession in a location whose layout or signage gives a commercial appearance; 2° Any establishment in a real estate complex of exclusively commercial character; 3° All direct or indirect advertising methods; 4° Spectacular events related to dentistry that do not have exclusively a scientific or educational purpose."</w:t>
        <w:br/>
        <w:t>- Article R. 4127-221: "The following are prohibited: 1° Any act likely to provide a patient with an unjustified or illegal material advantage; 2° Any cash or in-kind discount given to a patient; 3° Any payment, acceptance, or sharing of sums of money between practitioners or between practitioners and other persons, subject to the provisions specific to companies practicing the profession in common; 4° Any commission to any person whatsoever."</w:t>
        <w:br/>
        <w:t>- Article R. 4127-224: "Any collusion between dental surgeons and doctors, pharmacists, medical auxiliaries, or any other persons, even those unrelated to medicine, is prohibited."</w:t>
        <w:br/>
        <w:t>- Article R. 4127-225: "The dental surgeon must avoid in his writings, statements, or conferences any attack on the honor of the profession or its members. Any advertising, personal promotion, or promotion of a third party or any firm is also prohibited. Any dental surgeon using a pseudonym for activities related to his profession is required to declare it to the departmental council of the order."</w:t>
        <w:br/>
        <w:t>- Article R. 4127-238: "The dental surgeon is free in his prescriptions, which will be those he deems most appropriate in the circumstances. He must limit his prescriptions and actions to what is necessary for the quality and effectiveness of care."</w:t>
        <w:br/>
        <w:t>- Article R. 4127-262: "The diversion or attempted diversion of clientele is prohibited."</w:t>
        <w:br/>
        <w:t>- Article R. 4127-279: "There can be no joint practice of the profession without a written contract submitted to the departmental council of the order that respects the professional independence of each dental surgeon. Contracts or amendments must be communicated, in accordance with Articles L. 4113-9 to L. 4113-12, to the departmental council of the order, which verifies their compliance with the principles of this code of ethics and, if applicable, with the clauses of the standard contracts established by the National Council of the order. Any agreement or professional contract or amendment concluded between one or more dental surgeons, on the one hand, and one or more members of other health professions, on the other hand, must be communicated to the departmental council of the order of dental surgeons. The latter transmits it with its opinion to the national council, which examines whether the contract is compatible with the laws in force and with the code of ethics, particularly with the independence of dental surgeons. Draft agreements, contracts, or amendments established for the application of this article are communicated to the departmental council of the order, which must provide its observations within one month. The dental surgeon must sign and submit to the departmental council a declaration stating that he has not entered into any counter-letter related to the contract submitted for examination by the council."</w:t>
      </w:r>
    </w:p>
    <w:p>
      <w:r>
        <w:t>2. THE COMPANY GROUPON</w:t>
        <w:br/>
        <w:t>a) The activity of the company Groupon</w:t>
        <w:br/>
        <w:t>16. The company Groupon is a subsidiary of the American company Groupon Inc. which operates the website www.groupon.com. Globally, the revenue of Groupon Inc. amounted to 3.1 billion dollars in 2016.</w:t>
        <w:br/>
        <w:t>17. Originally designed as a group buying site, under which the proposed rates were only acquired on the condition that a minimum number of internet users expressed interest in the product or service, the operation of the site www.groupon.com is now that of a classic marketplace in which the proposed rates are acquired by internet users as soon as the publication is disseminated, without the condition that the products or services be acquired by a certain number of customers.</w:t>
        <w:br/>
        <w:t>18. As recalled by the Authority in its opinion No. 12-A-20 of September 18, 2012, marketplaces act as intermediaries between sellers and buyers, offering sellers, whether professionals or individuals, the opportunity to propose all or part of their catalog, as a shopping mall would do in the physical world.</w:t>
        <w:br/>
        <w:t>19. The company Groupon France SAS is a single-member simplified joint-stock company with a capital of 100,000 euros, registered with the Nanterre Trade and Companies Register. In 2015, Groupon France SAS achieved a revenue of 52,070,231 euros.</w:t>
        <w:br/>
        <w:t>20. The e-commerce marketplace is operated by Groupon International Limited, a company headquartered in Ireland, which assumes full responsibility for the editorial content published on the site www.groupon.fr (reference 633). With more than 10 million unique visitors per month on average in the first quarter of 2017, www.groupon.fr was, at that time, the seventh most visited e-commerce site in France.</w:t>
        <w:br/>
        <w:t>21. The activity of the company Groupon consists of entering into contracts with professionals for the dissemination on its site of publications relating to the services or products offered by said professionals. The site then acts as a service provider, providing professionals with an advertising and referencing service to its members, who are internet users previously registered and recorded on the site www.groupon.fr. In relation to these users, the site www.groupon.fr acts as an intermediary, and not as a seller, its intermediation being realized through the provision of a discount coupon to be redeemed with the professional seller.</w:t>
        <w:br/>
        <w:t>22. This model is currently used by the company Groupon for the majority of publications concerning service offerings. It is also used for certain publications related to products. However, for the latter, the site www.groupon.fr also develops another model in which the products are sold directly by an entity belonging to the Groupon group, the Swiss law company Groupon Goods Global GMBH.</w:t>
        <w:br/>
        <w:t>b) The dental care offer proposed by the company Groupon</w:t>
        <w:br/>
        <w:t>23. The company Groupon offered, until September 2017, various aesthetic dental care services at reduced prices performed by dental surgeons. For example, internet users had access to:</w:t>
        <w:br/>
        <w:t>- dental whitening offers (references 457 and 1080), which must be distinguished from the services offered in commerce (whitening centers,</w:t>
      </w:r>
    </w:p>
    <w:p>
      <w:r>
        <w:rPr>
          <w:b/>
        </w:rPr>
        <w:t>[Pages 10–12]</w:t>
      </w:r>
    </w:p>
    <w:p>
      <w:r>
        <w:t>- aesthetic care at reduced prices performed by dental surgeons. For example, the following were accessible to internet users:</w:t>
        <w:br/>
        <w:t>- offers for teeth whitening (references 457 and 1080), which must be distinguished from services offered commercially (whitening centers, aesthetic care institutes, pharmacies) for which the use of products reserved for dental surgeons is prohibited;</w:t>
        <w:br/>
        <w:t>- offers for implantology consisting of placing dental implants (references 575 and 1074 to 1079).</w:t>
      </w:r>
    </w:p>
    <w:p>
      <w:r>
        <w:t>c) The dissemination of aesthetic dental care offers on the website of the company Groupon</w:t>
      </w:r>
    </w:p>
    <w:p>
      <w:r>
        <w:t>24. The relationship between dental surgeons and the company Groupon is governed by a subscription contract. The company Groupon is paid a flat fee by the dental surgeons (reference 121). In cases where the company Groupon enters into contracts with centers providing material means to medical professionals, it is compensated through a commission and the deduction of administrative fees (references 128 to 137).</w:t>
      </w:r>
    </w:p>
    <w:p>
      <w:r>
        <w:t>25. The offers for aesthetic dental care are disseminated on the website www.groupon.fr. These offers provide various information about the proposed service: price and geographical area in which the service is performed.</w:t>
      </w:r>
    </w:p>
    <w:p>
      <w:r>
        <w:t>26. The internet user interested in the proposed service accesses the contact details of the professional through a hyperlink redirecting them to an external professional directory containing the following information: name, first name, professional address, telephone number, fax number, days and hours of consultation.</w:t>
      </w:r>
    </w:p>
    <w:p>
      <w:r>
        <w:t>27. Regarding the offers for aesthetic dental care performed in centers providing material means to medical professionals, only the contact details of the said center are accessible, either directly at the end of the announcement or through a link redirecting the internet user to the website of the said center.</w:t>
      </w:r>
    </w:p>
    <w:p>
      <w:r>
        <w:t>C. OBSERVED PRACTICES</w:t>
      </w:r>
    </w:p>
    <w:p>
      <w:r>
        <w:t>28. The company Groupon denounces the implementation by the CNOCD of a boycott practice "through a communication campaign and a strategy of harassment of dental surgeons who have used its service" (reference 50). It considers that this practice has had effects both on the market for aesthetic dental care and on the market for the online referencing of aesthetic dental care.</w:t>
      </w:r>
    </w:p>
    <w:p>
      <w:r>
        <w:t>29. More specifically, the company Groupon believes that the boycott practice has been implemented by the CNOCD through various actions described below.</w:t>
      </w:r>
    </w:p>
    <w:p>
      <w:r>
        <w:t>30. Firstly, the company Groupon denounces two articles published in the ONCD Letter. The first article published in issue 98 of the ONCD Letter from June 2011 commented on two publications related to whitening and dental implant services from the website www.groupon.fr, without naming it (reference 483). It stated that the sale of care via a website constituted "14 violations of the Public Health Code!". The ONCD also specified the follow-up it had given or intended to give to these publications. The article indicated that after the first publication "the National Council (...) intervened (...) with the departmental council so that it would take the necessary measures with the colleague" and specified that after the dissemination of the second publication, the CNOCD had contacted the website directly so that "a clarification would take place as soon as possible. If it did not wish to cease these practices, the National Council would, of course, consider all options" (reference 483).</w:t>
      </w:r>
    </w:p>
    <w:p>
      <w:r>
        <w:t>31. The second article published in issue 101 of the ONCD Letter from October 2011 is titled "The Order files a complaint against a group buying site" and expressly targets the company Groupon (reference 488). In the editorial preceding this article, the president of the CNOCD states that "The Order has just initiated proceedings against this site, and it will sanction, we repeat here, all practitioners who venture off the paths of medical ethics and deontology." (reference 487). More specifically, the article claims that the company Groupon "violates the provisions" of Article L. 4163-3 of the Public Health Code, which provides for a criminal penalty for any person not meeting the required conditions for practicing a medical profession receiving, under a convention, all or part of the fees collected by a dental surgeon.</w:t>
      </w:r>
    </w:p>
    <w:p>
      <w:r>
        <w:t>32. Secondly, the company Groupon denounces the lack of response from the CNOCD to the formal notice it sent. By letter dated November 24, 2011, addressed to the president of the CNOCD, the company Groupon formally requested the CNOCD to cease the dissemination on its website of the October 2011 article (cited above) and to publish a corrective message in the next issue of the ONCD Letter (references 688 to 694). The company Groupon also informed the CNOCD that failing this, it was considering referring the matter to the Authority so that it would sanction the disputed publications due to their anti-competitive nature.</w:t>
      </w:r>
    </w:p>
    <w:p>
      <w:r>
        <w:t>33. Thirdly, the company Groupon denounces the implementation of disciplinary procedures by the ONCD bodies against dental surgeons who have used its services. These proceedings have resulted in sanctions based on all or part of the articles of the Public Health Code mentioned in paragraphs 14 and following above (references 545 to 555 and 680 to 687).</w:t>
      </w:r>
    </w:p>
    <w:p>
      <w:r>
        <w:t>34. Fourthly, the company Groupon denounces the various complaints filed against it by the CNOCD. Indeed, by letter dated September 7, 2011, the CNOCD filed a complaint with the Director of the Departmental Directorate for the Protection of Populations (hereinafter "the DDPP") against the company Groupon for the publication of offers related to a teeth whitening service (performed by a dental surgeon) and two implantology services (references 572 to 575). In this complaint, the CNOCD invokes the violation by these publications of "numerous" provisions of the Public Health Code cited in paragraphs 14 and following above (including Articles R. 4127-215 and R. 4127-225 of the Public Health Code). This complaint led to a judgment by the Paris Criminal Court dated January 7, 2016, whereby the summons issued against the company Groupon and the other defendants were declared null (References No. 557 to 571).</w:t>
      </w:r>
    </w:p>
    <w:p>
      <w:r>
        <w:t>35. In parallel to this complaint, the CNOCD transmitted on September 14, 2011, a complaint with civil party constitution to the Public Prosecutor near the Paris High Court. This complaint had, at the date of the notification of grievances, not led to the involvement of the company Groupon.</w:t>
      </w:r>
    </w:p>
    <w:p>
      <w:r>
        <w:t>36. Lastly, the company Groupon denounces the communication from the CNOCD regarding the various actions taken against it and against certain dental surgeons. In its complaint, the company Groupon particularly targets issue 112 of the magazine la Lettre published in November 2012. In this issue, the CNOCD dedicated an editorial signed by its President as well as an article on the various actions taken against the service offered by the company Groupon (reference 578). The purpose of this communication was to inform the public in general and dental surgeons in particular that those who had used the services of the company Groupon had indeed been sanctioned disciplinarily as announced by the CNOCD in its previous communications. The article also presents the procedure initiated by the CNOCD with the DDPP and the follow-up that was given to it.</w:t>
      </w:r>
    </w:p>
    <w:p>
      <w:r>
        <w:t>D. NOTIFIED GRIEVANCE</w:t>
      </w:r>
    </w:p>
    <w:p>
      <w:r>
        <w:t>37. By letter dated July 13, 2018, the general rapporteur of the Authority notified the CNOCD of the following grievance: "It follows from all of the above that the Authority is obliged to leave Articles R. 4127-215 and R. 4127-225 of the Public Health Code prohibiting dental surgeons from resorting to all direct or indirect advertising methods unenforced. In light of all the elements analyzed above, the CNOCD is accused of having boycotted, from June 1, 2011, until the date of this notification of grievances, the company Groupon. By doing so, the CNOCD restricts competition in the market for online promotion of dental care, including aesthetic dental care. This anti-competitive behavior has resulted in hindering (i) the free exercise of the economic activity carried out by the company Groupon and (ii) the free play of competition in the provision of aesthetic services by prohibiting practitioners, in a general and absolute manner, from resorting to all direct or indirect advertising methods on the Internet. This practice, which has a purpose and a potential or real effect, falls under a prohibited concerted action in application of Article L. 420-1 of the Commercial Code and Article 101 of the TFEU."</w:t>
      </w:r>
    </w:p>
    <w:p>
      <w:r>
        <w:t>II. Discussion</w:t>
      </w:r>
    </w:p>
    <w:p>
      <w:r>
        <w:t>A. ON THE COMPETENCE OF THE AUTHORITY</w:t>
      </w:r>
    </w:p>
    <w:p>
      <w:r>
        <w:t>1. REMINDER OF APPLICABLE PRINCIPLES</w:t>
      </w:r>
    </w:p>
    <w:p>
      <w:r>
        <w:t>38. The Conflict Tribunal has ruled that while the rules defined in Book Four of the Commercial Code, relating to price and competition freedom, apply to all production, distribution, and service activities, including those carried out by public entities, particularly within the framework of public service delegation agreements, the Authority was, however, not competent to sanction violations of the rules prohibiting anti-competitive practices "regarding decisions or acts concerning the organization of public service or implementing public power prerogatives" (decision of May 4, 2009, of the Conflict Tribunal, "Société Editions Jean-Paul Gisserot", No. 3714, in the collection).</w:t>
      </w:r>
    </w:p>
    <w:p>
      <w:r>
        <w:t>39. In the same vein, the Court of Cassation has ruled that "the decisions by which public entities or private entities entrusted with a public service carry out the mission entrusted to them and implement public power prerogatives, which may constitute acts of production, distribution, and services within the meaning of Article 53 of the ordinance of December 1, 1986 falling within its scope, do not fall under the competence of the Competition Council" (ruling of the Court of Cassation of May 16, 2000, "Semmaris", No. 98-11800, published in the bulletin).</w:t>
      </w:r>
    </w:p>
    <w:p>
      <w:r>
        <w:rPr>
          <w:b/>
        </w:rPr>
        <w:t>[Pages 13–15]</w:t>
      </w:r>
    </w:p>
    <w:p>
      <w:r>
        <w:t>communication commerciale » (CJUE, 4 mai 2017, C-667/15, EU:C:2017:336).</w:t>
      </w:r>
    </w:p>
    <w:p>
      <w:r>
        <w:t>55. Dans un second arrêt, en date du 19 décembre 2019, la CJUE a également jugé que « la directive 2000/31 doit être interprétée en ce sens qu’elle s’oppose à une législation nationale qui interdit de manière générale et absolue toute forme de publicité relative à des prestations de soins de santé, y compris les soins dentaires, en tant que cette législation interdit toute forme de communication commerciale par voie électronique » (CJUE, 19 décembre 2019, C-673/18, EU:C:2019:1116).</w:t>
      </w:r>
    </w:p>
    <w:p>
      <w:r>
        <w:t>56. En conséquence, le CNOCD, en se fondant sur des dispositions nationales contraires au droit européen, a agi en dehors de sa mission de service public, ce qui justifie l'intervention de l'Autorité de la concurrence dans cette affaire.</w:t>
      </w:r>
    </w:p>
    <w:p>
      <w:r>
        <w:t>57. Par ailleurs, il convient de noter que les actions du CNOCD, en dénonçant les pratiques de Groupon et des chirurgiens-dentistes, ont eu pour effet de restreindre la concurrence sur le marché des services dentaires, ce qui est contraire aux principes de libre concurrence établis par le droit européen.</w:t>
      </w:r>
    </w:p>
    <w:p>
      <w:r>
        <w:t>58. En conclusion, l'Autorité de la concurrence considère que les actions du CNOCD, fondées sur des dispositions nationales incompatibles avec le droit européen, constituent une atteinte à la libre concurrence et justifient l'ouverture d'une enquête approfondie sur les pratiques en cause.</w:t>
      </w:r>
    </w:p>
    <w:p>
      <w:r>
        <w:rPr>
          <w:b/>
        </w:rPr>
        <w:t>[Pages 16–18]</w:t>
      </w:r>
    </w:p>
    <w:p>
      <w:r>
        <w:t>communication tools used by dentists, without generally and absolutely prohibiting them from any form of advertising" (CJEU, May 4, 2017, Vanderborght, C-339/15, EU:C:2017:335).</w:t>
      </w:r>
    </w:p>
    <w:p>
      <w:r>
        <w:t>55. More recently, the CJEU ruled on the compliance of Article R. 4127-215 of the French Public Health Code with the directive on electronic commerce. Just as in the Vanderborght case, the CJEU, ruling by order, held that "Article 8 of Directive 2000/31 must be interpreted as opposing a national regulation, such as that at issue in the main proceedings, which generally and absolutely prohibits any advertising by members of the dental profession, in that it prohibits them from resorting to advertising methods that enhance their person or their practice on their website" (CJEU, October 23, 2018, RG and SELARL dental practice of Doctor RG., Case C-296/18, EU:C:2018:857).</w:t>
      </w:r>
    </w:p>
    <w:p>
      <w:r>
        <w:t>56. In light of these rulings, it appears that Article R. 4127-215 of the Public Health Code is contrary to Article 8 of Directive 2000/31. Similarly, it appears, mutatis mutandis, that Article R. 4127-225 of the Public Health Code, insofar as it provides for a general and absolute prohibition of any advertising, direct or indirect, for dental surgeons, is not compatible with Article 56 TFEU and Directive 2000/31 on electronic commerce. Such a finding, also made by the Conseil d’État in its study on the regulations applicable to information and advertising for health professionals (Conseil d’État, Rules applicable to health professionals regarding information and advertising, La Documentation française, 2018, p.63), is, as such, likely to influence the analysis of acts and decisions taken by a professional order such as the CNOCD.</w:t>
      </w:r>
    </w:p>
    <w:p>
      <w:r>
        <w:t>57. Indeed, in application of the principle of primacy and as the CJEU consistently rules, an administration, just like a national judge, is required to set aside the application of national provisions that are not compliant with primary or derived European law (CJEU, June 22, 1989, Fratelli Costanzo SpA v. Comune di Milano, Case 103/88, EU:C:1989:256).</w:t>
      </w:r>
    </w:p>
    <w:p>
      <w:r>
        <w:t>58. Likewise, in a ruling concerning a national provision that had led to or favored the creation of a cartel, the CJEU had the opportunity to recall the general principle that "the primacy of Community law requires that any provision of national law contrary to a Community rule be left inapplicable [...] This duty to leave inapplicable national legislation contrary to Community law is incumbent not only on national courts but also on all state bodies, including administrative authorities" (CJEU, September 9, 2003, CIF, Case C-198/01, EU:C:2003:430).</w:t>
      </w:r>
    </w:p>
    <w:p>
      <w:r>
        <w:t>59. The Court also specified the consequences attached to the obligation to leave inapplicable a national provision contrary to European law when it imposes or favors corporate behavior that may be regarded as contrary to competition law.</w:t>
      </w:r>
    </w:p>
    <w:p>
      <w:r>
        <w:t>60. It indicated that "in the presence of corporate behaviors contrary to Article 81(1) EC, which are imposed or favored by national legislation that legitimizes or reinforces their effects, particularly regarding price fixing and market allocation, a national competition authority tasked, among other things, with ensuring compliance with Article 81 EC:</w:t>
        <w:br/>
        <w:t>- is obliged to leave this national legislation inapplicable;</w:t>
        <w:br/>
        <w:t>- cannot impose sanctions on the companies concerned for past behaviors when those behaviors were imposed on them by this national legislation;</w:t>
        <w:br/>
        <w:t>- can impose sanctions on the companies concerned for their behaviors subsequent to the decision to leave this national legislation inapplicable, once that decision has become definitive with respect to them;</w:t>
        <w:br/>
        <w:t>- can impose sanctions on the companies concerned for past behaviors when they were merely facilitated or encouraged by this national legislation, while duly taking into account the specificities of the normative framework within which the companies acted" (CJEU, September 9, 2003, CIF, Case C-198/01, EU:C:2003:430).</w:t>
      </w:r>
    </w:p>
    <w:p>
      <w:r>
        <w:t>61. The investigation services, in light of these various rulings, considered that, on the one hand, it was appropriate to leave inapplicable the provisions of Articles R. 4127-215 and R. 4127-225 of the Public Health Code that prohibit dental surgeons from resorting to any direct or indirect advertising methods, and on the other hand, to find, in the case at hand, a practice of boycott committed by the CNOCD.</w:t>
      </w:r>
    </w:p>
    <w:p>
      <w:r>
        <w:t>62. However, in this case, it results from the documents in the file that the various actions of the CNOCD were based not only on Articles R. 4127-215 and R. 4127-225 of the Public Health Code, whose compliance with European law is challenged, but also on several other provisions defining the obligations, particularly ethical, that weigh on dental surgeons, and whose legality in light of European law is not in any way challenged.</w:t>
      </w:r>
    </w:p>
    <w:p>
      <w:r>
        <w:t>63. Therefore, the Authority notes that, regardless of any assessment of the existence of a boycott practice and the contrariety of Articles R. 4127-215 and R. 4127-225 of the Public Health Code with European law, the interventions of the CNOCD, in that they are based on several essential provisions applicable to dental surgeons, whose compliance with European law is not in question, fall within the fulfillment by the CNOCD of the public service mission entrusted to it by law, in particular, the duty to ensure compliance with ethics by dental surgeons and the defense of the honor and independence of the profession (see §9 above). These actions thus reflect, in the circumstances of the case, the exercise by the CNOCD, in a manner not manifestly inappropriate, of public power prerogatives.</w:t>
      </w:r>
    </w:p>
    <w:p>
      <w:r>
        <w:t>64. Consequently, it follows from the above that the practices attributed to the CNOCD do not fall within the Authority's jurisdiction. The referral must therefore be declared inadmissible pursuant to the first paragraph of Article L. 462-8 of the Commercial Code.</w:t>
      </w:r>
    </w:p>
    <w:p>
      <w:r>
        <w:t>65. The Authority wishes, however, to emphasize the necessity of amending, in the short term, the regulatory provisions relating to advertising, in order to take into account the evolution of the CJEU's case law. This amendment will, on the one hand, ensure the compliance of the relevant regulatory provisions with European law and, on the other hand, ensure the full effectiveness of the ethical principles that apply to dental surgeons, including the prohibition of practicing the profession as a business, independence, dignity, and collegiality. The Authority also notes that, as the CJEU has ruled (Vanderborght ruling cited, §48-49 and ruling of Doctor RG's dental practice cited, §17-18), European law allows member states to define regulations regarding the advertising of liberal professions, provided that they do not include a general and absolute prohibition.</w:t>
      </w:r>
    </w:p>
    <w:p>
      <w:r>
        <w:t>66. In the session, the representative of the Ministry of Solidarity and Health indicated, in this regard, that the government and several professional orders, including that of dental surgeons, were working on the overhaul of the regulatory provisions applicable to advertising. New provisions should be adopted within a period of 6 to 12 months.</w:t>
      </w:r>
    </w:p>
    <w:p>
      <w:r>
        <w:t>67. She specified that this overhaul would take into account the proposals made by the Conseil d’État in the context of its study on the regulations applicable to information and advertising for health professionals, conducted at the request of the Prime Minister and adopted last May (Conseil d’État, Rules applicable to health professionals regarding information and advertising, La Documentation française, 2018). In this study, the Conseil d’État proposes to abolish the general prohibition on direct or indirect advertising and to establish a principle of free communication of information by practitioners to the public, subject to compliance with the rules governing their professional practice.</w:t>
      </w:r>
    </w:p>
    <w:p>
      <w:r>
        <w:t>68. The Authority also considers that an overhaul in this sense of the French regulations applicable to health professionals is most necessary, and that European law allows for the possibility of defining rules governing the types of communication and advertising they can implement, in compliance with the other principles and ethical rules that apply to them.</w:t>
      </w:r>
    </w:p>
    <w:p>
      <w:r>
        <w:rPr>
          <w:b/>
        </w:rPr>
        <w:t>[Pages 19–19]</w:t>
      </w:r>
    </w:p>
    <w:p>
      <w:r>
        <w:t xml:space="preserve">DECISION  </w:t>
        <w:br/>
        <w:t xml:space="preserve">Sole Article: The request registered under number 17/0127 F is declared inadmissible in that it concerns facts that do not fall within the jurisdiction of the Competition Authority.  </w:t>
        <w:br/>
        <w:t xml:space="preserve">Deliberated on the oral report of Mr. Maxime Hebting, rapporteur, and the oral intervention of Mr. Stanislas Martin, general rapporteur, by Mrs. Isabelle de Silva, president, Mrs. Elizabeth Flüry-Hérard, Mrs. Fabienne Siredey-Garnier, and Mr. Thierry Dahan, vice-presidents, Mrs. Pierrette Pinot, Mr. Noël Diricq, Mr. Olivier d’Ormesson, and Mr. Fabien Raynaud, members.  </w:t>
        <w:br/>
        <w:t xml:space="preserve">The session secretary, The president,  </w:t>
        <w:br/>
        <w:t xml:space="preserve">Caroline Orsel 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