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https://www.autoritedelaconcurrence.fr/fr/decision/relative-des-pratiques-mises-en-oeuvre-dans-le-secteur-de-la-publicite-en-ligne</w:t>
      </w:r>
    </w:p>
    <w:p>
      <w:r>
        <w:t>Pages translated : 4</w:t>
      </w:r>
    </w:p>
    <w:p/>
    <w:p>
      <w:r>
        <w:rPr>
          <w:b/>
        </w:rPr>
        <w:t>[Pages 1–3]</w:t>
      </w:r>
    </w:p>
    <w:p>
      <w:r>
        <w:t xml:space="preserve">FRENCH REPUBLIC  </w:t>
        <w:br/>
        <w:t xml:space="preserve">Decision No. 16-D-25 of November 23, 2016  </w:t>
        <w:br/>
        <w:t xml:space="preserve">regarding practices implemented in the online advertising sector  </w:t>
        <w:br/>
        <w:t xml:space="preserve">The Competition Authority (Vice-President designated to adopt the decision alone),  </w:t>
        <w:br/>
        <w:t xml:space="preserve">Having regard to the letter, registered on July 30, 2013, under number 15/0011 F, by which the company Idéal Assistance Habitat referred to the Competition Authority practices implemented by the company Google;  </w:t>
        <w:br/>
        <w:t xml:space="preserve">Having regard to the business secrecy decision No. 16-DSA-330 of October 7, 2016;  </w:t>
        <w:br/>
        <w:t xml:space="preserve">Having regard to Book IV of the Commercial Code and in particular its Article L. 462-5;  </w:t>
        <w:br/>
        <w:t xml:space="preserve">Having regard to decision No. 16-JU-06 of September 29, 2016, by which the President of the Competition Authority designated Mr. Thierry Dahan, Vice-President, to adopt the decision resulting from the examination of the referral registered under number 15/0011 F;  </w:t>
        <w:br/>
        <w:t xml:space="preserve">Having regard to the other documents in the file;  </w:t>
        <w:br/>
        <w:t xml:space="preserve">The rapporteur and the deputy general rapporteur having been heard during the session of the Competition Authority on November 17, 2016, the company Ideal Assistance Habitat and the government commissioner having been regularly summoned.  </w:t>
        <w:br/>
        <w:t>Adopts the following decision:</w:t>
      </w:r>
    </w:p>
    <w:p>
      <w:r>
        <w:t xml:space="preserve">I. Findings  </w:t>
        <w:br/>
        <w:t xml:space="preserve">1. By letter registered on July 30, 2013, under number 15/0011 F, the company IDEAL ASSISTANCE HABITAT (hereinafter "IAH"), formerly known as Allianz Service, referred to the Competition Authority (hereinafter "the Authority") practices implemented by the companies Google Ireland and Google Inc. (hereinafter "Google") in the sector of online advertising related to searches.  </w:t>
        <w:br/>
        <w:t xml:space="preserve">A. THE COMPANIES CONCERNED  </w:t>
        <w:br/>
        <w:t xml:space="preserve">1. THE COMPANY IDEAL ASSISTANCE HABITAT  </w:t>
        <w:br/>
        <w:t xml:space="preserve">2. IAH was created in October 2009 in the form of a simplified joint-stock company. It primarily engaged in installation, repair, and troubleshooting activities in the fields of locksmithing, plumbing, and electricity in Paris and the Paris region. At the time of the events, it achieved an annual turnover of approximately 3 million euros and employed 25 employees.  </w:t>
        <w:br/>
        <w:t xml:space="preserve">3. It was declared insolvent on August 20, 2012, and the Commercial Court of Paris pronounced the opening of judicial liquidation on September 25, 2013. IAH is currently awaiting removal from the trade and companies register.  </w:t>
        <w:br/>
        <w:t xml:space="preserve">2. THE COMPANY GOOGLE  </w:t>
        <w:br/>
        <w:t xml:space="preserve">4. Google is an American company whose main commercial activity is the sale of online advertising related to searches and contextual advertising related to the content of the web page.  </w:t>
        <w:br/>
        <w:t xml:space="preserve">5. The most used advertising service of Google is AdWords. It allows the advertiser to associate one or more keywords with their ads. AdWords is based on a second-price auction system for purchasing keywords. In practice, advertisers bid on keywords so that a commercial link appears next to or above the natural search engine results if the keywords are present in the user's query. The advertiser then pays for each click made on the commercial links.  </w:t>
        <w:br/>
        <w:t xml:space="preserve">B. THE CONDEMNED PRACTICES  </w:t>
        <w:br/>
        <w:t xml:space="preserve">6. IAH conducted its installation, repair, and troubleshooting activities under various trade names and created numerous websites to promote its services, such as http://as-serrurier.fr, http://as-plombier.fr, http://24hserrurier.fr, http://proserrurier.fr, or http://proplombier.fr.  </w:t>
        <w:br/>
        <w:t>7. In 2010, IAH decided to use Google's paid search service AdWords and signed an advertising contract with Google Ireland Limited on May 4, 2012.</w:t>
      </w:r>
    </w:p>
    <w:p>
      <w:r>
        <w:t xml:space="preserve">8. From September 2011 to June 2012, IAH won the auctions organized by Google allowing it to appear in the first position in its fields of activity, notably emergency locksmith and plumbing services. The average cost per click was then billed between 15 and 25 euros. At that time, IAH's advertising budget on AdWords was approximately 8,000 to 9,000 euros per month. From June 2012, IAH's advertising expenses increased significantly, reaching 78,523 euros in July 2012 and 167,466 euros in August 2012. IAH then reported "fraudulent clicks" to Google, which had the effect of increasing its advertising costs while its activity and turnover remained stable.  </w:t>
        <w:br/>
        <w:t xml:space="preserve">9. Google implemented its behavior and "incorrect" click detection program. A manual investigation was also launched, and the advertiser's sites were closely monitored to detect any abnormal clicks (references No. 108, 112, 116, and 120). Google then found that many clicks did not correspond to "normal user activity" and highlighted the existence of users linked to "bidding robots" or "ghost companies."  </w:t>
        <w:br/>
        <w:t xml:space="preserve">10. However, Google also established that the increase in bids actually had two causes: on the one hand, the bids made by ghost companies and, on the other hand, IAH's own bids, which were very high relative to its level of activity.  </w:t>
        <w:br/>
        <w:t xml:space="preserve">11. Nevertheless, Google granted, based on a detailed account, a credit amounting to 91,534 euros on November 26, 2012 (references No. 157 and 159). Between May 2012 and January 2013, Google also made several commercial gestures to IAH in the form of credits and discounts. Despite these discounts, IAH ceased to pay its AdWords invoices starting in August 2012, considering them unjustified. In February 2013, after several reminders from the accounting department, Google closed IAH's AdWords account (reference No. 18).  </w:t>
        <w:br/>
        <w:t xml:space="preserve">12. The complainant considers that this closure, which he deems abrupt and unjustified, constitutes an abuse of dominant position and justifies his own refusal to pay his invoices by denouncing the inefficiency of Google's "fraudulent" click monitoring system and a non-transparent billing method leading to overcharging for the services offered.  </w:t>
        <w:br/>
        <w:t xml:space="preserve">II. Discussion  </w:t>
        <w:br/>
        <w:t xml:space="preserve">13. Article L. 462-8 paragraph 2 of the Commercial Code states that "the Competition Authority may (...) reject the referral by reasoned decision when it considers that the facts invoked are not supported by sufficiently probative elements."  </w:t>
        <w:br/>
        <w:t xml:space="preserve">A. ON THE ALLEGED PRACTICES  </w:t>
        <w:br/>
        <w:t xml:space="preserve">1. ON THE CONTROLS EXERCISED BY GOOGLE  </w:t>
        <w:br/>
        <w:t>14. IAH, without contesting Google's assertion that "no click corresponding to abnormal activity has been charged to [it] during the periods considered" (reference No. 112), claims that undetected fraudulent clicks would have been charged without subsequently being subject to a commercial credit, but provides no evidence to support this assertion.</w:t>
      </w:r>
    </w:p>
    <w:p>
      <w:r>
        <w:rPr>
          <w:b/>
        </w:rPr>
        <w:t>[Pages 4–4]</w:t>
      </w:r>
    </w:p>
    <w:p>
      <w:r>
        <w:t>15. Similarly, regarding "ghost" companies, Google implemented a number of controls to verify the identity of suspicious companies and proceeded with account closures. These measures contributed to the decrease in the cost per click for IAH, which returned in September 2012 to a level equivalent to that existing prior to the alleged practices (cotes n° 138 and 504). The complainant provides no evidence to demonstrate that this work was not properly done and taken into account in the calculation of the credits granted.</w:t>
      </w:r>
    </w:p>
    <w:p>
      <w:r>
        <w:t>2. ON THE BREAKDOWN OF COMMERCIAL RELATIONS</w:t>
        <w:br/>
        <w:t>16. It appears from the case files that, notwithstanding the measures taken by Google to reduce IAH's debt, the latter ceased to pay all its invoices starting from August 2012. However, the breakdown of relations between the two companies was not abrupt, as it was only after six months of unproductive reminders from its accounting department that Google suspended the accounts of the company IAH on February 5, 2013.</w:t>
      </w:r>
    </w:p>
    <w:p>
      <w:r>
        <w:t>3. CONCLUSION</w:t>
        <w:br/>
        <w:t>17. The elements provided by the complainant in her referral appear very insufficient to demonstrate an abuse.</w:t>
        <w:br/>
        <w:t>18. Furthermore, she ignored all requests from the investigating services to support her claims and substantiate her complaint. Despite the numerous deadlines granted to provide responses, these reminders remained in vain, especially since, according to the statements of the company's lawyer, its manager had left France.</w:t>
        <w:br/>
        <w:t>19. Finally, neither the complainant nor her counsel appeared at the hearing. It was therefore also not possible to obtain additional elements during the oral debate.</w:t>
        <w:br/>
        <w:t>20. It follows from all of the above that the facts denounced by the referral are not supported by sufficiently convincing evidence. Consequently, it is appropriate to apply the provisions of Article L. 462-8 of the Commercial Code and to reject the referral.</w:t>
      </w:r>
    </w:p>
    <w:p>
      <w:r>
        <w:t>DECISION</w:t>
        <w:br/>
        <w:t xml:space="preserve">Single Article: The referral registered under number 15/0011 F is rejected. </w:t>
        <w:br/>
        <w:t xml:space="preserve">Deliberated on the oral report of Mr. Mathieu Guennec, rapporteur, and the intervention of Mr. Nicolas Deffieux, deputy general rapporteur, by Mr. Thierry Dahan, president of the session. </w:t>
        <w:br/>
        <w:t xml:space="preserve">The secretary of the sessions, The vice-president, </w:t>
        <w:br/>
        <w:t xml:space="preserve">Béatrice Déry Rosot Thierry Dahan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