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https://www.autoritedelaconcurrence.fr/fr/decision/relative-des-pratiques-mises-en-oeuvre-dans-le-secteur-de-la-publicite-sur-internet-0</w:t>
      </w:r>
    </w:p>
    <w:p>
      <w:r>
        <w:t>Pages translated : 104</w:t>
      </w:r>
    </w:p>
    <w:p/>
    <w:p>
      <w:r>
        <w:rPr>
          <w:b/>
        </w:rPr>
        <w:t>[Pages 1–3]</w:t>
      </w:r>
    </w:p>
    <w:p>
      <w:r>
        <w:t xml:space="preserve">FRENCH REPUBLIC  </w:t>
        <w:br/>
        <w:t xml:space="preserve">Decision No. 21-D-11 of June 7, 2021  </w:t>
        <w:br/>
        <w:t xml:space="preserve">regarding practices implemented in the online advertising sector *  </w:t>
        <w:br/>
        <w:t xml:space="preserve">The Competition Authority (permanent commission),  </w:t>
        <w:br/>
        <w:t xml:space="preserve">Having regard to the referral, registered on June 25, 2019 under number 19/0030 F, by which News Corp Inc. referred the Competition Authority (hereinafter "the Authority") regarding practices implemented by Google Inc., now Google LLC, Alphabet Inc., and all subsidiaries of Alphabet Inc.;  </w:t>
        <w:br/>
        <w:t xml:space="preserve">Having regard to the referral, registered on September 23, 2019 under number 19/0056 F, by which Groupe Figaro referred the Authority regarding practices implemented by Google;  </w:t>
        <w:br/>
        <w:t xml:space="preserve">Having regard to the referral, registered on September 23, 2019 under number 19/0057 F, by which Groupe Rossel La Voix referred the Authority regarding practices implemented by Google;  </w:t>
        <w:br/>
        <w:t xml:space="preserve">Having regard to the decision of the deputy general rapporteur of September 26, 2019, made pursuant to Article R. 463-3 of the Commercial Code, joining the investigations of cases 19/0030 F, 19/0056 F, and 19/0057 F;  </w:t>
        <w:br/>
        <w:t xml:space="preserve">Having regard to Decision No. 20-C-05 of November 23, 2020 acknowledging the withdrawal of Groupe Figaro;  </w:t>
        <w:br/>
        <w:t xml:space="preserve">Having regard to the Treaty on the Functioning of the European Union, and in particular its Article 102;  </w:t>
        <w:br/>
        <w:t xml:space="preserve">Having regard to Book IV of the Commercial Code, and in particular its Article L. 420-2;  </w:t>
        <w:br/>
        <w:t xml:space="preserve">Having regard to the transaction report of March 12, 2021 signed by the deputy general rapporteur and the companies Google Inc., now Google LLC, Google Ireland Ltd, and Alphabet Inc. pursuant to the provisions of III of Article L. 464-2 of the Commercial Code;  </w:t>
        <w:br/>
        <w:t xml:space="preserve">Having regard to the business secrecy decisions No. 20-DSA-042 of January 23, 2020, No. 20-DSA-074 of February 7, 2020, No. 20-DSA-113 of February 17, 2020, No. 20-DSA-123 of February 18, 2020, No. 20-DSA-126 of February 18, 2020, No. 20-DSA-127 of February 18, 2020, No. 20-DSA-130 of February 18, 2020, No. 20-DSA-141 of February 20, 2020, No. 20-DSA-296 of June 1, 2020, No. 20-DSA-297 of June 2, 2020, No. 20-DSA-298 of June 3, 2020, No. 20-DSA-299 of June 4, 2020, No. 20-DSA-300 of June 5, 2020, No. 20-DSA-301 of June 8, 2020, No. 20-DSA-302 of June 9, 2020, No. 20-DSA-303 of June 10, 2020, No. 20-DSA-304 of June 10, 2020, No. 20-DSA-317 of June 11, 2020, No. 20-DSA-318 of June 12, 2020, No. 20-DSA-319 of June 15, 2020, No. 20-DSA-320 of June 16, 2020, No. 20-DSA-321 of June 17, 2020, No. 20-DSA-322 of June 18, 2020, No. 20-DSA-329 of June 18, 2020, No. 20-DSA-332 of June 18, 2020, No. 20-DSA-323 of June 19, 2020, No. 20-DSA-330 of June 19, 2020, No. 20-DSA-324 of June 22, 2020, No. 20-DSA-331 of June 22, 2020,  </w:t>
        <w:br/>
        <w:t xml:space="preserve">*Public version  </w:t>
        <w:br/>
        <w:t xml:space="preserve">No. 20-DSA-325 of June 23, 2020, No. 20-DSA-326 of June 24, 2020, No. 20-DSA-327 of June 25, 2020, No. 20-DSA-333 of June 25, 2020, No. 20-DSA-328 of June 26, 2020, No. 20-DSA-334 of June 26, 2020, No. 20-DSA-335 of June 25, 2020, No. 20-DSA-075 of July 2, 2020, No. 20-DSA-349 of July 3, 2020, No. 20-DSA-350 of July 6, 2020, No. 20-DSA-351 of July 6, 2020, No. 20-DSA-356 of July 9, 2020, No. 20-DSA-357 of July 10, 2020, No. 20-DSA-360 of July 16, 2020, No. 20-DSA-361 of July 17, 2020, No. 20-DSA-362 of July 20, 2020, No. 20-DSA-380 of July 22, 2020, No. 20-DSA-381 of July 23, 2020, No. 20-DSA-398 of August 14, 2020, No. 20-DSA-399 of August 14, 2020, No. 20-DSA-400 of August 14, 2020, No. 20-DSA-401 of August 14, 2020, No. 20-DSA-411 of August 26, 2020, No. 20-DSA-418 of August 28, 2020, No. 20-DECR-425 of September 2, 2020, No. 20-DEC-424 of September 2, 2020, No. 20-DECR-426 of September 3, 2020, No. 20-DECR-427 of September 4, 2020, No. 20-DECR-429 of September 7, 2020, No. 20-DEC-430 of September 8, 2020, No. 20-DEC-431 of September 8, 2020, No. 20-DECR-434 of September 9, 2020, No. 20-DECR-435 of September 9, 2020, No. 20-DEC-432 of September 9, 2020, No. 20-DEC-437 of September 10, 2020, No. 20-DEC-440 of September 10, 2020, No. 20-DEC-442 of September 11, 2020, No. 20-DECR-450 of September 14, 2020, No. 20-DECR-451 of September 15, 2020, No. 20-DECR-452 of September 15, 2020, No. 20-DEC-458 of September 18, 2020, No. 20-DSA-513 of October 21, 2020, No. 21-DSA-009 of January 20, 2021, No. 21-DSA-078 of March 1, 2021;  </w:t>
        <w:br/>
        <w:t xml:space="preserve">Having regard to the observations presented by NewsCorp Inc., Groupe Rossel La Voix, Groupe Figaro, and Alphabet Inc., Google LLC, and Google Ireland Ltd;  </w:t>
        <w:br/>
        <w:t xml:space="preserve">Having regard to the other documents in the file;  </w:t>
        <w:br/>
        <w:t xml:space="preserve">The rapporteurs, the deputy general rapporteur, the representatives of NewsCorp Inc., Groupe Rossel La Voix, and Alphabet Inc., Google LLC, and Google Ireland Ltd, and the Government Commissioner heard during the session of the Competition Authority on May 7, 2021;  </w:t>
        <w:br/>
        <w:t xml:space="preserve">Adopts the following decision:  </w:t>
        <w:br/>
        <w:t>2</w:t>
      </w:r>
    </w:p>
    <w:p>
      <w:r>
        <w:t xml:space="preserve">Summary1  </w:t>
        <w:br/>
        <w:t xml:space="preserve">By this decision, the Competition Authority sanctions Google for abusing its dominant position in the market for ad servers for online publishers and mobile applications, in violation of Articles L. 420-2 of the Commercial Code and 102 of the Treaty on the Functioning of the European Union.  </w:t>
        <w:br/>
        <w:t xml:space="preserve">This decision follows a referral by several press publishers who monetize the content of their websites and mobile applications through the provision of advertising space, using two advertising technologies offered by Google: (i) the Doubleclick for Publishers ad server (hereinafter "DFP"); and (ii) the Doubleclick AdExchange programmatic advertising space selling platform (hereinafter "AdX").  </w:t>
        <w:br/>
        <w:t xml:space="preserve">The publishers making the referrals argued that Google's two technologies mutually advantaged each other, to the detriment, on one hand, of competing technology providers and, on the other hand, of the performance of their own advertising inventories.  </w:t>
        <w:br/>
        <w:t xml:space="preserve">The online display advertising sector and advertising technologies for publishers  </w:t>
        <w:br/>
        <w:t xml:space="preserve">To market the advertising spaces present within their websites and applications, publishers use different types of technologies, particularly ad server technologies and programmatic advertising space selling platforms:  </w:t>
        <w:br/>
        <w:t xml:space="preserve">- the ad server is a tool that allows the display of advertisements on the publisher's website or mobile application. It also allows for the unified management of the sale of advertising spaces, notably by giving the publisher the ability to choose, for the same advertising space, between transactions concluded directly with advertisers (so-called "guaranteed campaign elements") and selling on multiple platforms organizing auctions programmatically (i.e., according to an automated mechanism);  </w:t>
        <w:br/>
        <w:t xml:space="preserve">- programmatic advertising space selling platforms (so-called "SSP" for supply side platform) are "marketplaces" where buyers of advertising spaces meet publishers wishing to sell advertising spaces (or "impressions"). They typically solicit, for a given impression, a price offer from advertisers, then conduct an auction among the various prices proposed by them, and finally transmit the winning bid to the ad server.  </w:t>
        <w:br/>
        <w:t xml:space="preserve">To optimize their revenues and maximize their chances of selling a given advertising space, publishers generally sell the same advertising space through multiple auction platforms simultaneously. In contrast, publishers typically use a single ad server to organize competition among the different selling platforms. The interoperability of an ad server with selling platforms thus determines both the revenue that publishers derive from their advertising spaces and the attractiveness of the auction platforms.  </w:t>
        <w:br/>
        <w:t xml:space="preserve">1 This summary is strictly informative. Only the reasons for the decision numbered below are authoritative.  </w:t>
        <w:br/>
        <w:t>3</w:t>
      </w:r>
    </w:p>
    <w:p>
      <w:r>
        <w:rPr>
          <w:b/>
        </w:rPr>
        <w:t>[Pages 4–6]</w:t>
      </w:r>
    </w:p>
    <w:p>
      <w:r>
        <w:t xml:space="preserve">The practices implemented by Google to favor its own advertising intermediation technologies  </w:t>
        <w:br/>
        <w:t xml:space="preserve">Google has implemented two distinct practices through which its ad server DFP has favored its SSP AdX and, conversely, its SSP AdX has favored its ad server DFP.  </w:t>
        <w:br/>
        <w:t xml:space="preserve">First, the ad server DFP has favored the AdX selling platform by indicating to it the prices offered by competing SSP platforms. AdX has, in fact, used this information to optimize the auction process it implemented, notably by varying the commission charged on impressions sold based on competitive intensity.  </w:t>
        <w:br/>
        <w:t xml:space="preserve">Second, Google imposed technical and contractual limitations on the use of the AdX platform through a third-party ad server. The interaction terms offered to clients of third-party ad servers were, therefore, inferior to the interaction terms between DFP and AdX, which penalized both third-party SSPs and publisher clients.  </w:t>
        <w:br/>
        <w:t xml:space="preserve">Google requested from the Authority the benefit of the settlement procedure, in accordance with the provisions of III of Article L. 464-2 of the Commercial Code. The implementation of the settlement procedure resulted in the establishment of a settlement report, signed with the general rapporteur, setting the maximum and minimum amounts of the financial penalty that could be imposed by the Authority.  </w:t>
        <w:br/>
        <w:t xml:space="preserve">During discussions with the general rapporteur as part of the settlement, Google also submitted commitments.  </w:t>
        <w:br/>
        <w:t xml:space="preserve">Firstly, Google presented several commitments aimed at ensuring that Google offers third-party SSPs an interoperability option with the DFP server allowing for merit-based competition between AdX and third-party SSPs for the purchase of inventory from publishers using DFP.  </w:t>
        <w:br/>
        <w:t xml:space="preserve">Secondly, Google committed to making changes to existing configurations (AdX Direct and Unsold Campaign Element) that allow publishers using third-party ad servers to access AdX demand in real-time.  </w:t>
        <w:br/>
        <w:t xml:space="preserve">The Authority, after examining all the facts of the case, deemed it appropriate to impose a sanction of 220 million euros, this amount being within the ranges specified in the settlement report.  </w:t>
        <w:br/>
        <w:t xml:space="preserve">The Authority also considered that the commitments proposed by Google were likely to promote a return to compliance for Google and to improve the competitive functioning of the ad server and SSP market. It therefore made them mandatory for a period of three years from the date of notification of the decision or, where applicable, following their effective implementation.  </w:t>
        <w:br/>
        <w:t>4</w:t>
      </w:r>
    </w:p>
    <w:p>
      <w:r>
        <w:t xml:space="preserve">SUMMARY  </w:t>
        <w:br/>
        <w:t xml:space="preserve">I. Findings.................................................................................. 9  </w:t>
        <w:br/>
        <w:t xml:space="preserve">A. REMINDER OF THE PROCEDURE .......................................................................................... 9  </w:t>
        <w:br/>
        <w:t xml:space="preserve">B. THE ONLINE ADVERTISING SECTOR .................................................................................. 9  </w:t>
        <w:br/>
        <w:t xml:space="preserve">1. THE PROVISION OF ONLINE AD SPACES NOT LINKED TO SEARCHES .......................... 10  </w:t>
        <w:br/>
        <w:t xml:space="preserve">a) Advertising formats and media ........................................................................ 10  </w:t>
        <w:br/>
        <w:t xml:space="preserve">Formats ................................................................................................................ 11  </w:t>
        <w:br/>
        <w:t xml:space="preserve">Media .................................................................................................................. 12  </w:t>
        <w:br/>
        <w:t xml:space="preserve">b) Advertising targeting ....................................................................................... 12  </w:t>
        <w:br/>
        <w:t xml:space="preserve">c) The modes of marketing advertising spaces .................................................... 13  </w:t>
        <w:br/>
        <w:t xml:space="preserve">2. ADVERTISING TECHNOLOGIES FOR WEBSITE AND MOBILE APPLICATION PUBLISHERS ... 15  </w:t>
        <w:br/>
        <w:t xml:space="preserve">a) Ad servers for publishers ............................................................................... 15  </w:t>
        <w:br/>
        <w:t xml:space="preserve">b) Supply-side advertising intermediaries ............................................................ 18  </w:t>
        <w:br/>
        <w:t xml:space="preserve">Advertising networks ......................................................................................... 18  </w:t>
        <w:br/>
        <w:t xml:space="preserve">Advertising space selling platforms, known as "SSP" ..................................... 19  </w:t>
        <w:br/>
        <w:t xml:space="preserve">3. ADVERTISING SPACE BUYING PLATFORMS, KNOWN AS "DSP" .................................... 20  </w:t>
        <w:br/>
        <w:t xml:space="preserve">C. THE COMPANIES INVOLVED ............................................................................................... 21  </w:t>
        <w:br/>
        <w:t xml:space="preserve">1. NEWS CORP, FIGARO GROUP, AND ROSSEL GROUP ....................................................... 21  </w:t>
        <w:br/>
        <w:t xml:space="preserve">2. GOOGLE INC. ........................................................................................................ 23  </w:t>
        <w:br/>
        <w:t xml:space="preserve">D. THE OBSERVED PRACTICES ............................................................................................... 25  </w:t>
        <w:br/>
        <w:t xml:space="preserve">1. INTEROPERABILITY MODES BETWEEN INTERMEDIATION PLATFORMS AND THE DFP AD SERVER .................................................................................................................. 26  </w:t>
        <w:br/>
        <w:t xml:space="preserve">The advertising cascade or "mediation" ............................................................. 26  </w:t>
        <w:br/>
        <w:t xml:space="preserve">Dynamic allocation and enhanced dynamic allocation features ....................... 27  </w:t>
        <w:br/>
        <w:t xml:space="preserve">RTB (real-time bidding) protocols and header bidding ..................................... 31  </w:t>
        <w:br/>
        <w:t xml:space="preserve">The Open Bidding feature, formerly Exchange Bidding in Dynamic allocation ... 34  </w:t>
        <w:br/>
        <w:t xml:space="preserve">The transition to a unified auction and the Unified Pricing Rules .................... 35  </w:t>
        <w:br/>
        <w:t xml:space="preserve">2. THE FAVORABLE CONDITIONS GRANTED TO ADX FOR THE PURCHASE OF INVENTORY FROM DFP USERS ........................................................................................................ 37  </w:t>
        <w:br/>
        <w:t xml:space="preserve">a) The ability to make an offer for each impression ......................................... 37  </w:t>
        <w:br/>
        <w:t xml:space="preserve">b) The use of the actual or estimated offer from competing selling platforms .... 38  </w:t>
        <w:br/>
        <w:t>5</w:t>
      </w:r>
    </w:p>
    <w:p>
      <w:r>
        <w:t xml:space="preserve">The right of last look .......................................................................................... 38  </w:t>
        <w:br/>
        <w:t xml:space="preserve">The dynamic adjustment of the revenue share retained by AdX ...................... 43  </w:t>
        <w:br/>
        <w:t xml:space="preserve">The ability to optimize the functioning of AdX ............................................... 46  </w:t>
        <w:br/>
        <w:t xml:space="preserve">c) The advantages resulting from the functioning of Open Bidding and the conditions imposed on performance partners .......................................................... 47  </w:t>
        <w:br/>
        <w:t xml:space="preserve">d) The advantages resulting from the transition to the first-price unified auction and the entry into force of the Unified Pricing Rules ............................................... 49  </w:t>
        <w:br/>
        <w:t xml:space="preserve">The standardization of reserve prices applied to SSPs by publishers ............... 49  </w:t>
        <w:br/>
        <w:t xml:space="preserve">The transmission of strategic information to buyers using AdX or through Open Bidding performance partners ................................................................. 50  </w:t>
        <w:br/>
        <w:t xml:space="preserve">3. THE RESTRICTED INTEROPERABILITY OF ADX WITH THIRD-PARTY AD SERVERS ............ 50  </w:t>
        <w:br/>
        <w:t xml:space="preserve">a) The absence of "real-time" communication means with third-party servers and contractual restrictions .................................................................................. 51  </w:t>
        <w:br/>
        <w:t xml:space="preserve">b) The ability of publishers to compensate for interoperability restrictions with AdX through other channels .................................................................................. 52  </w:t>
        <w:br/>
        <w:t xml:space="preserve">c) The impact of these terms on publishers' choice of their ad server solution ... 55  </w:t>
        <w:br/>
        <w:t xml:space="preserve">E. REMINDER OF THE NOTIFIED GRIEVANCES .................................................................... 59  </w:t>
        <w:br/>
        <w:t xml:space="preserve">First grievance .................................................................................................... 59  </w:t>
        <w:br/>
        <w:t xml:space="preserve">Second grievance ............................................................................................... 59  </w:t>
        <w:br/>
        <w:t xml:space="preserve">II. Discussion .................................................................................. 60  </w:t>
        <w:br/>
        <w:t xml:space="preserve">A. ON THE IMPLEMENTATION OF THE SETTLEMENT PROCEDURE ................................... 60  </w:t>
        <w:br/>
        <w:t xml:space="preserve">B. ON THE APPLICABILITY OF UNION LAW ......................................................................... 61  </w:t>
        <w:br/>
        <w:t xml:space="preserve">C. ON THE RELEVANT MARKETS ............................................................................................ 62  </w:t>
        <w:br/>
        <w:t xml:space="preserve">1. REMINDER OF THE APPLICABLE PRINCIPLES ................................................................. 62  </w:t>
        <w:br/>
        <w:t xml:space="preserve">2. AD SERVERS FOR WEBSITE AND MOBILE APPLICATION PUBLISHERS .......................... 63  </w:t>
        <w:br/>
        <w:t xml:space="preserve">a) On the product market .................................................................................... 63  </w:t>
        <w:br/>
        <w:t xml:space="preserve">On the distinction between ad servers for publishers and for advertisers ........ 63  </w:t>
        <w:br/>
        <w:t xml:space="preserve">On the existence of a specific market distinct from that on which SSPs are present .................................................................................................................. 64  </w:t>
        <w:br/>
        <w:t xml:space="preserve">On the distinction between ad servers for website and mobile application publishers and ad servers for displaying ads on connected television, internet boxes, and similar devices ........................................................................................................ 66  </w:t>
        <w:br/>
        <w:t xml:space="preserve">On the distinction of ad server technologies for website and mobile application publishers based on media or format considerations ................................................. 66  </w:t>
        <w:br/>
        <w:t xml:space="preserve">b) On the geographical dimension of the market .................................................. 67  </w:t>
        <w:br/>
        <w:t>6</w:t>
      </w:r>
    </w:p>
    <w:p>
      <w:r>
        <w:rPr>
          <w:b/>
        </w:rPr>
        <w:t>[Pages 7–9]</w:t>
      </w:r>
    </w:p>
    <w:p>
      <w:r>
        <w:t xml:space="preserve">3. ONLINE AD SPACE SALES PLATFORMS NOT LINKED TO SEARCHES ............................................... 68  </w:t>
        <w:br/>
        <w:t xml:space="preserve">a) On the product market .......................................................................................... 68  </w:t>
        <w:br/>
        <w:t xml:space="preserve">On the distinction between intermediation platforms for online advertising not linked to searches and intermediation platforms for online advertising linked to searches .................................................................................................................. 69  </w:t>
        <w:br/>
        <w:t xml:space="preserve">On the distinction between ad space sales platforms and ad space purchasing platforms .................................................................................................................. 69  </w:t>
        <w:br/>
        <w:t xml:space="preserve">b) On the geographical dimension of the market ....................................................... 70  </w:t>
        <w:br/>
        <w:t xml:space="preserve">4. THE CLOSE CONNECTION OF MARKETS .................................................................................. 71  </w:t>
        <w:br/>
        <w:t xml:space="preserve">D. GOOGLE'S POSITION IN THE RELEVANT MARKETS ................................................................. 71  </w:t>
        <w:br/>
        <w:t xml:space="preserve">1. REMINDER OF APPLICABLE PRINCIPLES ................................................................................ 71  </w:t>
        <w:br/>
        <w:t xml:space="preserve">2. GOOGLE'S DOMINANT POSITION IN THE EUROPEAN MARKET FOR AD SERVERS FOR WEB AND MOBILE APPLICATION PUBLISHERS .......................................................... 72  </w:t>
        <w:br/>
        <w:t xml:space="preserve">a) On Google's market shares .................................................................................... 73  </w:t>
        <w:br/>
        <w:t xml:space="preserve">b) On barriers to entry, maintenance, and expansion ............................................... 75  </w:t>
        <w:br/>
        <w:t xml:space="preserve">c) On the absence of compensating purchasing power ............................................... 77  </w:t>
        <w:br/>
        <w:t xml:space="preserve">d) On Google's unmatched notoriety and the existence of reputation effects .......... 77  </w:t>
        <w:br/>
        <w:t xml:space="preserve">e) On Google's presence at all levels of the value chain and the resulting synergies .................................................................................................................. 77  </w:t>
        <w:br/>
        <w:t xml:space="preserve">3. GOOGLE'S AT LEAST PREEMINENT POSITION IN THE MARKET FOR AD SPACE SALES PLATFORMS NOT LINKED TO SEARCHES ................................................................. 79  </w:t>
        <w:br/>
        <w:t xml:space="preserve">a) On Google's revenues and those of competing suppliers ....................................... 80  </w:t>
        <w:br/>
        <w:t xml:space="preserve">b) On the unparalleled attractiveness of the AdX platform ...................................... 83  </w:t>
        <w:br/>
        <w:t xml:space="preserve">c) On the ability to act independently of the market and the absence of compensating purchasing power .................................................................................. 83  </w:t>
        <w:br/>
        <w:t xml:space="preserve">d) On the competitive pressure exerted by direct sales on ad space sales platforms .................................................................................................................. 84  </w:t>
        <w:br/>
        <w:t xml:space="preserve">E. MERITS OF THE NOTIFIED GRIEVANCES .................................................................................. 85  </w:t>
        <w:br/>
        <w:t xml:space="preserve">1. REMINDER OF APPLICABLE PRINCIPLES ................................................................................ 85  </w:t>
        <w:br/>
        <w:t xml:space="preserve">2. THE MORE FAVORABLE TREATMENT BY DFP OF ADX COMPARED TO THIRD-PARTY AD SPACE SALES PLATFORMS ................................................................. 88  </w:t>
        <w:br/>
        <w:t xml:space="preserve">a) On the more favorable nature ................................................................................ 88  </w:t>
        <w:br/>
        <w:t xml:space="preserve">b) On the anticompetitive effects of the practice ....................................................... 89  </w:t>
        <w:br/>
        <w:t xml:space="preserve">The degradation of the attractiveness of third-party SSPs ...................................... 89  </w:t>
        <w:br/>
        <w:t xml:space="preserve">The maintenance of high prices by AdX ................................................................... 90  </w:t>
        <w:br/>
        <w:t xml:space="preserve">c) On possible objective justifications ...................................................................... 92  </w:t>
        <w:br/>
        <w:t xml:space="preserve">Conclusion .................................................................................................................. 92  </w:t>
        <w:br/>
        <w:t xml:space="preserve">3. THE MORE FAVORABLE TREATMENT BY ADX OF DFP COMPARED TO THIRD-PARTY AD SERVERS ........................................................................................................ 93  </w:t>
        <w:br/>
        <w:t xml:space="preserve">a) On the more favorable nature ................................................................................ 93  </w:t>
        <w:br/>
        <w:t xml:space="preserve">b) On the anticompetitive effects of the practice ....................................................... 93  </w:t>
        <w:br/>
        <w:t xml:space="preserve">c) On competition by merits ..................................................................................... 94  </w:t>
        <w:br/>
        <w:t xml:space="preserve">d) On possible objective justifications ...................................................................... 95  </w:t>
        <w:br/>
        <w:t xml:space="preserve">Conclusion .................................................................................................................. 95  </w:t>
        <w:br/>
        <w:t xml:space="preserve">4. OTHER CONDEMNED PRACTICES ......................................................................................... 95  </w:t>
        <w:br/>
        <w:t xml:space="preserve">a) On the implementation of a predatory strategy .................................................... 96  </w:t>
        <w:br/>
        <w:t xml:space="preserve">b) On Google's exploitation of its vertical integration in the advertising technology ecosystem ........................................................................................................ 96  </w:t>
        <w:br/>
        <w:t xml:space="preserve">F. DURATION OF PRACTICES ........................................................................................................ 97  </w:t>
        <w:br/>
        <w:t xml:space="preserve">G. ATTRIBUTION ............................................................................................................................ 97  </w:t>
        <w:br/>
        <w:t xml:space="preserve">1. APPLICABLE PRINCIPLES ...................................................................................................... 97  </w:t>
        <w:br/>
        <w:t xml:space="preserve">2. ASSESSMENT IN THIS CASE ................................................................................................. 98  </w:t>
        <w:br/>
        <w:t xml:space="preserve">H. ON SANCTIONS AND COMMITMENTS .................................................................................... 99  </w:t>
        <w:br/>
        <w:t xml:space="preserve">1. ON PRINCIPLES RELATING TO THE DETERMINATION OF SANCTIONS AND ACCEPTANCE OF COMMITMENTS .................................................................................... 99  </w:t>
        <w:br/>
        <w:t xml:space="preserve">a) On sanctions ........................................................................................................... 99  </w:t>
        <w:br/>
        <w:t xml:space="preserve">b) On commitments .................................................................................................... 100  </w:t>
        <w:br/>
        <w:t xml:space="preserve">2. ON THE SEVERITY OF THE PRACTICES .............................................................................. 100  </w:t>
        <w:br/>
        <w:t xml:space="preserve">3. ON THE DAMAGE TO THE ECONOMY ................................................................................ 101  </w:t>
        <w:br/>
        <w:t xml:space="preserve">4. ON THE ADAPTATION OF THE SANCTION TO THE SIZE OF THE GROUP .......................... 102  </w:t>
        <w:br/>
        <w:t xml:space="preserve">5. ON THE AMOUNT OF THE SANCTION ................................................................................ 102  </w:t>
        <w:br/>
        <w:t xml:space="preserve">6. ON THE COMMITMENTS PROPOSED BY GOOGLE IN THE CONTEXT OF THE TRANSACTION PROCEDURE ................................................................................................. 102  </w:t>
        <w:br/>
        <w:t xml:space="preserve">I. The findings  </w:t>
        <w:br/>
        <w:t xml:space="preserve">A. REMINDER OF THE PROCEDURE  </w:t>
        <w:br/>
        <w:t xml:space="preserve">1. By registered letter dated June 25, 2019, under number 19/0030 F, News Corp Inc. referred to the Competition Authority (hereinafter "the Authority") practices implemented by Google Inc., now Google LLC, Alphabet Inc., and all subsidiaries of Alphabet Inc. (hereinafter "Google").  </w:t>
        <w:br/>
        <w:t xml:space="preserve">2. By registered letters dated September 23, 2019, under numbers 19/0056 F and 19/0057 F, Groupe Figaro and Groupe Rossel La Voix also referred to the Authority regarding practices implemented by Google.  </w:t>
        <w:br/>
        <w:t xml:space="preserve">3. According to the complainants, Google would hold a dominant position in the market for ad servers for publishers and would have implemented abusive practices by systematically favoring its ad space sales platform, to the detriment of both competing suppliers and the performance of their online advertising inventories. Furthermore, Google would engage in a predatory strategy aimed at reinforcing this dominant position and would exploit its vertical integration in the advertising technology ecosystem to generate additional margins. Publishers and advertisers would not be able to know the amount of these additional margins, which would be kept confidential by Google.  </w:t>
        <w:br/>
        <w:t xml:space="preserve">4. By decision dated September 26, 2019, the Deputy General Rapporteur of the Competition Authority decided to join the investigation of these referrals, in accordance with Article R. 463-3 of the Commercial Code.  </w:t>
        <w:br/>
        <w:t xml:space="preserve">5. On October 1 and 19, 2020, the investigation services notified Alphabet Inc., Google LLC, and Google Ireland Ltd of the grievances concerning prohibited practices under Article 102 of the Treaty on the Functioning of the European Union (hereinafter "TFEU") and Article L. 420-2 of the Commercial Code.  </w:t>
        <w:br/>
        <w:t xml:space="preserve">6. On November 6, 2020, Groupe Figaro withdrew its complaint. By decision No. 20-C-05 dated November 23, 2020, the Authority acknowledged Groupe Figaro's withdrawal.  </w:t>
        <w:br/>
        <w:t xml:space="preserve">7. By a report signed on March 12, 2021, Alphabet Inc., Google LLC, and Google Ireland Ltd committed not to contest the grievances notified to them and proposed several commitments that were annexed to the transaction report.  </w:t>
        <w:br/>
        <w:t xml:space="preserve">8. During the session on May 7, 2021, Google solemnly confirmed its agreement with the terms of the transaction.  </w:t>
        <w:br/>
        <w:t xml:space="preserve">B. THE ONLINE ADVERTISING SECTOR  </w:t>
        <w:br/>
        <w:t>9. Publishers of websites or mobile applications are likely to monetize their content or services by inserting ad spaces on their site. This is the case, for example, for news sites such as lequipe.fr, but also for online commerce services such as cdiscount.com, which market ad spaces in addition to their products or services.</w:t>
      </w:r>
    </w:p>
    <w:p>
      <w:r>
        <w:rPr>
          <w:b/>
        </w:rPr>
        <w:t>[Pages 10–12]</w:t>
      </w:r>
    </w:p>
    <w:p>
      <w:r>
        <w:t xml:space="preserve">10. These ad spaces can primarily be distinguished based on whether they are related to a search conducted by the internet user or not2. The ad spaces related to a search are those displayed on the results pages of search engines, whether general or specialized3. When the advertisement is not related to a search, it is referred to as display advertising (generally termed display advertising by industry players).  </w:t>
        <w:br/>
        <w:t xml:space="preserve">11. The concept of advertising inventory refers to all the ad spaces available for sale at a given moment, for a given period, and for a given advertising medium. The online advertising inventories of a website correspond to the surface area of the ad spaces on each page of that site, multiplied by the number of times that page is opened by different users (internet users, smartphone users, or app users), and each time a page of the site is opened, a new advertising display surface is possible4.  </w:t>
        <w:br/>
        <w:t xml:space="preserve">12. Only display advertising, that is to say, inventories not related to a search, are concerned by the practices subject to this decision.  </w:t>
        <w:br/>
        <w:t xml:space="preserve">1. THE PROVISION OF ONLINE AD SPACES NOT LINKED TO SEARCHES  </w:t>
        <w:br/>
        <w:t xml:space="preserve">a) Advertising formats and media  </w:t>
        <w:br/>
        <w:t xml:space="preserve">13. Online display advertising can take various formats and be disseminated across different media.  </w:t>
        <w:br/>
        <w:t xml:space="preserve">14. To designate the display of a given advertisement to an internet user, we will refer hereafter, according to the terms used in the industry, to an "advertising impression." A web page that includes an ad space viewed by ten internet users thus generates ten impressions.  </w:t>
        <w:br/>
        <w:t xml:space="preserve">2 See, in this regard, opinion no. 18-A-03 of March 6, 2018, concerning the exploitation of data in the online advertising sector, paragraph 178.  </w:t>
        <w:br/>
        <w:t xml:space="preserve">3 See, in particular, decision no. 19-D-26 of December 19, 2019, regarding practices implemented in the online advertising sector related to searches.  </w:t>
        <w:br/>
        <w:t>4 See the glossary of opinion no. 18-A-03 of the Authority on online advertising.</w:t>
      </w:r>
    </w:p>
    <w:p>
      <w:r>
        <w:t xml:space="preserve">The formats  </w:t>
        <w:br/>
        <w:t xml:space="preserve">15. The Syndicat des Régies Internet ("SRI")5 distinguishes so-called classic formats, which include:  </w:t>
        <w:br/>
        <w:t xml:space="preserve">- banners,  </w:t>
        <w:br/>
        <w:t xml:space="preserve">- site skins,  </w:t>
        <w:br/>
        <w:t xml:space="preserve">- video, which is further subdivided into in-stream video, that is, video inserted into pre-existing video content, and out-stream video, that is, inserted into non-video content,  </w:t>
        <w:br/>
        <w:t xml:space="preserve">- special formats including native formats and audio.  </w:t>
        <w:br/>
        <w:t xml:space="preserve">16. The main formats are presented in more detail in the table below:  </w:t>
        <w:br/>
        <w:t xml:space="preserve">Format Description Examples  </w:t>
        <w:br/>
        <w:t xml:space="preserve">Banners Most common advertising format. Impressions can include images and animations. Banners, tiles, and website skins.  </w:t>
        <w:br/>
        <w:t xml:space="preserve">Link to a product  </w:t>
        <w:br/>
        <w:t xml:space="preserve">Native Sponsored advertising format integrated into surrounding content, for example within an Instagram feed or in the form of recommendations.  </w:t>
        <w:br/>
        <w:t xml:space="preserve">Video advertising appearing  </w:t>
        <w:br/>
        <w:t xml:space="preserve">Video out-stream Video advertising format that plays within surrounding content. in the middle of an article on the L’Équipe website.  </w:t>
        <w:br/>
        <w:t xml:space="preserve">Thirty-second video ad played before  </w:t>
        <w:br/>
        <w:t xml:space="preserve">Video in-stream Video advertising format appearing before, during, or after the playback of content on the My Canal app. the playback of video content.  </w:t>
        <w:br/>
        <w:t xml:space="preserve">Six-second video ad played during  </w:t>
        <w:br/>
        <w:t xml:space="preserve">the playback of content on YouTube.  </w:t>
        <w:br/>
        <w:t xml:space="preserve">17. Under the impetus of industry associations representing online advertising players such as the IAB (Interactive Advertising Bureau)6 or the Coalition for Better Ads7, all of these formats are tending towards increasingly advanced standardization, for example regarding the dimensions of displays. These standards aim to ensure an acceptable "user experience" as well as to allow for greater fluidity in the relationships between publishers and advertisers. In doing so, they contribute to the enhancement of online advertising spaces.  </w:t>
        <w:br/>
        <w:t xml:space="preserve">5 23rd Observatory of e-pub, SRI France, Available at: http://www.sri-france.org/wp-content/uploads/2020/01/20200130_ePub_2019_VDEF-Post-pr%C3%A9sentation.pdf. The SRI is a professional association representing the main sellers of advertising spaces on the Internet in France.  </w:t>
        <w:br/>
        <w:t xml:space="preserve">6 IAB France is an association created in 1998 whose mission is to structure the market of communication on the Internet, promote its use, and optimize its effectiveness (https://www.iab.com/).  </w:t>
        <w:br/>
        <w:t>7 https://www.betterads.org/</w:t>
      </w:r>
    </w:p>
    <w:p>
      <w:r>
        <w:t xml:space="preserve">18. Generally, the most exposed ad spaces (typically at the top of web pages or in the heart of articles) are the most visible to users and therefore the most lucrative for publishers. The least exposed placements, for example at the bottom of a web page, are most often dedicated to native formats or content recommendations, often perceived as less qualitative8.  </w:t>
        <w:br/>
        <w:t xml:space="preserve">The media  </w:t>
        <w:br/>
        <w:t xml:space="preserve">19. The SRI also distinguishes display advertising based on their dissemination medium, generally differentiating between dissemination on computers, on smartphones ("smartphones") - which is further divided between the web environment, that is, via the browser installed on the phone, and the app environment, that is, within an application other than the browser - and addressable television, which includes smart TVs, internet boxes provided by operators, and comparable devices connected to a television, such as Roku, Amazon Fire TV Stick, or Apple TV.  </w:t>
        <w:br/>
        <w:t xml:space="preserve">20. The formats offered on each of these media are relatively identical, but there may be marginal differences, for example regarding the dimensions of displays or the quality of video streams. There are also differences in terms of the acceptability of formats: thus, the interstitial format, which blocks the display of content for a limited time, is considered acceptable on smartphones but contrary to the recommendations of the Coalition for Better Ads for content on computers9.  </w:t>
        <w:br/>
        <w:t xml:space="preserve">b) Advertising targeting  </w:t>
        <w:br/>
        <w:t xml:space="preserve">21. Historically, display advertising was based on the content of the site or the destination web page, so that there would be a match between the content of the page and the advertisement, but also between the audience of the site and the population targeted by the advertiser. This type of advertising is referred to as contextual advertising.  </w:t>
        <w:br/>
        <w:t xml:space="preserve">22. Gradually, personalized advertising developed, that is, displayed based on the profile of the internet user consulting the site. The data used can be demographic, such as the age and gender of the internet user, the socio-professional category, but can also include behavioral data, such as the sites visited, geolocation, or the interests of the internet user.  </w:t>
        <w:br/>
        <w:t xml:space="preserve">23. Studies conducted by Google have shown that, under certain circumstances, the display of personalized advertisements can double the revenue of publishers10.  </w:t>
        <w:br/>
        <w:t xml:space="preserve">24. The evolution of the regulatory framework, particularly with the entry into force of the General Data Protection Regulation (GDPR)11, has led to a clarification of the conditions under which the personal data of internet users could be collected and used.  </w:t>
        <w:br/>
        <w:t xml:space="preserve">8 See, for example, the hearing report of the Rossel group, reference 7389.  </w:t>
        <w:br/>
        <w:t xml:space="preserve">9 https://www.betterads.org/desktop-prestitial-ad-with-countdown/  </w:t>
        <w:br/>
        <w:t xml:space="preserve">10 Competition &amp; Markets Authority: Online platforms and digital advertising, Market study final report, Appendix F: the role of data in digital advertising, paragraphs 142 and following. D. Ravichandran, N. Korula, Effect of disabling third-party cookies on publisher revenue, 2019. Available at: https://services.google.com/fh/files/misc/disabling_third-party_cookies_publisher_revenue.pdf; interim report of the Australian Competition and Consumer Commission ("ACCC"): page 58: https://www.accc.gov.au/system/files/Digital%20Advertising%20Services%20Inquiry%20-%20Interim%20report.pdf  </w:t>
        <w:br/>
        <w:t>11 Regulation (EU) 2016/679 of the Parliament and of the Council of April 27, 2016, on the protection of natural persons with regard to the processing of personal data and on the free movement of such data, and repealing Directive 95/46/EC (General Data Protection Regulation).</w:t>
      </w:r>
    </w:p>
    <w:p>
      <w:r>
        <w:rPr>
          <w:b/>
        </w:rPr>
        <w:t>[Pages 13–15]</w:t>
      </w:r>
    </w:p>
    <w:p>
      <w:r>
        <w:t xml:space="preserve">major points of the European regulatory framework, which has been subsequently clarified by data protection authorities12, is that the collection and use of internet users' personal data for advertising targeting can, in principle, only occur with their explicit consent. This consent must be obtained for each of the companies involved in the use of personal data. However, it may be collected by a third party, for example, in cases where the content publisher engages external companies' services for displaying advertisements.  </w:t>
        <w:br/>
        <w:t xml:space="preserve">25. In order to use personal data to display targeted advertisements, four main methods coexist: registered environments (sometimes referred to as "logged" environments or "walled gardens"), advertising identifiers, fingerprinting, and cookies (or "trackers").  </w:t>
        <w:br/>
        <w:t xml:space="preserve">26. In the case of registered environments (for example, logging into a Facebook account), a user identifies themselves to access a service. The data generated by the user (or inferred from their usage) can then be used to target advertising content, either directly by the service in question or by being shared with third parties. The active nature of the identification process, as well as users' reluctance to identify themselves online, limits the use of this method to a fraction of digital content publishers, namely those that offer services to the most attractive internet users and/or whose content is accessed relatively frequently.  </w:t>
        <w:br/>
        <w:t xml:space="preserve">27. In the case of cookies, active identification of the internet user is not necessary, since the visited site places a small file on the device used that will allow it to recognize the user during a subsequent visit, thus gradually accumulating information about that user. This cookie is reserved for the site that placed it and cannot be read by another site. This method is specific to web environments.  </w:t>
        <w:br/>
        <w:t xml:space="preserve">28. Conversely, the fingerprinting method is a probabilistic technique aimed at uniquely identifying a user on a website or mobile application by using the technical characteristics of their browser or individual identification data. The hardware used by the user to connect provides a number of pieces of information to the server, such as screen size or operating system. This information, if sufficiently numerous, can allow individuals to be distinguished from one another and tracked similarly to cookies.  </w:t>
        <w:br/>
        <w:t xml:space="preserve">29. Finally, advertising identifiers are a method specific to application environments. Mobile devices indeed have a unique identifier per device, called the Android Advertising Identifier for Google Android devices and IDFA for Apple iOS devices, which can be used by applications for advertising targeting.  </w:t>
        <w:br/>
        <w:t xml:space="preserve">c) Methods of marketing advertising spaces  </w:t>
        <w:br/>
        <w:t xml:space="preserve">30. Two methods of marketing online advertising spaces coexist: direct sales and programmatic sales.  </w:t>
        <w:br/>
        <w:t xml:space="preserve">31. Direct sales rely on an agreement made directly between the publisher of the website or mobile application and the advertiser, possibly represented by an agency. These agreements are generally based on objectives over a given period, either in terms of the number of impressions or as a percentage of impressions. They require having sales teams in contact with advertisers or their representatives and can therefore only be justified for large volumes. They also require the ability to forecast the quantity of advertising impressions available for sale, whereas the number of visitors to a site or application is inherently uncertain. This method of marketing is therefore used only by publishers of websites or mobile applications that have a significant audience, a particular brand image, or that attract a specifically targeted audience by advertisers.  </w:t>
        <w:br/>
        <w:t xml:space="preserve">32. The Rossel Group, whose direct sales represent a significant portion of its online advertising revenues, indicates in this regard: "Direct sales remain important for us in terms of revenue, but they have evolved. We had a lot in classic display, it is shifting towards native advertising or brand content [sponsored articles and content]. It is direct because we have to work on the content, its distribution. There is little programmatic in these categories. But this leads to a strong decrease in margins because these contents are expensive to produce. It is a desire to resist commoditization by offering different, more refined formats. [...] We make a lot of direct sales because we have a strong sales force that allows us to be very proactive. We also have a very significant local revenue, and local is very direct. In the group, we have nearly 400 salespeople. It is a significant burden, especially since finding a good local salesperson in Troyes or Dunkirk is difficult."13  </w:t>
        <w:br/>
        <w:t xml:space="preserve">33. Direct sales are generally conducted on the basis of a fixed cost per impression, expressed on a cost per thousand basis (hereinafter "CPM"). Direct sales are typically made at a higher price than programmatic sales, particularly because they typically concern the most attractive inventories. Direct sales are also better valued for the same inventory, as they allow advertisers to receive a tailored service, exclusivities on certain inventories, useful visibility on volumes and amounts committed, and do not generate or generate little intermediation fees. Le Figaro and Webedia indicate that the same advertising space sold programmatically generates revenue that is 30 to 60% lower compared to a direct sale14.  </w:t>
        <w:br/>
        <w:t xml:space="preserve">34. For its part, programmatic sales encompass a set of automated processes aimed at connecting the publisher with advertising space to sell and the advertisers. The decision to buy or not to buy a given impression is made in "real time," based on information not only related to the context (for example, the web page) in which the advertisement will be displayed but also to the internet user to whom this advertisement will be shown. The sales chain thus involves one or more technology providers for intermediation, which organize a connection for each impression in a very short time, generally less than one second.  </w:t>
        <w:br/>
        <w:t xml:space="preserve">35. Direct sales represent a significant portion of the advertising revenues of major publishers (typically between 30 and 75%15). The share of programmatic sales, particularly transactions under so-called open auction or private auction modalities, tends to increase significantly in the recent period16.  </w:t>
        <w:br/>
        <w:t xml:space="preserve">36. Since 2015, a hybrid marketing method, known as "Guaranteed Programmatic," has been gradually developing. This modality adopts the commercial logic of direct sales, namely the purchase of a determined quantity of inventories at a fixed price, within the framework of an agreement between the advertiser and the publisher, but allows it to be executed using programmatic tools rather than implementing the pre-existing manual processes, which improves the efficiency of employees in charge of advertising activities. This innovation has accelerated the shift of sales from direct to programmatic as publishers generally count it among their programmatic sales.  </w:t>
        <w:br/>
        <w:t xml:space="preserve">2. ADVERTISING TECHNOLOGIES FOR WEBSITE AND MOBILE APPLICATION PUBLISHERS  </w:t>
        <w:br/>
        <w:t xml:space="preserve">37. In order to market their online advertising inventories to advertisers, publishers use ad server technologies (a) and/or different types of advertising intermediation platforms (b).  </w:t>
        <w:br/>
        <w:t xml:space="preserve">38. These technologies interact within a broader ecosystem that can be illustrated by the simplified diagram below:  </w:t>
        <w:br/>
        <w:t xml:space="preserve">a) Ad servers for publishers  </w:t>
        <w:br/>
        <w:t xml:space="preserve">39. Ad servers constitute the first technological layer involved in the selection and delivery of online advertising. They allow publishers to manage their advertising inventories by assessing their availability based on their historical properties and automatically selecting the most relevant and profitable available advertisements. Thus, ad servers for publishers can decide on behalf of the publisher which advertiser to sell the advertising space to. They differ in this respect from ad servers for advertisers, which are only solicited after the advertiser has purchased the advertising space to select the advertisement to display, send it to the internet user, and ensure its tracking17.  </w:t>
        <w:br/>
        <w:t xml:space="preserve">40. Ad servers for publishers include four main functionalities, namely:  </w:t>
        <w:br/>
        <w:t xml:space="preserve">- enabling the setup, delivery, and tracking of advertising campaigns sold directly to advertisers;  </w:t>
        <w:br/>
        <w:t xml:space="preserve">- enabling programmatic sales;  </w:t>
        <w:br/>
        <w:t xml:space="preserve">- deciding on the most profitable advertisement to display, taking into account both direct sales and programmatic sales, for each impression; and  </w:t>
        <w:br/>
        <w:t xml:space="preserve">- tracking commercial performance18.  </w:t>
        <w:br/>
        <w:t xml:space="preserve">41. The ad server arbitrates between the proposals made by advertisers for a given impression, based on the remuneration received and the associated opportunity cost.17 See in this sense the opinion of the Competition Authority No. 18-A-03 of March 6, 2018 (cited above) paragraphs 30 and following.  </w:t>
        <w:br/>
        <w:t>18 See, for example, references 14620 and following.</w:t>
      </w:r>
    </w:p>
    <w:p>
      <w:r>
        <w:rPr>
          <w:b/>
        </w:rPr>
        <w:t>[Pages 16–18]</w:t>
      </w:r>
    </w:p>
    <w:p>
      <w:r>
        <w:t xml:space="preserve">to the display of a given advertisement when the publisher has made commitments on impression volumes, which is generally the case in direct sales.  </w:t>
        <w:br/>
        <w:t xml:space="preserve">42. When an internet user connects to a website (step 1 in the figure below), their browser is redirected to the publisher's ad server (steps 2 and 3). The ad server selects the type of advertising content to display for each ad space on the page, then redirects the browser either directly to the advertiser's ad server that purchased the ad space (step 4, in the case of a direct sale), or to an intermediary responsible for marketing the space. This process is similar when a user connects to a mobile application.  </w:t>
        <w:br/>
        <w:t xml:space="preserve">Operation of an ad server in the case of direct sale  </w:t>
        <w:br/>
        <w:t xml:space="preserve">Source: Competition Authority  </w:t>
        <w:br/>
        <w:t xml:space="preserve">43. In order to select their ad server solution, publishers typically develop a specifications document that they send to a selection of providers, the most frequently cited by the publishers surveyed being Google, and two competitors Xandr (formerly known as AppNexus) and Smart Adserver. The selection criteria mentioned mainly refer to19:  </w:t>
        <w:br/>
        <w:t xml:space="preserve">- access to the broadest possible demand;  </w:t>
        <w:br/>
        <w:t xml:space="preserve">- the technical quality of the proposed solution, particularly the interface, features, and compatible formats;  </w:t>
        <w:br/>
        <w:t xml:space="preserve">- the provider's capacity for investment in research and development;  </w:t>
        <w:br/>
        <w:t xml:space="preserve">- the possibility of obtaining specific developments from the provider;  </w:t>
        <w:br/>
        <w:t xml:space="preserve">- the quality of technical and commercial support.  </w:t>
        <w:br/>
        <w:t xml:space="preserve">44. More exceptionally, a publisher may choose to develop its own ad server solution. This was the case, for example, with the Webedia group, which nonetheless indicated that this internal solution no longer allowed it to meet the criteria listed above19 and ultimately opted for Google's technological solution in 201920. In fact, only the largest publishers are currently able to effectively operate an internally developed technological solution (typically social networks such as Facebook, LinkedIn, etc.). In this regard, publishers with significant resources have indicated that it is not feasible for them to develop an internal technology capable of satisfactorily meeting their needs21.  </w:t>
        <w:br/>
        <w:t xml:space="preserve">45. Generally speaking, it may be preferable for a publisher to use a single ad server to manage all of its inventories. This standardization indeed allows for:  </w:t>
        <w:br/>
        <w:t xml:space="preserve">- simplified counting of campaigns sold directly;  </w:t>
        <w:br/>
        <w:t xml:space="preserve">- a reduction in the training time for campaign managers;  </w:t>
        <w:br/>
        <w:t xml:space="preserve">- more favorable rates related to the increase in impression volumes per server;  </w:t>
        <w:br/>
        <w:t xml:space="preserve">- a simplification of the technical developments required.  </w:t>
        <w:br/>
        <w:t xml:space="preserve">46. However, when an ad server has particular qualities for a portion of the inventory or, conversely, does not allow for the effective management of certain types of inventories, publishers may be encouraged to use multiple ad servers simultaneously. Different configurations have thus been mentioned by the publishers surveyed, notably the use of a primary ad server, for example, that offered by Xandr, coupled with the ad server of Smart Ad Server for application inventories, or that of Google for video inventories.  </w:t>
        <w:br/>
        <w:t xml:space="preserve">47. The interest in such combinations decreases as the differences between the quality of services offered by different providers diminish. There is thus a trend towards a reduction in the number of ad servers used by the publishers surveyed22, a trend also observed in an internal analysis provided by Google23.  </w:t>
        <w:br/>
        <w:t xml:space="preserve">48. It is not common for a publisher to change its ad server solution24. Indeed, changing ad servers represents a switching cost and significant risks for publishers. In addition to the management resources required for such a project, the importance of the duration of the transition period, the developments and operational resources required, and the need to train teams on new technology represent a considerable difficulty. Given these various elements, a change of ad server is likely to result in significant short-term revenue losses. A major publisher indicated that it lost several million euros in revenue in the months following its transition to a new ad server solution25.  </w:t>
        <w:br/>
        <w:t xml:space="preserve">49. The use of most ad servers is charged to publishers based on a fixed amount applied to each impression served, which may depend, where applicable, on the format of the impression and the activation of certain features. Some providers may, however, offer licensing pricing, that is to say, a fixed and recurring amount applied regardless of the number of impressions served. Providers may also offer their ad server for free, at least for a limited number of impressions, or at a favorable price as part of a global offer including other services, such as data analysis services or intermediation services.  </w:t>
        <w:br/>
        <w:t xml:space="preserve">b) Advertising intermediaries on the supply side  </w:t>
        <w:br/>
        <w:t xml:space="preserve">50. For historical reasons, there are different types of advertising intermediation technologies that allow publishers to connect with advertisers (or buyers) programmatically. As the sector has evolved, the differences – particularly functional – between these technologies have gradually disappeared. Thus, some historically distinct technologies now largely overlap in terms of the functionalities they offer, so that publishers use these different technologies interchangeably when marketing their online advertising inventories.  </w:t>
        <w:br/>
        <w:t xml:space="preserve">51. All of these technologies can be used in connection with, or independently of, an ad server. However, since a single intermediary is generally not capable of marketing all of a publisher's impressions, publishers are strongly encouraged to use these intermediaries in conjunction with an ad server, in order to optimize the fill rate of their inventory and, consequently, the revenue they derive from it. Moreover, the competition among several intermediaries allows for maximizing the yield of the inventory. Furthermore, the performance tracking features offered by ad servers are essential for major publishers. The use of intermediation technologies without an ad server is thus limited to publishers with low advertising revenues.  </w:t>
        <w:br/>
        <w:t xml:space="preserve">Advertising networks  </w:t>
        <w:br/>
        <w:t xml:space="preserve">52. The first historical intermediaries were advertising networks, whose model consists of aggregating available spaces on the sites of several publishers, often based on criteria such as their exposure or the theme of the websites, and marketing them to advertisers, compensating publishers at a fixed price.  </w:t>
        <w:br/>
        <w:t xml:space="preserve">53. For smaller publishers, that is to say primarily those who do not have a direct relationship with advertisers (and are often not equipped with an ad server), advertising networks represent a particularly suitable solution. Conversely, as other intermediation technologies offering broader control options (notably regarding the content of displayed campaigns) have developed, their relevance has gradually diminished, particularly for larger publishers26. The News Corp group, for example, indicated that the use of such intermediaries was not feasible for its main websites27.  </w:t>
        <w:br/>
        <w:t>54. Most advertising networks have today changed their model or disappeared28. However, there is no consensus definition of advertising networks29 and the term is sometimes still used to refer to certain players, notably those offering limited control to publishers over their inventories. Thus, Google's AdSense and AdMob services are generally referred to as advertising networks and continue to be widely used. AdSense consists of two services, AdSense for Content (AFC) and AdSense for Search.</w:t>
      </w:r>
    </w:p>
    <w:p>
      <w:r>
        <w:rPr>
          <w:b/>
        </w:rPr>
        <w:t>[Pages 19–21]</w:t>
      </w:r>
    </w:p>
    <w:p>
      <w:r>
        <w:t>(AFS). AFC allows publishers to display ads on the content pages of their sites, while AFS enables them to use a search engine on their site that also sends keywords to Google in order to display relevant ads on the publisher's search results pages. AdMob is Google's advertising platform that allows for the display of ads within mobile applications.</w:t>
      </w:r>
    </w:p>
    <w:p>
      <w:r>
        <w:t>Advertising Space Selling Platforms, referred to as "SSP"</w:t>
        <w:br/>
        <w:t>55. Emerging after advertising networks, advertising space selling platforms (hereinafter "SSP" for Supply Side Platform) are now the preferred intermediaries for the largest publishers.</w:t>
        <w:br/>
        <w:t>56. It is specified that SSPs were initially connected to advertisers through marketplaces, or ad exchanges, which themselves were connected to advertising space buying platforms or demand-side platforms (see paragraphs 62 and following). However, the development of direct relationships between DSPs and SSPs, and the organization of auctions by the SSPs themselves, have challenged the distinction between the two types of actors, such that there are currently no practical differences for publishers between SSPs and marketplaces. Verizon Media states in this regard that "there is no need to distinguish the service offered by SSPs from those offered by Ad Exchanges. Both platforms rely on the same or similar technologies, and these terms are increasingly used interchangeably to refer to the same product. As a result, SSP and AdExchange are indeed likely to meet the same needs, particularly from the perspective of publishers. For us, these two terms refer to the same products/technologies, but we call them 'Supply Side Platforms' to publishers, and 'exchanges' to buyers"30. Subsequently, the term SSP will refer interchangeably to SSPs and ad exchanges.</w:t>
        <w:br/>
        <w:t>57. Unlike historical advertising networks, SSPs organize an auction for each available impression, and therefore do not offer fixed compensation to the publisher. These platforms also provide publishers with additional services, including greater control over the content of the campaigns displayed, which allows them, for example, to better protect their own brand image. For each impression, a publisher's ad server will most often send a request for proposal to several SSPs (typically around ten) and will retain the best offer that these different SSPs are able to submit.</w:t>
        <w:br/>
        <w:t>30 Cote VC 1592; VNC 7068.</w:t>
      </w:r>
    </w:p>
    <w:p>
      <w:r>
        <w:t>58. Most SSPs primarily offer three different transaction modes to publishers, namely open auctions, private auctions, and preferred deals. These transaction modes are presented in the table below:</w:t>
        <w:br/>
        <w:t>Open Auction Transactions based on auctions concerning the inventory available to all buyers.</w:t>
        <w:br/>
        <w:t>Private Auction Transactions based on auctions concerning one or more specific buyers who have been added to a whitelist by a company.</w:t>
        <w:br/>
        <w:t>Preferred Deal Transactions negotiated by publishers with one or more specific buyers. Prior to the auction, they are based on a fixed price.</w:t>
        <w:br/>
        <w:t>59. As indicated above, since 2015, several providers have gradually introduced a new transaction mode, referred to as "Guaranteed Programmatic," which aims to offer publishers an alternative to their usual direct sales. Transactions based on guaranteed programmatic involve inventory with prior commitment that has been negotiated with a single buyer based on a fixed price.</w:t>
        <w:br/>
        <w:t>60. The same impression may be offered through several transaction modes. In principle, transaction modes based on a fixed price take precedence over auctions, and among the latter, private auctions take precedence over open auctions.</w:t>
        <w:br/>
        <w:t>61. Generally speaking, and regardless of the transaction mode used, the business model of SSPs typically relies on charging fees corresponding to a percentage of the transaction amount. This percentage is determined within the framework of a commercial negotiation between the publisher and the platform provider, and is most often between 5 and 25% of the transaction amount, whereas advertising networks generally retain between 25 and 50% of the transaction amount31. SSPs may also be offered to publishers as standalone products, but can also be bundled with ad servers, by vertically integrated companies such as Google, Xandr, or Smart Adserver.</w:t>
      </w:r>
    </w:p>
    <w:p>
      <w:r>
        <w:t>3. ADVERTISING SPACE BUYING PLATFORMS, REFERRED TO AS "DSP"</w:t>
        <w:br/>
        <w:t>62. In order to make purchases programmatically, advertisers or their agencies use their own advertising intermediation technologies, referred to as "demand-side." These platforms allow for participation in auctions organized by SSPs, but also, in some cases, purchasing from advertising networks, as well as purchasing inventory within closed ecosystems such as Facebook, Twitter, or YouTube.</w:t>
        <w:br/>
        <w:t>63. The management modalities of DSP auctions by advertisers vary widely, with at one end services optimizing bidding strategies through advanced algorithms that are completely opaque to the advertiser, and at the other end, near-total control by the advertiser over the amount of bids. In this regard, some DSPs offer advertisers the option to provide their own algorithm for evaluating the amount of the bid to be made.</w:t>
        <w:br/>
        <w:t>64. DSPs are also likely to offer various targeting modalities to advertisers, for example, targeting a category of users based on socio-demographic characteristics, but also interests, or similarities with a given group. They may also allow advertisers to choose an objective for their advertising campaign, such as maximizing visits to a site, or sales of a product, with the DSP taking care of pursuing this objective through advanced statistical techniques.</w:t>
        <w:br/>
        <w:t>65. The business model of DSPs depends on the service provided to the user. When the advertiser exercises fine control over the DSP's strategy, the latter generally retains a percentage, contractually specified, often variable depending on the features used. Conversely, DSPs offering advanced optimization services will retain a share of the spending that is variable and often not contractually specified, as it varies according to impressions, but is generally larger. The Competition and Markets Authority ("CMA") indicates that DSP fees are most commonly between 5 and 42%, with the average being around 14%32.</w:t>
        <w:br/>
        <w:t>66. Finally, the DSP may charge the advertiser or their agency according to various modalities, for example, by charging for each click by an internet user on an ad. Publishers are most often compensated based on the number of ads displayed, so the DSP will need to predict the probability that the internet user will click to convert the cost per click that will be charged to the advertiser into a cost per impression to be paid to the publisher.</w:t>
      </w:r>
    </w:p>
    <w:p>
      <w:r>
        <w:t>C. THE COMPANIES INVOLVED</w:t>
        <w:br/>
        <w:t>1. NEWS CORP, GROUPE FIGARO, AND GROUPE ROSSEL</w:t>
        <w:br/>
        <w:t>67. News Corp, Groupe Figaro, and Groupe Rossel are companies specialized in the creation, publishing, and distribution of content aimed at individuals and professionals, primarily related to news and information.</w:t>
        <w:br/>
        <w:t>68. The business model of these companies relies on a combination of revenue from subscriptions, licensing rights, the provision of various services, and the sale of advertising space, both in print and digital versions of their content. In the context of their online advertising space provision activities, these companies are significant users of ad servers and advertising space selling platforms.</w:t>
        <w:br/>
        <w:t>69. In recent years, the development of digital usage has led to a significant decrease in revenue generated by print advertising. According to the Institute of Research and Advertising Studies, the market for print advertising in France indeed decreased between 2011 and 2018 from 3.495 billion euros in revenue33 to...</w:t>
      </w:r>
    </w:p>
    <w:p>
      <w:r>
        <w:rPr>
          <w:b/>
        </w:rPr>
        <w:t>[Pages 22–24]</w:t>
      </w:r>
    </w:p>
    <w:p>
      <w:r>
        <w:t xml:space="preserve">2.172 billion euros34. This decrease was accompanied by a significant increase in revenues generated by online advertising, which, however, did not compensate for the decline in print advertising. The total digital revenues of television, radio, and press media related to online advertising amounted to 396 million euros35 in 2018. In the European Union, the print advertising revenues of newspapers and magazines decreased from 30 billion euros in 2011 to 21 billion euros in 201636 according to the European Audiovisual Observatory37.  </w:t>
        <w:br/>
        <w:t xml:space="preserve">The company News Corp  </w:t>
        <w:br/>
        <w:t xml:space="preserve">70. News Corp is a diversified group of media and service companies primarily present and active in the United States, Australia, and the United Kingdom.  </w:t>
        <w:br/>
        <w:t xml:space="preserve">71. The news and information services of News Corp include its subsidiaries Dow Jones, which publishes The Wall Street Journal, Barron’s, and Dow Jones Risk &amp; Compliance, News UK, which publishes The Times, The Sunday Times, and The Sun, News Corp Australia, which publishes The Australian, The Daily Telegraph, and The Herald Sun, and NYP Holdings, which publishes the New York Post, and News America Marketing. All of these publications are available in print, as well as in a digital version accessible on the web or via a dedicated mobile application.  </w:t>
        <w:br/>
        <w:t xml:space="preserve">72. In the fiscal year ending June 30, 2018, News Corp generated approximately 7,570,000,000 euros in revenue. In 2018, News Corp generated approximately […] through the provision of online advertising spaces, including […] from programmatic sales (approximately [30 – 40] %).38  </w:t>
        <w:br/>
        <w:t xml:space="preserve">The company Groupe Figaro  </w:t>
        <w:br/>
        <w:t xml:space="preserve">73. Groupe Figaro is a diversified group of media and service companies primarily present and active in France.  </w:t>
        <w:br/>
        <w:t xml:space="preserve">74. The news and information services of Groupe Figaro are published by its subsidiary Société du Figaro and include Le Figaro and Madame Figaro. These publications are available in print, as well as in a digital version accessible on the web or via a dedicated mobile application.  </w:t>
        <w:br/>
        <w:t xml:space="preserve">75. Additionally, Groupe Figaro offers other types of online services through its subsidiaries Figaro Classified, which publishes the websites cadreemploi.fr, keljob.com, and viadeo.fr, CCM Benchmark, which publishes the websites commentcamarche.net, linternaute.com, journaldunet.com, Meteo Consult, which publishes the website and mobile application La Chaîne météo, and Ticketac, which publishes the website ticketac.com39.  </w:t>
        <w:br/>
        <w:t xml:space="preserve">76. Since the end of 2015, all advertising spaces offered on these websites and mobile applications have been marketed by the advertising agency Media.Figaro.  </w:t>
        <w:br/>
        <w:t xml:space="preserve">34 Unified Advertising Market Barometer 2018, IREP, Accessible at the following address:  </w:t>
        <w:br/>
        <w:t xml:space="preserve">http://www.irep.asso.fr/_files/marche_publicitaire/communique-bump-marche-publicitaire-2018.pdf  </w:t>
        <w:br/>
        <w:t xml:space="preserve">35 Idem  </w:t>
        <w:br/>
        <w:t xml:space="preserve">36 The EU online advertising market Update 2017, European Audiovisual Observatory, Strasbourg, 2017.  </w:t>
        <w:br/>
        <w:t xml:space="preserve">37 The European Audiovisual Observatory was established in 1992 and is part of the Council of Europe, which is headquartered in Strasbourg,  </w:t>
        <w:br/>
        <w:t xml:space="preserve">38 VC 5577.  </w:t>
        <w:br/>
        <w:t xml:space="preserve">39 For the complete list of websites and mobile applications published by Groupe Figaro, see VC 1738 to 1739.  </w:t>
        <w:br/>
        <w:t xml:space="preserve">22  </w:t>
        <w:br/>
        <w:t xml:space="preserve">77. In 2018, Groupe Figaro generated approximately 590,600,000 euros in revenue, of which approximately […] through the provision of online advertising spaces40.  </w:t>
        <w:br/>
        <w:t xml:space="preserve">The company Groupe Rossel  </w:t>
        <w:br/>
        <w:t xml:space="preserve">78. Groupe Rossel is a group of media and service companies primarily present and active in Belgium, France, and Luxembourg.  </w:t>
        <w:br/>
        <w:t xml:space="preserve">79. The news and information services of Groupe Rossel include its subsidiaries Rossel &amp; Cie, which publishes Le Soir, Groupe SudPresse, which publishes La Meuse, La Nouvelle Gazette, and La Capitale, Groupe VLAN, which publishes Vlan, 7Dimanche, and Le Sillon Belge, and Groupe Rossel La Voix, which publishes La Voix du Nord, Le Courrier picard, Nord éclair, and L’Union – L’Ardennais. All of these publications are available in print, as well as in a digital version accessible on the web or via a dedicated mobile application.  </w:t>
        <w:br/>
        <w:t xml:space="preserve">80. Additionally, Groupe Rossel offers exclusively online services through its subsidiary Net Events Media, which publishes the websites and mobile applications Cinénews and Rendez-Vous41.  </w:t>
        <w:br/>
        <w:t xml:space="preserve">81. The advertising inventories offered on these websites and mobile applications are marketed by various advertising agencies, most of which are controlled by the Group. However, the inventories of regional daily press titles in France are managed by a common national agency called "366," and video format inventories by the external agency IP RTL42.  </w:t>
        <w:br/>
        <w:t xml:space="preserve">82. In 2018, Groupe Rossel generated revenue of 496,435,528 euros.  </w:t>
        <w:br/>
        <w:t xml:space="preserve">2. THE GOOGLE COMPANY  </w:t>
        <w:br/>
        <w:t xml:space="preserve">83. Google is a multinational company specializing in services and products related to the Internet, such as online search technologies, software and hardware, cloud computing, and online advertising. It offers these various services globally, excluding certain territories, such as China.  </w:t>
        <w:br/>
        <w:t xml:space="preserve">84. In August 2015, Google announced its intention to reorganize the structure of its group by creating Alphabet, a new parent company. On October 2, 2015, Google effectively became a subsidiary controlled by Alphabet.  </w:t>
        <w:br/>
        <w:t xml:space="preserve">85. On September 30, 2017, Google changed its legal form to become a limited liability company (Google Inc. becoming Google LLC). At the same time, a new subsidiary of Alphabet, XXVI Holdings Inc., took control of Google.  </w:t>
        <w:br/>
        <w:t xml:space="preserve">86. Google's business model primarily relies on the interaction between services provided at no financial cost, which allow it to collect personal data from users, and the provision of online advertising technologies. Furthermore, Google is itself active in the online advertising market, where it markets its own advertising inventories. In this regard, Google's main source of revenue is the sale of advertising spaces that it controls, particularly on the search engine results pages of Google, the video hosting site YouTube, and the mapping service Google Maps.  </w:t>
        <w:br/>
        <w:t xml:space="preserve">87. Google offers numerous technologies that enable services across different segments of online advertising, including comprehensive ranges of services for both publishers and advertisers. These service ranges have been partly established through several acquisitions, including those of DoubleClick in 200843, Admob in 2009, Invite Media in 2010, and AdMeld in 2011.  </w:t>
        <w:br/>
        <w:t xml:space="preserve">88. The main technologies for online advertising offered by Google to publishers are the ad server DoubleClick for Publishers ("DFP") and the advertising space auction platform DoubleClick Ad Exchange ("AdX"). Google also markets the AdSense and AdMob platforms, the latter offering limited ad server functionalities for mobile application environments.  </w:t>
        <w:br/>
        <w:t xml:space="preserve">89. In June 2018, Google integrated DFP and AdX under the name Google Ad Manager ("GAM"), which constitutes the server and platform offering for publishers. It specifies that "although these features are now available on a single interface, publishers can choose to use the ad server or ad exchange functionalities separately," and adds that these two services "work perfectly together as they share the same technical infrastructure (which means they offer reduced latency); moreover, the user interface and reporting tools have been designed in the same format and design"44. In relation to inventory buyers, AdX has been renamed Authorized Buyers and is presented as a distinct offering from GAM.  </w:t>
        <w:br/>
        <w:t xml:space="preserve">90. DFP is a server that allows a publisher to schedule and control the advertising that will appear on its sites. The publisher identifies its pages with DFP tags, where it wishes to display advertising content, and the DFP interface allows it to decide which advertisement will appear, where, when, and how many impressions will be displayed. Unlike AdSense, whose advertising service allows opening its inventory to a large number of buyers and selling it in real-time to the highest bidder, DFP allows a publisher to negotiate the direct sale of impressions to an agency or advertiser and to schedule the corresponding campaigns. To optimize the matching of supply and demand for online advertising, marketplaces such as AdX have been created. Rather than reserving a volume of inventory for certain buyers at a fixed price, a publisher can also put it up for sale on AdX. On this marketplace, hundreds of buyers are connected, who have the opportunity to bid for the right to display their advertisement on the impressions that interest them.  </w:t>
        <w:br/>
        <w:t xml:space="preserve">91. DFP is an omni-format and multi-device ad server for publishers, whose business model is divided between the DFP Small Business offering and the DFP Premium offering. The former is free but limited in both its functionalities and the number of ads served each month45. The latter is charged to publishers at generally decreasing rates based on the number of ads displayed and varies according to the format of the ads (videos, banners, enriched formats, etc.). An additional fixed cost is sometimes also applied, such as when the publisher uses the audience management feature, which allows it to segment visitors and display...  </w:t>
        <w:br/>
        <w:t xml:space="preserve">43 Authorized by a decision of the European Commission of March 11, 2008, M.4731, Google / DoubleClick.  </w:t>
        <w:br/>
        <w:t xml:space="preserve">44 VC 677 (VNC 1946).  </w:t>
        <w:br/>
        <w:t xml:space="preserve">45 Within the European Economic Area, this limit is set at 150 million impressions per month (excluding video impressions) in most countries and at 200 million per month in others.  </w:t>
        <w:br/>
        <w:t>24</w:t>
      </w:r>
    </w:p>
    <w:p>
      <w:r>
        <w:rPr>
          <w:b/>
        </w:rPr>
        <w:t>[Pages 25–27]</w:t>
      </w:r>
    </w:p>
    <w:p>
      <w:r>
        <w:t xml:space="preserve">of campaigns sold directly to a specific segment. Advertising server fees may nevertheless be offered for impressions served via AdX, when the publisher has subscribed to an offer combining DFP and AdX.  </w:t>
        <w:br/>
        <w:t xml:space="preserve">92. For its part, AdX's business model relies on taking a commission of approximately 20% on the revenues paid to publishers. This commission is based on the average number of impressions served, although it may be adjusted for a given impression under a feature known as "dynamic revenue share," which is enabled by default in DFP (see further development below in paragraphs 182 and following).  </w:t>
        <w:br/>
        <w:t xml:space="preserve">93. Google also offers a set of advertising technologies for advertisers, including the demand-side platforms (DSP) DV360 (formerly DoubleClick Bid Manager, "DBM") and Google Ads (formerly Google AdWords), as well as the DoubleClick Campaign Manager ad server (now Campaign Manager). These products are now integrated under the name Google Marketing Platform, but, as with the publisher-side offering, advertisers remain able to purchase and use the server and intermediation features separately.  </w:t>
        <w:br/>
        <w:t xml:space="preserve">94. In 2018, Alphabet generated global revenue of €115,968,000,000, of which [0 – 500] million euros came from providing advertising server services to publishers46 and [10 – 20] billion euros from providing intermediation services to publishers47 (of which [1 – 5] billion euros after revenue sharing with publishers). Through the AdX platform alone, Google generated worldwide revenue of [5 – 10] billion euros in 2018 (of which [1 – 5] billion euros after revenue sharing with publishers)48. The revenue generated in the EEA from providing advertising server services to publishers was at least [0 – 500] million euros49 and at least [1 – 5] billion euros50 from providing intermediation services to publishers (of which [500 – 1000] million euros after revenue sharing with publishers). Through the AdX platform alone, Google generated revenue of [1 – 5] billion euros in the EEA in 2018 (of which [0 – 500] million euros after revenue sharing with publishers)51.  </w:t>
        <w:br/>
        <w:t xml:space="preserve">D. OBSERVED PRACTICES  </w:t>
        <w:br/>
        <w:t xml:space="preserve">95. The Authority finds that Google has implemented practices aimed at ensuring that its DFP advertising server favors its AdX advertising space selling platform, to the detriment of both competing providers and the performance of publishers' online advertising inventories. The Authority also finds that Google has implemented practices aimed at ensuring that its AdX platform favors its DFP server.  </w:t>
        <w:br/>
        <w:t xml:space="preserve">96. After presenting the various possible interoperability modalities between DFP and intermediation platforms (1), the advantages that AdX benefits from for purchasing inventories from DFP users will be detailed (2), followed by the interoperability conditions of AdX with advertising servers other than DFP (3).  </w:t>
        <w:br/>
        <w:t xml:space="preserve">46 Cote VC 966.  </w:t>
        <w:br/>
        <w:t xml:space="preserve">47 Cote VC 1097.  </w:t>
        <w:br/>
        <w:t xml:space="preserve">48 Cote VC 12 200.  </w:t>
        <w:br/>
        <w:t xml:space="preserve">49 Cote VC 967.  </w:t>
        <w:br/>
        <w:t xml:space="preserve">50 Cotes VC 1098 and 1099.  </w:t>
        <w:br/>
        <w:t xml:space="preserve">51 Cote VC 12 201.  </w:t>
        <w:br/>
        <w:t xml:space="preserve">1. INTEROPERABILITY MODALITIES BETWEEN INTERMEDIATION PLATFORMS AND THE DFP AD SERVER  </w:t>
        <w:br/>
        <w:t xml:space="preserve">97. There are different modalities of interoperability between DFP and an advertising network or SSP. Depending on the inventories, DFP may send a bid request to these intermediaries according to different modalities, or even – and this is most often the case for the inventories of the largest publishers – according to several modalities simultaneously.  </w:t>
        <w:br/>
        <w:t xml:space="preserve">The advertising cascade or "mediation"  </w:t>
        <w:br/>
        <w:t xml:space="preserve">98. Until the early 2010s, publishers marketed most of their online advertising inventories through direct sales or advertising networks, the latter gradually being replaced by SSPs.  </w:t>
        <w:br/>
        <w:t xml:space="preserve">99. These intermediaries interacted with the advertising server through instructions called "ad tags." These instructions were sent from the publisher's advertising server to the internet user's browser, so that the latter could connect to the intermediary's server. Thus, there was no direct link between the advertising server and the advertiser's server. This type of integration is also referred to as "mediation."  </w:t>
        <w:br/>
        <w:t xml:space="preserve">100. In order to coordinate their direct and mediated sales and maximize the performance of their inventories, publishers then configured a "cascade" process within their respective servers. Under this process, the server first prioritizes impressions sold directly – referred to as "guaranteed campaign elements" – so that the publisher meets its contractual commitment. In the absence of an eligible guaranteed campaign element, the server successively redirects the internet user's browser to the intermediaries used by the publisher, until one of the intermediaries decides to purchase the impression. This process is described in the figure below, with successive calls to SSP1, SSP2, and SSP3 by the advertising server. In this example, Google's SSP is called in third position, only if SSP1 and SSP2 have not offered a purchase price.  </w:t>
        <w:br/>
        <w:t xml:space="preserve">The advertising cascade  </w:t>
        <w:br/>
        <w:t xml:space="preserve">Source: Competition Authority  </w:t>
        <w:br/>
        <w:t xml:space="preserve">101. The absence of constraints on the price that an intermediary pays for an impression is compensated, on the one hand, by the remuneration of the latter as a percentage of the publisher's revenues, and on the other hand, by the risk of being pushed back in the order of the cascade (see paragraph 102). The order in which the different intermediaries are contacted determines both the impressions marketable by each intermediary and the revenue that the publisher will derive from its inventories52.  </w:t>
        <w:br/>
        <w:t xml:space="preserve">102. In practice, publishers determined this order based on the expected revenue from the intermediaries. In the case of advertising networks purchasing impressions at a fixed price, this expected revenue corresponds to the contractual price of the impressions, whereas in the case of SSPs, publishers use an estimate of the average historical performance of each SSP for the given placement (for example, by dividing the total revenues generated by a given SSP, net of that SSP's commission, by the total number of impressions sold to that SSP over a recent period). Publishers could regularly reassess this historical performance of SSPs and adjust the ordering of their cascade accordingly.  </w:t>
        <w:br/>
        <w:t xml:space="preserve">103. In fact, this cascading process was inefficient and could expose publishers to lost earnings. In particular, it was possible for an intermediary to be called first and win an impression based on its historical performance, even though another, further down the cascade, could have offered a higher price for that impression53. The necessity to sequentially offer the impression to the different intermediaries by redirecting the internet user's browser to each intermediary also led to a slowdown in the loading time of websites or mobile applications (this is referred to as an increase in "latency"), which, on the one hand, harmed the user experience, and, on the other hand, resulted in lost impressions54.  </w:t>
        <w:br/>
        <w:t xml:space="preserve">104. While the advertising cascade still exists today, and remains particularly common for video inventories or application environments for technical reasons, its use for displaying banners in a web environment has become marginal, due to the development of more efficient impression allocation methods.  </w:t>
        <w:br/>
        <w:t xml:space="preserve">Dynamic allocation and enhanced dynamic allocation features  </w:t>
        <w:br/>
        <w:t xml:space="preserve">105. At an unspecified date, but earlier according to Google's statements than its acquisition of DoubleClick in 2008, a feature called "dynamic allocation" was introduced within DFP. The introduction of this feature aimed to address some of the inefficiencies of the advertising cascade, by allowing publishers to solicit a "real-time" bid (i.e., for each impression) from the DoubleClick AdExchange (AdX) platform. A DFP user can only interact with AdX if they enable the dynamic allocation feature55. No other competing provider offered a feature similar to dynamic allocation when Google acquired DoubleClick in 2008.  </w:t>
        <w:br/>
        <w:t xml:space="preserve">106. Under the dynamic allocation feature, the publisher sets within DFP, for each advertising unit56, both a floor price that AdX must beat to purchase the impression and a set of "non-guaranteed campaign elements," the latter notion targeting programmatic intermediaries, including networks.  </w:t>
        <w:br/>
        <w:t xml:space="preserve">52 See, for example, references 40 and following.  </w:t>
        <w:br/>
        <w:t xml:space="preserve">53 See, for example, references 44 and 45.  </w:t>
        <w:br/>
        <w:t xml:space="preserve">54 See, for example, reference 42.  </w:t>
        <w:br/>
        <w:t xml:space="preserve">55 Reference 47.  </w:t>
        <w:br/>
        <w:t>56 An advertising unit is a placement that can contain one or more advertisements.</w:t>
      </w:r>
    </w:p>
    <w:p>
      <w:r>
        <w:rPr>
          <w:b/>
        </w:rPr>
        <w:t>[Pages 28–30]</w:t>
      </w:r>
    </w:p>
    <w:p>
      <w:r>
        <w:t xml:space="preserve">advertising networks and SSPs, which can potentially market this impression. For each intermediary other than AdX, the publisher provides an expected revenue per impression, which Google recommends calculating using the historical performance of the intermediary. However, it is not necessary to provide an expected revenue for AdX, as it organizes an auction for each impression, taking into account data related to the internet user visiting the webpage or mobile application, and this occurs before other SSPs can be contacted. The publisher can also specify other eligibility conditions for the various intermediaries to market a given impression (for example, specific time slots).57  </w:t>
        <w:br/>
        <w:t xml:space="preserve">107. The way dynamic allocation allows for the marketing of an impression is thus sequenced into several steps58:  </w:t>
        <w:br/>
        <w:t xml:space="preserve">- first, DFP determines whether the inventory is likely to be filled by a guaranteed campaign element. If so, the dynamic allocation feature does not trigger (only steps 1 and 2 of the figure below are involved);  </w:t>
        <w:br/>
        <w:t xml:space="preserve">- if not, DFP determines a floor price to beat for the AdX auction, calculating the maximum between the floor price set by the publisher and the expected revenue of the best eligible "non-guaranteed campaign element" provided by the publisher (step 3);  </w:t>
        <w:br/>
        <w:t xml:space="preserve">- AdX then organizes an auction, communicating this floor price to buyers;  </w:t>
        <w:br/>
        <w:t xml:space="preserve">- if AdX receives at least one bid above this floor price, the best bid received wins the impression, but the buyer only has to pay the price of the second-best bid received by AdX (or the floor price in the absence of a second bid above the floor), plus a very small amount (the process stops at step 3);  </w:t>
        <w:br/>
        <w:t xml:space="preserve">- if AdX receives no bids above this floor price, DFP redirects the internet user's browser to the eligible intermediaries, in descending order of expected revenue by the publisher (steps 4 and 5 in the case of an example with two SSPs called after AdX).  </w:t>
        <w:br/>
        <w:t xml:space="preserve">57 See § 159.  </w:t>
        <w:br/>
        <w:t>58 See § 46.</w:t>
      </w:r>
    </w:p>
    <w:p>
      <w:r>
        <w:t xml:space="preserve">108. The following diagram summarizes the operation of dynamic allocation when AdX wins the impression:  </w:t>
        <w:br/>
        <w:t xml:space="preserve">Dynamic Allocation  </w:t>
        <w:br/>
        <w:t>Source: Competition Authority</w:t>
      </w:r>
    </w:p>
    <w:p>
      <w:r>
        <w:t>109. Dynamic allocation thus allows publishers to obtain in "real time" from AdX an offer higher than their own estimate of the revenue that a given impression is likely to generate or the fixed price negotiated with their other partners. Consequently, this innovation represents an improvement over the pre-existing advertising cascade, as it helps avoid the situation described in paragraph 103, but only in cases where the platform that can obtain the best price for the impression is AdX, which now has, at the time of organizing its auction, the estimated selling price of the best third-party partner.</w:t>
      </w:r>
    </w:p>
    <w:p>
      <w:r>
        <w:t>110. Subsequently, several providers offering both an ad server for publishers and an SSP have introduced features similar to dynamic allocation, including Xandr, which specified in a hearing that this integration is done according to a principle of fair competition59. According to Xandr, this term refers to the fact that buyers present on Xandr's SSP do not receive information about the price offered by other SSPs, unlike the situation resulting from the calculation method of the floor price of the AdX auction.</w:t>
      </w:r>
    </w:p>
    <w:p>
      <w:r>
        <w:t>111. In 2014, Google introduced a new version of dynamic allocation called "enhanced dynamic allocation" (referred to as "dynamic allocation" in the developments below). This new version replaces the previous one, and publishers do not have the option to continue using the earlier version.</w:t>
      </w:r>
    </w:p>
    <w:p>
      <w:r>
        <w:t xml:space="preserve">112. Enhanced dynamic allocation allows publishers to compete the programmatic demand from each of their intermediation platforms with the best guaranteed campaign element (i.e., the most lucrative direct sale), while ensuring compliance with their contractual commitment to the buyer.60  </w:t>
        <w:br/>
        <w:t xml:space="preserve">59 See § VC 4424 (VNC 14498).  </w:t>
        <w:br/>
        <w:t>60 See § VC 688 (VNC 1957).</w:t>
      </w:r>
    </w:p>
    <w:p>
      <w:r>
        <w:t xml:space="preserve">113. In practice, DFP determines a temporary CPM for the best contractually guaranteed impression. This CPM reflects the opportunity cost of not serving this impression. By increasing in response to delays in the delivery of the guaranteed campaign, it helps avoid under-delivery of guaranteed impressions (and thus non-compliance with the contract) and increases publishers' revenues. This temporary CPM is then used in calculating the floor of the auction organized by AdX. The latter will therefore be equal to the maximum of:  </w:t>
        <w:br/>
        <w:t xml:space="preserve">- the floor price set by the publisher;  </w:t>
        <w:br/>
        <w:t xml:space="preserve">- the estimated revenue of the best eligible non-guaranteed campaign element;  </w:t>
        <w:br/>
        <w:t>- the temporary CPM of the best guaranteed campaign element.</w:t>
      </w:r>
    </w:p>
    <w:p>
      <w:r>
        <w:t>114. The introduction of enhanced dynamic allocation has thus allowed programmatic demand sources to win an impression despite the presence of a guaranteed campaign element when the offered price was higher than the opportunity cost represented by not serving the contractually guaranteed impression. AdX remains the only intermediary platform capable of making an offer for each impression, with other SSPs only being solicited if AdX has not identified an offer above the floor price.</w:t>
      </w:r>
    </w:p>
    <w:p>
      <w:r>
        <w:t xml:space="preserve">115. Subsequent developments have slightly modified the operation of this new version of dynamic allocation. In particular, Google has offered publishers floor price optimization solutions that allow adding a second floor price for each request, calculated automatically by Google, solely for the purpose of optimizing their revenue. This optimization is done opaquely for the publishers who choose to use it, as they do not have access to either the method of calculating the optimized floor or the result per impression. In this context, the floor of the AdX auction will be the maximum of:  </w:t>
        <w:br/>
        <w:t xml:space="preserve">- the floor price set by the publisher;  </w:t>
        <w:br/>
        <w:t xml:space="preserve">- the estimated revenue of the best eligible non-guaranteed campaign element;  </w:t>
        <w:br/>
        <w:t xml:space="preserve">- the temporary CPM of the guaranteed campaign element;  </w:t>
        <w:br/>
        <w:t>- an automatically optimized floor price by Google.61</w:t>
      </w:r>
    </w:p>
    <w:p>
      <w:r>
        <w:t xml:space="preserve">116. In the European Economic Area, the proportion of publishers using DFP who have activated the dynamic allocation feature is over [70-80]% for the entire period for which Google has been able to provide data (from 2016 to 2019)62. Furthermore, according to information provided by Google63, [0-5]% of publishers who have activated the Open Bidding feature (described below) and, a fortiori, dynamic allocation, represent more than [70-80]% of the impressions and auction revenues of DFP users. The proportion of impressions and auction revenues of DFP users affected by dynamic allocation is therefore likely to be significantly higher than [70-80]%. Moreover, publishers who do not activate this feature cannot access AdX demand or benefit from the ranking of intermediaries by price64.  </w:t>
        <w:br/>
        <w:t xml:space="preserve">61 See §§ VC 13799 and following (VNC 13950 and following).  </w:t>
        <w:br/>
        <w:t xml:space="preserve">62 See § VC 939.  </w:t>
        <w:br/>
        <w:t xml:space="preserve">63 See § VC 2571.  </w:t>
        <w:br/>
        <w:t>64 See §§ VC 159 and 689.</w:t>
      </w:r>
    </w:p>
    <w:p>
      <w:r>
        <w:rPr>
          <w:b/>
        </w:rPr>
        <w:t>[Pages 31–33]</w:t>
      </w:r>
    </w:p>
    <w:p>
      <w:r>
        <w:t xml:space="preserve">The RTB (real-time bidding) protocols and header bidding  </w:t>
        <w:br/>
        <w:t xml:space="preserve">117. In order to remedy, at least partially, the asymmetry of the dynamic allocation feature in favor of Google65, competing intermediation service providers have developed protocols allowing all advertising technologies to communicate with each other in "real time." To this end, the OpenRTB consortium was formed at the end of 201066. The developed protocols were quickly adopted by most providers, who gradually implemented solutions allowing all SSPs to submit their bids for each impression, under terms similar to those of the dynamic allocation feature between DFP and AdX.  </w:t>
        <w:br/>
        <w:t xml:space="preserve">118. Gradually, a solution known as "header bidding" has been adopted by publishers. While the exact date of the emergence of this technology is uncertain, internal documents from Google provided in response to a request from the investigation services show that several of these solutions were widely used as early as 201567, meaning they were utilized by many publishers for a significant portion of the available inventory.  </w:t>
        <w:br/>
        <w:t xml:space="preserve">119. Header bidding is a tool that organizes an auction among different advertising networks and various SSPs to market a given advertising impression. Initially, header bidding auctions took place directly in the internet user's browser (i.e., "client-side"), via code typically inserted within the first part of the publisher's website (the "header"). Now, there are solutions, also referred to as header bidding, that organize a server-to-server auction (or what is referred to as "server-side" header bidding)68.  </w:t>
        <w:br/>
        <w:t xml:space="preserve">120. A header bidding solution organizes a "bid among bids," meaning it organizes an auction among platforms (advertising networks and SSPs) that conduct their own auction. All contacted SSPs can thus provide a bid per impression, rather than being ranked and consulted based on their expected average performance. The header bidding process also allows for maximizing the sale price of the impression for publishers.  </w:t>
        <w:br/>
        <w:t xml:space="preserve">121. In practice, the header bidding solution works as follows: first, it solicits a bid from the networks and SSPs used by the publisher (step 2 in the figure below), which submit a bid in return. It then selects the best bid among those offered by the networks and SSPs and transmits it to the publisher's ad server (step 3).  </w:t>
        <w:br/>
        <w:t xml:space="preserve">122. When the header bidding solution is implemented by DFP, the bid transmitted by the header bidding will activate a "non-guaranteed campaign element" whose estimated yield at the time of configuration is equal to the bid that won the header bidding auction. The best bid received in the context of the header bidding will therefore be used to calculate the floor price of the AdX auction within the dynamic allocation feature.  </w:t>
        <w:br/>
        <w:t xml:space="preserve">123. If a participant on AdX wins the auction, the ad server returns the corresponding advertisement. If there is no winner for the auction on AdX, it is the best offer via header bidding that is retained by the ad server.  </w:t>
        <w:br/>
        <w:t xml:space="preserve">65 For a description of this asymmetry, see the developments in paragraphs 147 and following.  </w:t>
        <w:br/>
        <w:t xml:space="preserve">66 https://www.iab.com/guidelines/real-time-bidding-rtb-project/  </w:t>
        <w:br/>
        <w:t xml:space="preserve">67 Cotes VC 13224, 8789 and 8790.  </w:t>
        <w:br/>
        <w:t>68 Cotes VC 49 to 57.</w:t>
      </w:r>
    </w:p>
    <w:p>
      <w:r>
        <w:t xml:space="preserve">124. The following diagram illustrates the operation of a client-side header bidding solution:  </w:t>
        <w:br/>
        <w:t xml:space="preserve">Source: Competition Authority  </w:t>
        <w:br/>
        <w:t xml:space="preserve">125. When implemented on the publisher's web pages, that is to say client-side, header bidding solutions involve certain constraints that affect both publishers and internet users. In particular, the implementation of header bidding implies an increase in latency, that is to say the time required to display the page on the screen of the internet user's computer, tablet, or smartphone, which will be all the greater as the number of intermediaries queried by the code is large. Several publishers surveyed have nonetheless indicated that the progress made by these technologies has significantly limited their negative impacts69.  </w:t>
        <w:br/>
        <w:t xml:space="preserve">126. While these constraints are absent when the header bidding solution is implemented server-side, such an implementation does, however, involve a limitation of the information accessible to bidding partners. Indeed, since these partners are called by the third-party server, they do not have a direct connection with the internet user's browser and therefore cannot read the cookies related to the user in order to recognize them. The third-party server can certainly provide the identifiers it has, but the need to create and update matching tables ("cookie matching") generates significant losses in identifying internet users, and thus in the ability of partners to bid70.  </w:t>
        <w:br/>
        <w:t xml:space="preserve">127. Whether performed client-side or server-side, the integration of a header bidding solution with DFP relies on a mechanism called "key-value pairs," which was not originally designed for this purpose. This mechanism consists of allowing the publisher to transmit to DFP one or more metrics of their choice. The key will be the name of the metric (e.g., sports brand), and the value will be the measurement (e.g., Nike). This value will be used by DFP to determine which campaigns should be considered eligible for the targeted impression. The ability to use any key makes the mechanism very flexible for publishers.  </w:t>
        <w:br/>
        <w:t xml:space="preserve">69 See, for example, the cote VC 12047 (VNC 17526)  </w:t>
        <w:br/>
        <w:t>70 See, for example, the cote VC 7235 (VNC 16566).</w:t>
      </w:r>
    </w:p>
    <w:p>
      <w:r>
        <w:t xml:space="preserve">128. This explains why these solutions are difficult to implement and are sources of configuration errors. In fact, this implementation requires significant technical skills and represents substantial engineering costs, which only publishers with significant resources are able to bear71.  </w:t>
        <w:br/>
        <w:t xml:space="preserve">129. Publishers who have adopted header bidding nonetheless indicate that this method has significantly improved the performance of their advertising inventories and has increased the transparency of processes, allowing them to control the terms of the auction and monitor its execution. News Corp estimates, for example, that the implementation of header bidding has allowed it to increase its revenues by up to more than 50% (depending on the number of SSPs used, their performance, and the quality of the header bidding solution)72. In this regard, in internal documents provided in response to a request from the investigation services, Google employees themselves note the potential increase in revenues for publishers adopting header bidding73.  </w:t>
        <w:br/>
        <w:t xml:space="preserve">130. Almost all providers of advertising intermediation technologies have quickly made their products compatible with header bidding (when they were not already). In this regard, the providers surveyed indicate that supporting header bidding involves very limited development work for them. Indeed, for an intermediation platform to be compatible, it simply needs to be able to receive an ad call and provide a structured response containing two key elements: the creative content of the buyer to be displayed and the price the buyer is willing to pay. However, Google has chosen not to make the AdX platform compatible with header bidding technologies, regardless of the ad server used by the publisher.  </w:t>
        <w:br/>
        <w:t xml:space="preserve">131. It should be noted that header bidding is not, however, compatible with all inventories. In particular, video inventories, AMP74 inventories, audio inventories, or inventories related to an application environment are still often monetized by other means, as technical constraints hinder the development of header bidding in these environments75. However, several of the publishers surveyed emphasize that these inventories represent a significant portion of the impressions marketed76.  </w:t>
        <w:br/>
        <w:t xml:space="preserve">132. The header bidding solution most widely adopted by publishers is the Prebid.js solution. This solution, available both client-side and server-side, was initially developed by the company AppNexus (now Xandr), which made it available to all publishers free of charge. It is now managed by the consortium Prebid.org, whose members include SSPs, DSPs, and publishers77.  </w:t>
        <w:br/>
        <w:t>133. However, the business model of certain server-side header bidding solutions is paid. This is the case, for example, with the server-side solution "Transparent Ad Marketplace" from Amazon, which is charged at a fixed cost, on the order of a cent per thousand transactions. Amazon also offers another solution, called "Unified Ad Marketplace," which is charged based on revenue sharing78. This difference corresponds to the fact that Unified Ad Marketplace manages the relationships...</w:t>
      </w:r>
    </w:p>
    <w:p>
      <w:r>
        <w:rPr>
          <w:b/>
        </w:rPr>
        <w:t>[Pages 34–36]</w:t>
      </w:r>
    </w:p>
    <w:p>
      <w:r>
        <w:t xml:space="preserve">contractual agreements with buyers, and centralizes billing, unlike Transparent Ad Marketplace.  </w:t>
        <w:br/>
        <w:t xml:space="preserve">The Open Bidding feature, formerly Exchange Bidding in Dynamic Allocation  </w:t>
        <w:br/>
        <w:t xml:space="preserve">134. In response to the increasing adoption of header bidding solutions by publishers, Google introduced an alternative solution within its DFP ad server. Since April 2018, Google has offered all publishers using DFP a feature similar to server-side header bidding, initially called "Exchange Bidding in Dynamic Allocation" ("EBDA"), and later renamed "Open Bidding" in the summer of 2019.  </w:t>
        <w:br/>
        <w:t xml:space="preserve">135. This feature allows SSPs other than AdX, referred to as "yield partners," to bid "in real-time" for each eligible impression. The floor price of their bid is calculated similarly to the floor price of the AdX bid in the context of dynamic allocation (see paragraphs 107 and 115). Until a recent period, however, the result of this calculation could differ from the floor price applied to the AdX bid, as the publisher had the option to set different reserve prices for AdX and for yield partners. The offer from these SSPs, if it exceeds the floor price, will compete with the result of the AdX bid in a first-price auction, meaning that the closing price is the amount of the highest bid.  </w:t>
        <w:br/>
        <w:t xml:space="preserve">136. Thus, unlike the case of SSPs integrated into header bidding, the floor price of the AdX bid does not take into account the bids from yield partners. Furthermore, the bids are compared based on the revenue actually received by the publisher, and thus net of the revenue shares retained by Google or by the yield partners. Indeed:  </w:t>
        <w:br/>
        <w:t xml:space="preserve">- the offers transmitted to DFP by the yield partners are net of the revenue shares that they retain;  </w:t>
        <w:br/>
        <w:t xml:space="preserve">- Google retains a share of revenue on the bids proposed by AdX buyers when they win the impression;  </w:t>
        <w:br/>
        <w:t xml:space="preserve">- Google also retains a share of revenue on the bids proposed by yield partners when they win the impression, but this share of revenue is lower than that retained in the context of AdX bids.  </w:t>
        <w:br/>
        <w:t xml:space="preserve">The contract governing the use of the Google Ad Manager offer coupling DFP and AdX details the share of revenue paid to the publisher after revenue sharing in the context of Open Bidding transactions, which varies between [90-100]% and [90-100]% depending on the advertising format chosen.  </w:t>
        <w:br/>
        <w:t xml:space="preserve">137. In order to become a "yield partner," SSP providers must accept contractual conditions specified by Google. These conditions notably provide that, when a transaction is carried out via Open Bidding, Google is responsible for collecting payments from yield partners and deducts the share of revenue mentioned above before paying publishers their compensation.  </w:t>
        <w:br/>
        <w:t xml:space="preserve">79 The list of "partner" Open Bidding SSP providers is made available via the Google Ad Manager help center at the following address: https://support.google.com/admanager/answer/7128453?hl=en  </w:t>
        <w:br/>
        <w:t xml:space="preserve">80 VC 950.  </w:t>
        <w:br/>
        <w:t xml:space="preserve">81 7390.  </w:t>
        <w:br/>
        <w:t>34</w:t>
      </w:r>
    </w:p>
    <w:p>
      <w:r>
        <w:t xml:space="preserve">The transition to a unified auction and the Unified Pricing Rules  </w:t>
        <w:br/>
        <w:t xml:space="preserve">138. In September 2019, Google made a significant modification to the operation of the DFP ad server and the AdX SSP.  </w:t>
        <w:br/>
        <w:t xml:space="preserve">139. As stated above, until September 2019, "the AdX auction was conducted as a 'second-price' auction, in which the buyer with the highest bid wins the auction and pays the maximum applicable reserve price, and the second-highest bid. Ad Manager essentially managed two auctions for a specific ad impression. First, a real-time second-price auction was organized with the Authorized Buyers. Secondly, a first-price auction compared the winning price of the second-price AdX auction with the offers from Exchange Bidding buyers [Note from the Authority: that is, the yield partners of Open Bidding]."  </w:t>
        <w:br/>
        <w:t xml:space="preserve">140. Since September 2019, a single first-price auction is conducted, with participants being buyers of the AdX service (the Authorized Buyers) and SSPs using the Open Bidding service. Google indicates that the reserve price calculated by the dynamic allocation feature is no longer communicated to buyers.  </w:t>
        <w:br/>
        <w:t xml:space="preserve">141. Google specifies that, from now on, "all offers from AdX buyers will be treated as first-price bids. This means that the buyer who wins the impression will pay the amount they proposed during the auction. The migration of AdX to a first-price auction will unify the auction mechanism for AdX and Exchange Bidding. Bids from AdX and Exchange Bidding [Note from the Authority: now Open Bidding] will compete at the same level, with the highest first-price offer winning the auction. This unified auction will be managed by the Ad Manager ad server feature. Since Exchange Bidding has always operated on a first-price auction system, this feature will not be affected by the migration of AdX to this system."  </w:t>
        <w:br/>
        <w:t xml:space="preserve">142. During the same period, Google modified how publishers can manage reserve prices for the sale of their inventories, through a set of rules called "Unified Pricing Rules."  </w:t>
        <w:br/>
        <w:t xml:space="preserve">143. The main change brought by these new Rules is the removal of the possibility for publishers to set different reserve prices for different buyers. The reserve price set by the publisher will thus be applied equally to buyers using AdX, to SSPs using header bidding, and to SSPs using EBDA.  </w:t>
        <w:br/>
        <w:t xml:space="preserve">144. This change can be illustrated by the following graphs:  </w:t>
        <w:br/>
        <w:t xml:space="preserve">82 The Authorized Buyers are all purchasing platforms (DSPs) conducting transactions via the AdX marketplace, and include Google Ads (formerly AdWords) and DV360 (formerly DBM).  </w:t>
        <w:br/>
        <w:t xml:space="preserve">83 VC 698 (VNC 1967).  </w:t>
        <w:br/>
        <w:t xml:space="preserve">84 VC 699 (VNC 1968).  </w:t>
        <w:br/>
        <w:t>35</w:t>
      </w:r>
    </w:p>
    <w:p>
      <w:r>
        <w:t>36</w:t>
      </w:r>
    </w:p>
    <w:p>
      <w:r>
        <w:rPr>
          <w:b/>
        </w:rPr>
        <w:t>[Pages 37–39]</w:t>
      </w:r>
    </w:p>
    <w:p>
      <w:r>
        <w:t>2. THE FAVORABLE CONDITIONS GRANTED TO ADX FOR THE PURCHASE OF</w:t>
        <w:br/>
        <w:t xml:space="preserve">INVENTORIES FROM DFP USERS  </w:t>
        <w:br/>
        <w:t xml:space="preserve">145. As stated above, a SSP wishing to programmatically purchase the inventories of a publisher using DFP can interact with this server when it is integrated either within an ad waterfall (also called mediation), or header bidding technologies (commonly used since 2015), or finally, the Open Bidding feature, when the SSP is a yield partner, and the publisher has activated this feature (since April 2018). It is common, at least concerning the inventories of the largest publishers, for a SSP to be solicited through several of these modalities simultaneously.  </w:t>
        <w:br/>
        <w:t xml:space="preserve">146. According to the complainants, these modalities are all less favorable than the interaction between DFP and AdX allowed by the dynamic allocation feature. This finding is not altered by the changes in the operation of DFP and AdX services that occurred during 2019.  </w:t>
        <w:br/>
        <w:t xml:space="preserve">a) The ability to make a bid for each impression  </w:t>
        <w:br/>
        <w:t xml:space="preserve">147. Within the framework of the dynamic allocation feature implemented by Google, the ability of SSPs integrated in mediation to compete with AdX for the purchase of ad spaces from publishers using DFP is limited by two mechanisms:  </w:t>
        <w:br/>
        <w:t xml:space="preserve">- on the one hand, this feature implies that DFP compares the average yield of the SSP to the bids obtained by AdX for each impression (in "real time"), whereas an average yield does not take into account the characteristics of internet users and their influence on the value of impressions;  </w:t>
        <w:br/>
        <w:t xml:space="preserve">- on the other hand, this feature only allows competing SSPs to bid on a portion, often small, of the impressions, as a competing SSP is only called if neither AdX nor the higher-ranked SSPs in the waterfall have found a buyer capable of beating their respective price floors.  </w:t>
        <w:br/>
        <w:t xml:space="preserve">148. The first comparison mechanism with the expected price of the third-party SSP implies that it is sufficient for AdX to beat this price to market the impression. However:  </w:t>
        <w:br/>
        <w:t xml:space="preserve">- the revenue that publishers can derive from impressions is highly variable, as advertisers' willingness to pay depends heavily on the data they have about the internet user;  </w:t>
        <w:br/>
        <w:t xml:space="preserve">- publishers cannot predict the revenue they will obtain for a given impression, as this price depends on the ability of SSPs as well as buyers to recognize the internet user, and the characteristics of that user. The reserve prices used and the yields estimated by publishers do not therefore reflect the variability of the prices offered by buyers;  </w:t>
        <w:br/>
        <w:t xml:space="preserve">- there is a correlation, at least partial, between the prices offered by different SSPs, related to the presence of common buyers across different marketplaces, but also to the characteristics of internet users making impressions more or less useful for advertisers. Consequently, when an impression has value for a third-party SSP, it likely also has value for AdX.  </w:t>
        <w:br/>
        <w:t xml:space="preserve">149. As indicated by the SSP providers interviewed, it results from the mode of operation described above that the impressions with the highest value are predominantly purchased by buyers present on AdX. While it is true that this mechanism benefits third-party SSPs when they pay a price lower than their estimated yield, these situations mechanically lead to a decrease in the expected yield of third-party SSPs, and thus a decrease in the share of impressions they have access to.  </w:t>
        <w:br/>
        <w:t xml:space="preserve">150. Regarding the second mechanism, within the framework of mediation, only the impressions for which AdX has not found a buyer willing to pay a price above the reserve price are offered to third-party SSPs. Thus, they only have a limited quantity of impressions to offer to buyers. Xandr notes that, within the framework of mediation, "only a small volume of lower-quality impressions (reach) the Xandr SSP."  </w:t>
        <w:br/>
        <w:t xml:space="preserve">151. The development of header bidding technologies has gradually allowed third-party SSPs to make a bid for each impression, leading to a reduction in the relative advantage of the ability to make a bid for each impression for the inventories on which these technologies are used. In this regard, evidence submitted to the file indicates that mediation integration is significantly less used than header bidding when this technology is available, as it is less effective.  </w:t>
        <w:br/>
        <w:t xml:space="preserve">b) The use of the actual or estimated bid from competing selling platforms  </w:t>
        <w:br/>
        <w:t xml:space="preserve">152. At least until September 2019, Google used the bid amount from competing SSPs integrated via the ad waterfall or via header bidding to adjust the behavior of its own services. The exploitation of this information involved particularly three non-reproducible advantages for competing providers:  </w:t>
        <w:br/>
        <w:t xml:space="preserve">- a right of last look granted to the AdX platform;  </w:t>
        <w:br/>
        <w:t xml:space="preserve">- the ability to dynamically adjust its revenue share;  </w:t>
        <w:br/>
        <w:t xml:space="preserve">- the ability to optimize the operation of its AdX platform.  </w:t>
        <w:br/>
        <w:t xml:space="preserve">The right of last look  </w:t>
        <w:br/>
        <w:t xml:space="preserve">153. Within the framework of the dynamic allocation feature as it operated before the transition to the unified first-price auction in September 2019, the reserve price used in the AdX auction was an effective reserve price, meaning that the winner of the auction, if they had offered a price above this reserve price, was guaranteed to win the impression, at least until the introduction of the Open Bidding feature. After the introduction of this feature, the auction winner was always guaranteed, if they offered a bid above the reserve price, not to lose the impression to a SSP integrated in mediation or header bidding.  </w:t>
        <w:br/>
        <w:t xml:space="preserve">154. Such guarantees assumed that DFP used the price – offered or estimated – of competing SSPs integrated within the framework of mediation or header bidding in calculating the reserve price of the AdX auction. It was therefore not possible for competing SSPs to reproduce this guarantee.  </w:t>
        <w:br/>
        <w:t xml:space="preserve">155. According to the complainants, this mode of operation amounts to granting AdX a "right of last look," meaning it allows it to purchase the most attractive inventories by paying a price almost equal to that of the best competing SSP. Consequently, it would have deprived the competing SSPs of AdX of a significant volume of transactions. It thus allows AdX to ensure it wins the auctions with a minimal increase in its price. This finding is shared by several interviewed providers. One provider indicated that by knowing the CPM serving as the floor price for the auction, AdX has the last look at the impression and can then simply outbid by €0.01 to win it. In this regard, the Authority notes that AdX does indeed benefit from an advantage that can be characterized as a "right of last look," but that the description made by these providers is partially inaccurate, as it does not take into account the modalities of the AdX auction, and notably the fact that the price paid by AdX for an impression depends on the bids received in the auction.  </w:t>
        <w:br/>
        <w:t xml:space="preserve">156. In addition to its complaint, News Corp submitted an economic study proposing to measure the proportion of its inventories purchased through AdX at a price almost equal to the price offered by the best competing SSP. By analyzing a set of impression data from the "News UK" unit, which publishes the websites and mobile applications of News Corp in the UK, this study finds that: "about 30 to 40% of auctions using Header Bidding see Google beat its rivals by just a penny," meaning at less than 2 cents (CPM) more than the header bidding price. For reference, the average revenue per impression after the implementation of header bidding by News Corp was between $1 and $1.50.  </w:t>
        <w:br/>
        <w:t xml:space="preserve">157. This study assesses the volume of impressions that Google deprives competing SSPs by reallocating the impressions won by AdX, at a price barely above header bidding, to the SSP that made the bid selected by header bidding. On this basis, and using the SSP Xandr as an example, the study concludes that the loss concerns a very significant portion of the impressions that Xandr (formerly AppNexus) could have marketed:  </w:t>
        <w:br/>
        <w:t xml:space="preserve">AppNexus  </w:t>
        <w:br/>
        <w:t xml:space="preserve">0 5,000 10,000 15,000 20,000  </w:t>
        <w:br/>
        <w:t xml:space="preserve">Number of impressions  </w:t>
        <w:br/>
        <w:t xml:space="preserve">Baseline: real volumes  </w:t>
        <w:br/>
        <w:t xml:space="preserve">Counterfactual: reallocation of impressions won at HBP  </w:t>
        <w:br/>
        <w:t xml:space="preserve">Legend: Blue, Base: Real volumes; Orange, Counterfactual: reallocations of impressions won at the header bidding price.  </w:t>
        <w:br/>
        <w:t>Source: reference 18278</w:t>
      </w:r>
    </w:p>
    <w:p>
      <w:r>
        <w:rPr>
          <w:b/>
        </w:rPr>
        <w:t>[Pages 40–42]</w:t>
      </w:r>
    </w:p>
    <w:p>
      <w:r>
        <w:t xml:space="preserve">158. The study specifies that this evaluation should be considered as an upper bound, insofar as AdX could still have marketed a portion of the impressions won at the header bidding price in the absence of the right of last look91, for example by modifying the terms of the auctions organized by DFP. In this regard, the Authority notes that the proportion of impressions marketed at a price almost equal to the header bidding price is not sufficient, by itself, to characterize an advantage, as it does not allow for an assessment of the proportion of impressions that would not have been won by AdX in the absence of the right of last look.  </w:t>
        <w:br/>
        <w:t xml:space="preserve">159. Before more precisely estimating the advantage that the right of last look represents for AdX, it is possible to illustrate it with a simple example.  </w:t>
        <w:br/>
        <w:t xml:space="preserve">Illustration of the advantage conferred by the right of last look  </w:t>
        <w:br/>
        <w:t xml:space="preserve">160. Consider the case where two SSPs (SSP SA and SSP SB) are integrated into a header bidding auction process and are competing with AdX to buy an ad placement. SSP SA organizes first-price auctions, while SB organizes second-price auctions.  </w:t>
        <w:br/>
        <w:t xml:space="preserve">161. In the context of the second-price auctions organized by SB, the most rational strategy for buyers is to bid an amount equal to their willingness to pay, as this strategy guarantees that, in the event of winning, they will pay the minimum amount necessary to win the auction and, at the same time, will only lose the auction if the closing price is higher than their willingness to pay.  </w:t>
        <w:br/>
        <w:t xml:space="preserve">162. In the context of the first-price auctions organized by SA, the most rational strategy for buyers is to bid strictly lower than their willingness to pay, in order not to pay more for the impression than necessary, in other words, to apply a discount R to their willingness to pay. The amount of this discount depends on several factors, including the buyers' anticipation of the closing price.  </w:t>
        <w:br/>
        <w:t xml:space="preserve">163. Furthermore, consider the simple case where only two buyers AA and AB are present on SSPs SA, SB, and AdX, where these buyers have access to the same information, whether the impression is offered by SA, SB, or AdX, and where these buyers apply the same discount R to their first-price bids. Finally, assume that the reserve prices set by the publisher do not come into play, and that the revenue shares retained by the SSPs are all equal.  </w:t>
        <w:br/>
        <w:t xml:space="preserve">164. We can finally consider – without loss of generality in the reasoning – that AA has a willingness to pay (WTP) higher than the willingness to pay of AB (WTP AB) for this impression, and that the revenue shares retained by the three SSPs being identical, they are equal to zero.  </w:t>
        <w:br/>
        <w:t xml:space="preserve">165. In this hypothesis, the bids proposed will be as follows:  </w:t>
        <w:br/>
        <w:t xml:space="preserve">Bid SSP SA Bid SSP SB Bid AdX  </w:t>
        <w:br/>
        <w:t xml:space="preserve">Buyer AA WTP AA - R WTP AA WTP AA  </w:t>
        <w:br/>
        <w:t xml:space="preserve">Buyer AB WTP AB - R WTP AB WTP AB  </w:t>
        <w:br/>
        <w:t xml:space="preserve">166. Then:  </w:t>
        <w:br/>
        <w:t xml:space="preserve">- buyer AA wins the auction of SA at the price WTP AA – R;  </w:t>
        <w:br/>
        <w:t xml:space="preserve">- buyer AA wins the auction of SB at the price WTP AB;  </w:t>
        <w:br/>
        <w:t xml:space="preserve">- the reserve price of the AdX auction is set at the maximum of WTP AA – R and WTP AB;  </w:t>
        <w:br/>
        <w:t xml:space="preserve">- buyer AA wins the AdX auction at the maximum price of WTP AA – R and WTP AB, and wins the impression, as this auction is at second price.  </w:t>
        <w:br/>
        <w:t xml:space="preserve">167. It is thus observed that, with equal merits, that is to say with the same buyers, the same information, and the same retained revenue shares, AdX wins all the impressions. It is also noted that in this illustration, the price paid by AdX is just above the best price offered by competing SSPs.  </w:t>
        <w:br/>
        <w:t xml:space="preserve">168. It can also be noted that, to compensate for this advantage, SSP SA would need to increase, through better buyers, better information, or a lower retained revenue share, the final offer by an amount equal to the discount applied by buyers to their first-price bids.  </w:t>
        <w:br/>
        <w:t xml:space="preserve">169. For its part, SSP SB would need, in order to compensate for the advantage related to the right of last look, to increase the final offer by the difference between the best offer and the second-best offer. This handicap is all the more significant as the number of buyers for the considered impression is low.  </w:t>
        <w:br/>
        <w:t xml:space="preserve">Estimation of the advantage conferred by the right of last look  </w:t>
        <w:br/>
        <w:t xml:space="preserve">170. The investigating services provided a more precise estimate of the number of impressions that would not have been won by AdX in the absence of access to this effective reserve price. To do this, they considered realistic auction terms in the absence of this mechanism, that is to say if the offers from competing SSPs were not used in the calculation of the reserve price of the AdX auction, but were put in competition with the result of this auction.  </w:t>
        <w:br/>
        <w:t xml:space="preserve">171. Initially, it may seem possible for AdX to maintain the terms of second-price auctions, without using the actual or estimated revenue of competing SSPs in the calculation of the auction floor. However, such a mechanism implies that in the case where, on the one hand, the auction floor is effectively set by the price of a third-party SSP, that is to say by the CPM of a non-guaranteed campaign element, and on the other hand, AdX has received only one valid bid above this floor, AdX will lose the impression, which was not the case in the actual dynamic allocation process.  </w:t>
        <w:br/>
        <w:t xml:space="preserve">172. In particular, when AdX won the impression at a price almost equal to the price resulting from the header bidding process, it is likely that the conditions identified above are met in the vast majority of cases. In such a scenario, the estimates provided by News Corp allow for an assessment of the proportion of impressions that would have been won by third-party SSPs, and demonstrate that the adoption of these terms would have led some competing SSPs to win a significantly higher number of impressions.  </w:t>
        <w:br/>
        <w:t xml:space="preserve">173. However, it is also possible that, in the absence of access to this effective reserve price, AdX modified the conduct of its auction, for example by using first-price auctions. The Authority indeed notes that:  </w:t>
        <w:br/>
        <w:t xml:space="preserve">- on the one hand, the SSP Rubicon Project, in the face of the development of header bidding, which involved the existence of a second auction in which the result of its own auction was competing, switched to first-price auctions by default92;  </w:t>
        <w:br/>
        <w:t xml:space="preserve">- on the other hand, the documents in the file attest that the necessity for the result of the AdX auction to be higher than the auctions of the Open Bidding performance partners is one of the reasons that led to the switch to a first-price auction93.  </w:t>
        <w:br/>
        <w:t xml:space="preserve">174. In the case where AdX would have chosen to organize a first-price auction, the buyers present on the platform would have had to adapt their bidding strategy by decreasing the amount of their bid. Indeed, if in a second-price auction, the optimal strategy for buyers is to bid an amount equal to their willingness to pay, first-price auctions, for their part, incentivize buyers to incorporate a discount into the amounts they propose.  </w:t>
        <w:br/>
        <w:t xml:space="preserve">175. It is possible to estimate, at least in order of magnitude, the bids that AdX buyers would have submitted if they had to compete in a first-price auction with the other SSPs. Indeed, in the context of its transition to a first-price auction, Google offered buyers a "bid translation" service aimed at adapting bids proposed by players who had not had time to adapt to the transition from second-price auctions to first-price auctions. This feature significantly reduced the amount of the bid proposed by buyers on AdX94.  </w:t>
        <w:br/>
        <w:t xml:space="preserve">176. Thus, it can be considered that when the best bid received by AdX for an impression in the context of dynamic allocation is not significantly higher than the auction floor corresponding to the price proposed by the header bidding, AdX would likely not have won the impression by organizing a first-price auction.  </w:t>
        <w:br/>
        <w:t xml:space="preserve">177. In the absence of using their offer as an auction floor by AdX, third-party SSPs would likely have won a significant number of additional impressions among the impressions won by AdX for which these SSPs had submitted a bid. AdX being the first SSP in terms of revenue for almost all publishers using DFP, it can be asserted that in the absence of the right of last look, third-party SSPs would likely have won several tens of percent of additional impressions. Furthermore, as the study provided by News Corp specifies, the impressions that would still have been won by AdX would have been at a higher price.  </w:t>
        <w:br/>
        <w:t xml:space="preserve">178. Finally, the Authority notes that the dynamic allocation mechanism as implemented by DFP does not guarantee that the actor with the highest willingness to pay wins the impression, insofar as the offers from buyers present on third-party SSPs are lower than their willingness to pay, either because the latter organize first-price auctions, or because these third-party SSPs organize second-price auctions whose closing price is by nature lower than the best offer received. This offer serving as a floor for the second-price auction organized by AdX, a buyer present on AdX can win an impression without having the highest willingness to pay.  </w:t>
        <w:br/>
        <w:t>179. The existence of a right of last look is acknowledged by Google employees who notably mention it in several internal documents provided in response to requests from the investigating services. One of these documents expressly mentions the unfair nature of the right of last look enjoyed by AdX95.</w:t>
      </w:r>
    </w:p>
    <w:p>
      <w:r>
        <w:rPr>
          <w:b/>
        </w:rPr>
        <w:t>[Pages 43–45]</w:t>
      </w:r>
    </w:p>
    <w:p>
      <w:r>
        <w:t xml:space="preserve">180. Google specified that, within the framework of the first-price unified auction implemented in 2019, the floor price of the AdX auction no longer takes into account the actual or estimated bids from third-party SSPs. This change would therefore imply the end of the right of last look96.  </w:t>
        <w:br/>
        <w:t xml:space="preserve">Conclusion  </w:t>
        <w:br/>
        <w:t xml:space="preserve">181. It follows from the above that by using the bid amount of competing SSPs to adjust the behavior of its own services, Google has been able to benefit from three advantages over competing providers:  </w:t>
        <w:br/>
        <w:t xml:space="preserve">- a right of last look granted to the AdX platform;  </w:t>
        <w:br/>
        <w:t xml:space="preserve">- the ability to dynamically adjust its revenue share based on competitive pressure;  </w:t>
        <w:br/>
        <w:t xml:space="preserve">- the ability to optimize the operation of its AdX platform.  </w:t>
        <w:br/>
        <w:t xml:space="preserve">Dynamic adjustment of the revenue share retained by AdX  </w:t>
        <w:br/>
        <w:t xml:space="preserve">182. Since May 2016, a feature known as "dynamic revenue share" has been enabled by default for all DFP users. Under this feature, AdX can modify its revenue share for each impression, provided that, on average across completed transactions, this share is equal to the contractually set amount.  </w:t>
        <w:br/>
        <w:t xml:space="preserve">183. According to Xandr, the operational modalities of the "dynamic revenue share" feature allow Google "to reduce (its) fees to win impressions when competition with SSPs is strong and (to) increase (its) fees when competition is weak, while maintaining (its) desired overall take rate."97. The company Hubvisor, which provides consulting and support services to publishers, adds that "the development of such a capability is not possible for integrated players in header bidding because they do not have access to the auction floor."98  </w:t>
        <w:br/>
        <w:t xml:space="preserve">184. In this regard, the Authority notes, within the framework of DFP:  </w:t>
        <w:br/>
        <w:t xml:space="preserve">- that the dynamic revenue share feature allows AdX to adjust its revenue share, notably based on the bids from competing SSPs;  </w:t>
        <w:br/>
        <w:t xml:space="preserve">- that it is not possible for a third-party SSP to develop an equivalent feature, in the absence of information on the minimum price to propose to guarantee winning the impression;  </w:t>
        <w:br/>
        <w:t xml:space="preserve">- that Google is thus the only provider able to compensate for a revenue drop when competition is strong (for example, when a bid is made via a header bidding solution) by increasing its fees when this competition is weaker;  </w:t>
        <w:br/>
        <w:t xml:space="preserve">- that this capability is all the more significant given that the proportion of impressions on which AdX can increase its revenue share due to limited competition is substantial, particularly as the proportion of impressions on which header bidding is activated is generally minority. News Corp, for example, indicated that this proportion was about 30% concerning its inventories99, and data relating to various publishers provided by Google indicate that between [50-60]% and [90-100]% of impressions won by AdX or by Open Bidding performance partners do not receive any bids via a header bidding solution100;  </w:t>
        <w:br/>
        <w:t xml:space="preserve">- that it follows from the above that the dynamic revenue share feature implies that a third-party SSP must, to market an impression, offer the publisher a net price higher than the best gross price proposed by the buyers present on AdX.  </w:t>
        <w:br/>
        <w:t xml:space="preserve">185. According to Google, this feature nonetheless has a "generally positive" impact on the revenue share paid to the publisher. It specifies, in particular, that "in a situation where the highest bid would not reach the floor price if Google takes its full revenue share (and where consequently the transaction would not take place at all), Google could waive its revenue share, thus allowing the transaction to proceed and the publisher to be paid."101  </w:t>
        <w:br/>
        <w:t xml:space="preserve">186. Google also emphasizes that some publishers may have access to an assessment of the impact of this feature on their revenues. However, the evaluation methodology outlined by Google102 only allows for measuring the variation in revenue from AdX, and does not reveal the impact of this feature on the publisher's total revenue. Unsold campaign elements are the non-guaranteed campaign elements that do not correspond to AdX or AdSense services.  </w:t>
        <w:br/>
        <w:t xml:space="preserve">187. When questioned by the investigation services, Google indicated that, according to its forecasts, the revenue of a publisher from unsold campaign elements is likely to be affected by the revenue share feature. According to Google, while the revenue of a publisher from unsold campaign elements may slightly decrease due to the revenue share optimization feature, such a decrease should be significantly smaller than the corresponding increase in AdX revenues for a publisher. Google indicates in this regard that in many cases, the optimization of the revenue share has allowed an AdX buyer to exceed the floor set by the publisher, even though no unsold campaign element would have been likely to be broadcast. Among the remaining cases, this feature may have led a buyer on AdX to win an impression when, without this feature, an unsold campaign element could have won the impression.  </w:t>
        <w:br/>
        <w:t xml:space="preserve">188. Google has not been able to provide an assessment of the impact on unsold campaign elements based on experimental data, but has been able to provide an approximate estimate of this impact based on aggregated statistics calculated at the time of the initial launch of the feature in 2016. Google's interpretation of this data suggests that while there may have been a negative effect on unsold campaign elements, such a negative effect is likely to have been low to negligible in practice, and perhaps statistically insignificant. According to Google, this data is consistent with its forecast that, in absolute terms, any negative impact of the revenue share optimization on the revenues of unsold campaign elements will be minimal, and necessarily less than the (positive) impact on AdX revenues103.  </w:t>
        <w:br/>
        <w:t xml:space="preserve">189. Google did not specify how the impact on revenues generated via third-party SSPs was necessarily less than the impact on revenues generated via AdX. Google also did not provide any more recent information to substantiate this impact.  </w:t>
        <w:br/>
        <w:t xml:space="preserve">190. In this regard, the Authority notes that in order to assess the impact of the dynamic revenue share feature on publisher revenues, it is necessary to distinguish between two situations: on the one hand, the impressions for which the auction floor calculated within the framework of dynamic allocation is equal to the price of an "unsold campaign element," and on the other hand, the rest of the impressions. In this second case, it is likely that the impact of the dynamic revenue share feature on publisher revenues is indeed positive.  </w:t>
        <w:br/>
        <w:t xml:space="preserve">191. Conversely, in the first case, a transaction would have been possible and the publisher's revenue would have been equal to the reserve price of the AdX auction, whether this equality holds on average within the mediation, or for a given impression within the framework of header bidding. By compensating, during a subsequent transaction, the revenue that AdX has waived to reach the floor price, the dynamic adjustment of the revenue share then decreases not only the number of impressions won by third-party SSPs but also the total revenue of the publisher.  </w:t>
        <w:br/>
        <w:t xml:space="preserve">192. This mechanism can be illustrated by the following example, where AdX and a competing SSP make the following bids for two distinct impressions:  </w:t>
        <w:br/>
        <w:t xml:space="preserve">AdX SSP 1  </w:t>
        <w:br/>
        <w:t xml:space="preserve">Gross closing price – 1st impression 1 € 1 €  </w:t>
        <w:br/>
        <w:t xml:space="preserve">Gross closing price – 2nd impression 1 € 0 €  </w:t>
        <w:br/>
        <w:t>193. Then, if AdX retains a contractual revenue share of 0.20 and the competing SSP of 0.10, the dynamic revenue share will have the effect of decreasing the publisher's revenue, as illustrated in the following table:</w:t>
      </w:r>
    </w:p>
    <w:p>
      <w:r>
        <w:rPr>
          <w:b/>
        </w:rPr>
        <w:t>[Pages 46–48]</w:t>
      </w:r>
    </w:p>
    <w:p>
      <w:r>
        <w:t xml:space="preserve">Without dynamic revenue share With dynamic revenue share  </w:t>
        <w:br/>
        <w:t xml:space="preserve">AdX SSP 1 AdX SSP 1  </w:t>
        <w:br/>
        <w:t xml:space="preserve">First net bid 0.80 € 0.90 € 0.91 € 0.90 €  </w:t>
        <w:br/>
        <w:t xml:space="preserve">Second net bid 0.80 € 0 € 0.69 € 0 €  </w:t>
        <w:br/>
        <w:t>Total revenue publisher 1.70 € 1.60 €</w:t>
      </w:r>
    </w:p>
    <w:p>
      <w:r>
        <w:t xml:space="preserve">194. The dynamic revenue share feature was suspended in September 2019 and is currently being updated in the context of the transition to a single first-price auction system and the introduction of the Unified Pricing Rules.  </w:t>
        <w:br/>
        <w:t xml:space="preserve">195. In conclusion, the terms of the dynamic revenue share feature allowed Google to adjust its revenue share based on the offers from competing SSPs, to the detriment of publishers. Google is the only provider able to reduce its revenue share to win impressions when competition between AdX and SSPs is strong or, conversely, to increase it when competition is weak.  </w:t>
        <w:br/>
        <w:t xml:space="preserve">The ability to optimize the operation of AdX  </w:t>
        <w:br/>
        <w:t xml:space="preserve">196. Finally, the documents submitted to the investigation services show that Google used information regarding the offers from competing SSPs to, on the one hand, monitor the deployment of header bidding and its impact on competition between SSPs and, on the other hand, adapt to the deployment of this technology to reinforce AdX's position and the advantages outlined above.  </w:t>
        <w:br/>
        <w:t xml:space="preserve">197. Firstly, several internal documents submitted by Google report on the methods developed to use data from the DFP service to assess the adoption of header bidding by competing providers and their market position104.  </w:t>
        <w:br/>
        <w:t xml:space="preserve">198. Secondly, a document also submitted by Google indicates that, even when a publisher uses a header bidding solution, DFP retains control over the decision-making process. This document specifies that control over the decision-making process benefits Google, as it protects its own pricing data while giving it visibility into how other marketplaces value impressions105. In the same vein, several documents submitted by Google emphasize Google's interest in maintaining control over the decision-making process, in order to obtain both transparency on the competitiveness of third-party SSPs and the ability to optimize the AdX service106. One of these documents107 states, regarding the DFP ad server, that dynamic allocation and the ability to see all other technologies is "priceless" and that this total transparency creates an ideal scenario for optimizing its prices without inconsistency108.  </w:t>
        <w:br/>
        <w:t xml:space="preserve">104 References VC 13224, 8789, and 8790.  </w:t>
        <w:br/>
        <w:t xml:space="preserve">105 Reference VC 13257.  </w:t>
        <w:br/>
        <w:t xml:space="preserve">106 References VC 13226 and 13253.  </w:t>
        <w:br/>
        <w:t xml:space="preserve">107 Reference VC 15222 (VNC 13704).  </w:t>
        <w:br/>
        <w:t>108 Reference VC 15222 (VNC 13704).</w:t>
      </w:r>
    </w:p>
    <w:p>
      <w:r>
        <w:t xml:space="preserve">199. In conclusion, Google used information regarding the offers from competing SSPs to monitor the development of header bidding and adapt its technology accordingly, in order to maintain the advantages of AdX over competing SSPs.  </w:t>
        <w:br/>
        <w:t xml:space="preserve">c) The advantages resulting from the operation of Open Bidding and the conditions imposed on performance partners  </w:t>
        <w:br/>
        <w:t xml:space="preserve">200. The operation of Open Bidding implies that offers from performance partners are not used to grant AdX a right of last look, nor to modulate the revenue share retained by AdX.  </w:t>
        <w:br/>
        <w:t xml:space="preserve">201. Nevertheless, as indicated by Google's competing providers, the introduction of the Open Bidding feature only provides a partial response to the asymmetries they face when interacting with DFP. These competitors thus emphasize that:  </w:t>
        <w:br/>
        <w:t xml:space="preserve">- the revenue share retained by Google on the amount of their bids would not allow them to be competitive against AdX;  </w:t>
        <w:br/>
        <w:t xml:space="preserve">- transactions from buyers within the same group are not eligible;  </w:t>
        <w:br/>
        <w:t xml:space="preserve">- formats that could be offered by certain providers are not supported and video formats must be displayed via Google's proprietary player;  </w:t>
        <w:br/>
        <w:t xml:space="preserve">- their targeting capability is necessarily limited compared to that offered by Google, as Open Bidding is a server-side solution.  </w:t>
        <w:br/>
        <w:t xml:space="preserve">202. Indeed, firstly, the revenue share retained by Google on the amount of transactions conducted via Open Bidding impacts the competitiveness of competing SSPs. Smart Adserver thus states that "[within Open Bidding] we do not control the actual functioning of Google's algorithm and moreover Google collects 5% to 12% [commission] on the revenues from our SSP. We are in fact 5 to 12% less competitive than Google AdX in Open Bidding ([this commission] is negotiated by each DFP publisher)"109.  </w:t>
        <w:br/>
        <w:t xml:space="preserve">203. Secondly, the contractual conditions imposed on performance partners prohibit an entity that operates both an SSP and a DSP from allowing the latter to participate in the auctions of its SSP organized through the Open Bidding feature. Google states that the purpose of these conditions is "to ensure that [Open Bidding] is used by ad exchanges, and not by DSPs, trading desks, or ad networks. Indeed, DSPs, trading desks, and ad networks buy on AdX through the Authorized Buyers product"110. According to Google, such restrictions are necessary to provide protections to publishers against malicious or unwanted ads, protections that would not be offered by DSPs. However, Google has not explained how an SSP that would offer these protections for buyers other than a DSP from the same group could not provide equivalent protection to end buyers using its own DSP. Google has, however, produced an internal document111  </w:t>
        <w:br/>
        <w:t xml:space="preserve">109 References 1390, 1557 (VNC 17575).  </w:t>
        <w:br/>
        <w:t xml:space="preserve">110 Reference VC 13176 (VNC 13552).  </w:t>
        <w:br/>
        <w:t>111 Reference VC 13670.</w:t>
      </w:r>
    </w:p>
    <w:p>
      <w:r>
        <w:t xml:space="preserve">which specifies that the objective is to ensure that the demand that an AdX buyer passes through AdX is not transferred to Open Bidding.  </w:t>
        <w:br/>
        <w:t xml:space="preserve">204. According to Xandr and Adform, which offer both an SSP and a DSP, such a restriction significantly degrades their competitiveness by depriving them of direct access to their own demand. Xandr notably stated: "Xandr has not yet joined the EBDA program for several reasons: […] One of Xandr's best selling points is its direct access to its own demand (Xandr Invest, our DSP). However, if Xandr were to integrate EBDA, Google would not allow Xandr to boost the demand of our own DSP through our EBDA integration."112. In this regard, it appears from the evidence submitted that vertical integration between an SSP and a DSP can have several pro-competitive effects113, including transaction cost savings, better data flow, better legal security (for example, to obtain user consent for the use of their personal data), and technical security (for example, reduced latency). Google's own behavior corroborates these effects, as Google-controlled DSPs, namely DV360 and Google Ads, largely buy on AdX114.  </w:t>
        <w:br/>
        <w:t xml:space="preserve">205. Thirdly, the Open Bidding feature is not compatible with all formats that could be offered, and the display of video ads must necessarily be carried out via Google's proprietary player. The company Teads, which offers publishers intermediation services specialized in outstream video formats displayed in surrounding content, states: "(Open Bidding) is a hindrance to our business because Google does not allow third parties who want to bid on outstream formats in Open Bidding to do so without using their own outstream video player. Therefore, today we cannot work with Open Bidding. Moreover, Open Bidding is a server-side solution which limits formats to those supported by Google. Thus, many of our Display formats do not work in Open Bidding"115 (emphasis added).  </w:t>
        <w:br/>
        <w:t xml:space="preserve">206. Fourthly, like all server-side solutions, Open Bidding does not allow performance partners to offer their buyers targeting as effective as that in client-side header bidding116, particularly due to the operational modalities of the cookie matching process.  </w:t>
        <w:br/>
        <w:t xml:space="preserve">207. The documents submitted in the case attest that the Open Bidding feature was not designed to allow SSPs access to the inventories of DFP users under conditions equivalent to AdX, but to slow down the development of header bidding. A preparatory document submitted by Google117 sets, for example, the objective of making Open Bidding just slightly better than header bidding. Another document contains a table118 showing that the Open Bidding revenue share was intended to be competitive against header bidding, while not allowing performance partners to be competitive against AdX.  </w:t>
        <w:br/>
        <w:t xml:space="preserve">112 References 4428, VC 4116 (VNC 4153), 4132, and 4133 (VNC 4168).  </w:t>
        <w:br/>
        <w:t xml:space="preserve">113 Competition &amp; Markets Authority: Online platforms and digital advertising, Market study interim report, paragraph 5.187.  </w:t>
        <w:br/>
        <w:t xml:space="preserve">114 References VC 2576 (VNC 3998), 708, and 709 (VNC 1977 and 1978).  </w:t>
        <w:br/>
        <w:t xml:space="preserve">115 Reference 14601.  </w:t>
        <w:br/>
        <w:t xml:space="preserve">116 See, for example, reference VC 7399 (VNC 12113).  </w:t>
        <w:br/>
        <w:t xml:space="preserve">117 Reference VC 8814.  </w:t>
        <w:br/>
        <w:t>118 Reference VC 13244.</w:t>
      </w:r>
    </w:p>
    <w:p>
      <w:r>
        <w:rPr>
          <w:b/>
        </w:rPr>
        <w:t>[Pages 49–51]</w:t>
      </w:r>
    </w:p>
    <w:p>
      <w:r>
        <w:t>208. Furthermore, the information provided by the surveyed publishers shows that this feature currently represents only a very minor share of their revenues, particularly in comparison to revenues from header bidding integrations119. Similarly, data provided by Google shows that gross spending under the Open Bidding feature has never exceeded [5-10]% of AdX revenues120. Therefore, the Open Bidding feature cannot be considered a solution that, on its own, allows for fairer competition than header bidding integration. However, these two integration methods are used complementarily by publishers. Thus, the Open Bidding feature is notably used by publishers to evaluate an SSP before granting it a place in the client-side header bidding integration, which has limited capacity121. Indeed, increasing the number of partners integrated into client-side header bidding is likely to significantly increase the latency in displaying advertisements. Professionals therefore limit themselves to between 5 and 10 SSPs integrated in this way (depending on technologies and user requirements). The Open Bidding feature is also used to put SSPs in competition for impressions for which header bidding is not available122.</w:t>
      </w:r>
    </w:p>
    <w:p>
      <w:r>
        <w:t>d) The advantages resulting from the transition to first-price unified bidding and the implementation of the Unified Pricing Rules</w:t>
      </w:r>
    </w:p>
    <w:p>
      <w:r>
        <w:t>The standardization of reserve prices applied to SSPs by publishers</w:t>
      </w:r>
    </w:p>
    <w:p>
      <w:r>
        <w:t>209. As stated in paragraph 143, the main change brought about by Google's introduction of the Unified Pricing Rules, finalized in September 2019, is the removal of the possibility for publishers to set different reserve prices for different buyers.</w:t>
      </w:r>
    </w:p>
    <w:p>
      <w:r>
        <w:t>210. The reasons why publishers are likely to differentiate the reserve price for buyers are multiple. Publishers may use this differentiation in order123:</w:t>
        <w:br/>
        <w:t>- to optimize the auction process to maximize the price obtained;</w:t>
        <w:br/>
        <w:t>- to "penalize" buyers whose advertisements are deemed by the publisher to be the most harmful to the user experience. This assessment is specific to each publisher and depends notably on the type of content they offer and the profile of their audience. In this regard, an internal analysis124 by Google summarizing feedback from publishers on the Unified Pricing Rules notes that the inability to set different floors for different players impacts the quality of the advertisements that win the auctions;</w:t>
        <w:br/>
        <w:t>- to reflect the contractual conditions obtained by the publisher with the various SSPs. In this regard, the aforementioned document cites the name of a publisher who believes that they should reserve the right to maintain control over prices in accordance with the agreements made with each SSP. This publisher feels that the Unified Pricing Rules resemble a set of rules designed to favor Google rather than a fair set of rules.</w:t>
      </w:r>
    </w:p>
    <w:p>
      <w:r>
        <w:t>211. Thus, the differentiation of reserve prices allows publishers to take into account the comparative advantages of different SSPs, particularly when AdX is unfavorably compared to its competitors, for example regarding the share of revenue retained or the quality of advertising content.</w:t>
      </w:r>
    </w:p>
    <w:p>
      <w:r>
        <w:t>212. Furthermore, publishers frequently applied higher reserve prices to AdX than to other SSPs, whether in the context of header bidding or the Open Bidding feature, in order to maximize bids coming from this platform. In an internal analysis provided in response to a request from the investigation services, Google employees observe that publishers offer their inventories on multiple SSPs, and the floor prices tend to be higher on AdX.</w:t>
      </w:r>
    </w:p>
    <w:p>
      <w:r>
        <w:t>213. News Corp believes that this development threatens to "eliminate the competitive pressure exerted by Header Bidding and seems to increase the margin available for Google"125.</w:t>
      </w:r>
    </w:p>
    <w:p>
      <w:r>
        <w:t>The transmission of strategic information to buyers using AdX or Open Bidding performance partners</w:t>
      </w:r>
    </w:p>
    <w:p>
      <w:r>
        <w:t>214. In the context of first-price unified bidding, Google provides buyers who participated in an auction on AdX and Open Bidding performance partners with information called minimum_bid_to_win regarding the minimum amount that the buyer should have offered to win the auction.</w:t>
      </w:r>
    </w:p>
    <w:p>
      <w:r>
        <w:t>215. This information allows the buyer to adjust their bidding strategy, and thus optimize their return on investment, for example by avoiding overpaying for impressions by offering buyers bid adjustment services. Such services are offered notably by Google, Rubicon Project, and Index Exchange126.</w:t>
      </w:r>
    </w:p>
    <w:p>
      <w:r>
        <w:t>216. For their part, SSPs integrated into header bidding do not have access to minimum_bid_to_win. Indeed, Google does not provide any feedback on the auction process when responding to the browser of the internet user. The company Hubvisor, which provides consulting and support services to publishers, specifies that in such a case, "(i)f the winner of the header bidding is not displayed, it is possible (for the publisher) to know if another impression has been displayed (...) (but it) is not possible to know why the display did not occur, nor at what price the impression was sold within (DFP)"127.</w:t>
      </w:r>
    </w:p>
    <w:p>
      <w:r>
        <w:t>3. THE RESTRICTED INTEROPERABILITY OF ADX WITH THIRD-PARTY AD SERVERS</w:t>
      </w:r>
    </w:p>
    <w:p>
      <w:r>
        <w:t>217. The AdX platform does not offer publishers using ad servers other than DFP technical and contractual conditions as effective as those offered to publishers using DFP (a). AdX being used by its main buyers in an exclusive or preferential manner (b), this asymmetry encourages publishers to use the DFP ad server rather than a competing service (c).</w:t>
      </w:r>
    </w:p>
    <w:p>
      <w:r>
        <w:t>a) The absence of "real-time" communication means with third-party servers and contractual restrictions</w:t>
      </w:r>
    </w:p>
    <w:p>
      <w:r>
        <w:t>218. Competing ad servers to DFP, such as those offered by Xandr or Smart Adserver, cannot interact with AdX in the same way as DFP, nor in the same way as with other intermediation platforms available on the market.</w:t>
      </w:r>
    </w:p>
    <w:p>
      <w:r>
        <w:t>219. Indeed, the only option available to publishers using these third-party servers to provide an impression with creative content from AdX is to redirect the browser directly to AdX servers. This procedure is known as client-side redirection, or "passback," and involves the ad server transferring control of the page to AdX, so that AdX can make its own ad call and provide its own impression.</w:t>
      </w:r>
    </w:p>
    <w:p>
      <w:r>
        <w:t>220. When using client-side redirection, the ad server has no "real-time" indication of the price level of AdX demand, and the publisher must settle for estimating the value that AdX might provide.</w:t>
      </w:r>
    </w:p>
    <w:p>
      <w:r>
        <w:t>221. In practice, the publisher must therefore configure their ad server:</w:t>
        <w:br/>
        <w:t>- either to use AdX to monetize only their unsold inventories (at the lowest priority of their waterfall model), which then limits their ability to maximize their yield for each impression;</w:t>
        <w:br/>
        <w:t>- or to stimulate the price of AdX demand with a fixed CPM that also limits their ability to maximize their yield. In this regard, in an internal exchange128 dedicated to the attitude to adopt towards a publisher wanting to integrate AdX via a header bidding solution, a Google manager notes that in the case of using a third-party ad server, a publisher will not be able to achieve the best yield due to the manual configuration of an average CPM for AdX;</w:t>
        <w:br/>
        <w:t>- or with a configuration referred to by Google as "unsold campaign item" and by some competitors as "last look mediation," which systematically calls AdX with a dynamically calculated bid floor. This solution, which is not officially approved or documented by Google, requires a significant initial investment, increases the cost of serving displays, and increases page latency129.</w:t>
      </w:r>
    </w:p>
    <w:p>
      <w:r>
        <w:t>222. The interviewed technology providers indicate that, compared to the integration of AdX via DFP, a client-side integration is less efficient both in terms of monetization, as it does not allow for price competition for each impression, and in terms of implementation, as it increases the time required to serve an ad and thus negatively affects the user experience. Furthermore, the use of client-side redirection does not allow third-party ad server providers to integrate AdX into their advertising products (for example, guaranteed programmatic)130.</w:t>
      </w:r>
    </w:p>
    <w:p>
      <w:r>
        <w:t>223. All interviewed advertising technology providers indicated that client-side integrations are now obsolete and that alternatives to improve the interoperability of different advertising technologies, particularly header bidding, have existed for several years.</w:t>
      </w:r>
    </w:p>
    <w:p>
      <w:r>
        <w:rPr>
          <w:b/>
        </w:rPr>
        <w:t>[Pages 52–54]</w:t>
      </w:r>
    </w:p>
    <w:p>
      <w:r>
        <w:t xml:space="preserve">224. Some ad server providers have indicated that they have unsuccessfully sought to improve the integration of AdX with their offering131.  </w:t>
        <w:br/>
        <w:t xml:space="preserve">225. In any case, Google imposes contractual restrictions on the interoperability of third-party servers with AdX. The general terms of AdX thus prohibit the result of the AdX auction from competing with other intermediaries, meaning that - in the event that the AdX auction allows beating the reserve price indicated in the request to the AdX service - AdX must necessarily market the impression.  </w:t>
        <w:br/>
        <w:t xml:space="preserve">b) The ability of publishers to compensate for the restrictions on interoperability with AdX through other channels  </w:t>
        <w:br/>
        <w:t xml:space="preserve">226. According to the complainants, it is difficult to compensate for the restrictions on interoperability with the AdX platform because a publisher's ability to sell its inventories to buyers present on AdX through other channels is limited. They particularly emphasize that:  </w:t>
        <w:br/>
        <w:t xml:space="preserve">- the demand controlled by Google, that is to say generated by the Google Ads and DV360 platforms, is a significant part of the demand present on AdX;  </w:t>
        <w:br/>
        <w:t xml:space="preserve">- the Google Ads service buys exclusively or almost exclusively on AdX;  </w:t>
        <w:br/>
        <w:t xml:space="preserve">- the DSP DV360 directs its clients' purchases towards the SSP AdX.  </w:t>
        <w:br/>
        <w:t xml:space="preserve">227. First, the distribution of buyers present on the AdX platform reveals the significant position occupied by the Google Ads and DV360 DSPs132:  </w:t>
        <w:br/>
        <w:t xml:space="preserve">Year Google Ads DV360 Others  </w:t>
        <w:br/>
        <w:t xml:space="preserve">2014 [80-90] % [0-5]% [10-20]%  </w:t>
        <w:br/>
        <w:t xml:space="preserve">2015 [70-80] % [5-10]% [10-20]%  </w:t>
        <w:br/>
        <w:t xml:space="preserve">2016 [70-80] % [10-20] % [10-20]%  </w:t>
        <w:br/>
        <w:t xml:space="preserve">2017 [60-70] % [10-20] % [10-20]%  </w:t>
        <w:br/>
        <w:t xml:space="preserve">2018 [60-70] % [10-20]% [20-30]%  </w:t>
        <w:br/>
        <w:t xml:space="preserve">2019 [50-60] % [10-20]% [20-30]%  </w:t>
        <w:br/>
        <w:t xml:space="preserve">Source: Google  </w:t>
        <w:br/>
        <w:t xml:space="preserve">228. Next, many publishers have indicated that the demand generated via Google Ads is exclusive to the SSP AdX133. However, Google clarified that it offers certain third-party SSPs a service called AWBid, under which the Google Ads platform may purchase inventories on other marketplaces than AdX. Several elements, however, lead to nuance the impact of this service:  </w:t>
        <w:br/>
        <w:t xml:space="preserve">- first, as evidenced by an internal document provided by Google, on the one hand, Google Ads retains a significantly larger proportion of advertisers' spending when it purchases on third-party marketplaces under the AWBid service, which decreases the net amount of advertisers' bids, and on the other hand, the technical limitations of this service restrict the eligible demand134;  </w:t>
        <w:br/>
        <w:t xml:space="preserve">131 Cotes VC 7 339, 14857, 11961 (VNC 14393).  </w:t>
        <w:br/>
        <w:t xml:space="preserve">132 Cote VC 945.  </w:t>
        <w:br/>
        <w:t xml:space="preserve">133 Cotes VC 13147 (VNC 13819), 12046 (VNC 17525), 7387, 7524 (VNC 13044).  </w:t>
        <w:br/>
        <w:t xml:space="preserve">134 Cote VC 13629.  </w:t>
        <w:br/>
        <w:t xml:space="preserve">52  </w:t>
        <w:br/>
        <w:t xml:space="preserve">- second, only a portion of the Google Ads demand related to retargeting campaigns is eligible under this service. Xandr indicated that approximately 30% of Google Ads demand would potentially be eligible, although it specified that this figure should be considered with caution135. An internal analysis at Google regarding France seems to confirm this order of magnitude136;  </w:t>
        <w:br/>
        <w:t xml:space="preserve">- third, Google does not allow the SSPs on which the AWBid service purchases to use the name Google Ads (or AdWords) with publishers and uses its privileged interoperability with Google Ads in its commercial communication. In this regard, the company LBC France provided an offer received from Google137, which states: "the revenue share offered by Google AdX in the context of open auctions (80%): is often said to be lower than that offered by competing SSPs (...) but is also known to generate significantly higher net CPMs for publishers, particularly due to the proprietary Google AdWords demand generated by significant investments from Google's sales teams" (free translation138 and emphasis added);  </w:t>
        <w:br/>
        <w:t xml:space="preserve">- fourth, Google provided numerical data on purchases made by the Google Ads service, showing that AWBid represents a very limited share of the total purchases made via this platform139:  </w:t>
        <w:br/>
        <w:t xml:space="preserve">Proportion of Proportion of  </w:t>
        <w:br/>
        <w:t xml:space="preserve">Offer revenues of impressions of  </w:t>
        <w:br/>
        <w:t xml:space="preserve">Google Ads Google Ads  </w:t>
        <w:br/>
        <w:t xml:space="preserve">[30-40] % [30-40]%  </w:t>
        <w:br/>
        <w:t xml:space="preserve">Ad Manager  </w:t>
        <w:br/>
        <w:t xml:space="preserve">[30-40]% [20-30]%  </w:t>
        <w:br/>
        <w:t xml:space="preserve">AdMob  </w:t>
        <w:br/>
        <w:t xml:space="preserve">[20-30]% [30-40]%  </w:t>
        <w:br/>
        <w:t xml:space="preserve">AdSense  </w:t>
        <w:br/>
        <w:t xml:space="preserve">Third-party [0-5]% [0-5]%  </w:t>
        <w:br/>
        <w:t xml:space="preserve">platforms (AWBid)  </w:t>
        <w:br/>
        <w:t xml:space="preserve">Source: Google  </w:t>
        <w:br/>
        <w:t xml:space="preserve">229. Finally, the DSP DV360 directs its clients' purchases towards the SSP AdX140:  </w:t>
        <w:br/>
        <w:t xml:space="preserve">- first, Google indicated that activating certain features of DV360 restricts purchases to the sole SSP AdX. These features, as well as the very limited proportion of the expenditures concerned, are presented in the following table141:  </w:t>
        <w:br/>
        <w:t xml:space="preserve">135 Cotes 4417 and 4418.  </w:t>
        <w:br/>
        <w:t xml:space="preserve">136 Cote VC 15786.  </w:t>
        <w:br/>
        <w:t xml:space="preserve">137 Cote VC 11847 (VNC 13120).  </w:t>
        <w:br/>
        <w:t xml:space="preserve">138 Original version: “Google AdX open auction revenue share (80%): Is often said to be lower than competing SSPs (…) but is also known to generate significantly higher net eCPMs for publishers, notably thanks to the proprietary Adwords demand generated by significant investment from Google sales teams”.  </w:t>
        <w:br/>
        <w:t xml:space="preserve">139 Cote VC 2576.  </w:t>
        <w:br/>
        <w:t xml:space="preserve">140 See, for example, cotes VC 12062 and VC 7523 (VNC 13043).  </w:t>
        <w:br/>
        <w:t xml:space="preserve">141 Cotes VC 13972, 14452 and 14453.  </w:t>
        <w:br/>
        <w:t xml:space="preserve">53  </w:t>
        <w:br/>
        <w:t xml:space="preserve">Feature 2016 2017 2018 2019 Jan-Mar  </w:t>
        <w:br/>
        <w:t xml:space="preserve">2020  </w:t>
        <w:br/>
        <w:t xml:space="preserve">Customer matching [0-5] % [0-5] % [0-5] % [0-5] % [0-5] %  </w:t>
        <w:br/>
        <w:t xml:space="preserve">Parental status targeting [0-5] % [0-5] % [0-5] % [0-5] % [0-5] %  </w:t>
        <w:br/>
        <w:t xml:space="preserve">Targeting by "household income demographics" [0-5] % [0-5] % [0-5] % [0-5] % [0-5] %  </w:t>
        <w:br/>
        <w:t xml:space="preserve">Life Events [0-5] % [0-5] % [0-5] % [0-5] % [0-5] %  </w:t>
        <w:br/>
        <w:t xml:space="preserve">Detailed Demographics [0-5] % [0-5] % [0-5] % [0-5] % [0-5] %  </w:t>
        <w:br/>
        <w:t xml:space="preserve">Frequency management for Guaranteed Programmatic [0-5] % [0-5] % [0-5] % [0-5] % [0-5] %  </w:t>
        <w:br/>
        <w:t xml:space="preserve">Targeting on the same mobile device, 142 Not provided Not provided Not provided Not provided Not provided  </w:t>
        <w:br/>
        <w:t xml:space="preserve">Source: Google  </w:t>
        <w:br/>
        <w:t xml:space="preserve">- second, it appears from the findings of the investigation services that other features, significantly more used than the features mentioned above, which Google states are now compatible with purchases on third-party SSPs, nevertheless restricted DV360's spending to the sole SSP AdX until a recent period143. The share of DV360 service expenditures on which these features are activated is detailed in the following table144:  </w:t>
        <w:br/>
        <w:t xml:space="preserve">Feature 2016 2017 2018 2019 Jan-Mar  </w:t>
        <w:br/>
        <w:t xml:space="preserve">2020  </w:t>
        <w:br/>
        <w:t xml:space="preserve">Audience targeting [10-20]% [10-20]% [10-20]% [10-20]% [20-30]%  </w:t>
        <w:br/>
        <w:t xml:space="preserve">Affinity targeting [0-5] % [5-10] % [5-10]% [5-10]% [5-10]%  </w:t>
        <w:br/>
        <w:t xml:space="preserve">Custom intent [0-5] % [0-5] % [0-5] % [0-5] % [0-5] %  </w:t>
        <w:br/>
        <w:t xml:space="preserve">Source: Google  </w:t>
        <w:br/>
        <w:t xml:space="preserve">- third, the so-called guaranteed programmatic offers from third-party SSPs have only been made available to DV360 users since April 2019, for a limited number of third-party SSPs. For their part, AdX's guaranteed programmatic offers began to be offered to DV360 users in 2015 and were opened to all these users in April 2017.145 In this regard, a major publisher indicated that the exclusivity of guaranteed programmatic agreements on the  </w:t>
        <w:br/>
        <w:t xml:space="preserve">142 Cote VC 14694 (VNC 16286).  </w:t>
        <w:br/>
        <w:t xml:space="preserve">143 See cotes VC 13796 (VNC 13945), 4418, 14666 and 14667 (VNC 16271).  </w:t>
        <w:br/>
        <w:t xml:space="preserve">144 Cote VC 13973 (VNC 14452 and 14453).  </w:t>
        <w:br/>
        <w:t xml:space="preserve">145 Cote VC 13208 (VNC 13722).  </w:t>
        <w:br/>
        <w:t>54</w:t>
      </w:r>
    </w:p>
    <w:p>
      <w:r>
        <w:rPr>
          <w:b/>
        </w:rPr>
        <w:t>[Pages 55–57]</w:t>
      </w:r>
    </w:p>
    <w:p>
      <w:r>
        <w:t xml:space="preserve">during the period 2015-2019 was a determining factor in its choice to use the DFP ad server146;  </w:t>
        <w:br/>
        <w:t xml:space="preserve">- fourthly, it appears from the documents provided by Google that the latter actively sought to steer purchases made via DV360 towards AdX. One of these documents indicates, for example, that DV360 allows for smarter purchasing when mediation or header bidding is detected, favoring AdX when possible147.  </w:t>
        <w:br/>
        <w:t xml:space="preserve">c) The impact of these terms on the choice of their ad server solution by publishers  </w:t>
        <w:br/>
        <w:t xml:space="preserve">230. All publishers surveyed indicate that the preferred interoperability between DFP and AdX is one of the main, if not the main, factors of attractiveness of DFP148. One publisher indicates, for example, that Google's tools generate more revenue, particularly due to the exclusive demand from Google's DSPs (DV360 and Google Ads), which are not available in header bidding. According to this publisher, access to Google's demand is the determining criterion that differentiates the DFP server from its competitor Appnexus.  </w:t>
        <w:br/>
        <w:t xml:space="preserve">231. In fact, AdX demand constitutes the main source of programmatic revenue for publishers using DFP. It thus represents between 40 and 90% of their programmatic revenues149. In this regard, News Corp states that "disabling AdX would result in a loss of up to 83% [of Dow Jones's programmatic revenues]"150.  </w:t>
        <w:br/>
        <w:t xml:space="preserve">232. For their part, publishers who do not use DFP have revenue from the AdX SSP that is significantly lower than that of publishers using DFP, but also lower than the average of similar publishers151. Altice, which uses the Smart AdServer service, states that: "Smart does not allow us to access Google's demand in programmatic, and this is a real problem because it cuts us off from 20 to 30% of the potential additional programmatic revenue"152.  </w:t>
        <w:br/>
        <w:t xml:space="preserve">233. It should be noted that the fact that this revenue share is accessible only to DFP users is highlighted by Google's sales services in their responses to publishers' calls for tenders153. In this regard, publishers who have recently adopted Google's ad server solution anticipate or actually observe a significant increase in their programmatic revenues and primarily attribute this to the additional demand represented by AdX154.  </w:t>
        <w:br/>
        <w:t xml:space="preserve">234. Consequently, most ad server providers surveyed indicate that the lack of compatibility of AdX with "real-time" calls does not allow them to offer a competitive ad server offering155. AdSpirit states that "the main problem is that AdX does not allow external publishers to sell their inventories through AdX [...] To be competitive, we would need to be able to connect to AdX using OpenRTB or any real-time bidding protocol to enable our clients to sell their inventories"156 (free translation157). For its part, Adzerk adds158 that it chose not to position its ad server offering in direct competition with Google's and that "a factor strongly contributing to this decision is that Adzerk does not have access to advertiser demand on AdX" (free translation159).  </w:t>
        <w:br/>
        <w:t xml:space="preserve">Conclusion  </w:t>
        <w:br/>
        <w:t xml:space="preserve">235. Google has implemented two distinct practices aimed at ensuring that its DFP ad server favors its AdX SSP and that, reciprocally, its AdX SSP favors its DFP ad server.  </w:t>
        <w:br/>
        <w:t xml:space="preserve">236. First, the DFP ad server organizes an asymmetric competition between the AdX selling platform and its competitors. The exact terms of this practice have varied over the considered period, especially since there are several methods for a competing platform to interact with DFP. One of the most notable asymmetries is that DFP indicated until recently the price offered by competing platforms to AdX, and that the latter used this information to optimize its bids, notably by varying its commission based on competitive pressure.  </w:t>
        <w:br/>
        <w:t>237. The table below compares the inventory purchase conditions of DFP offered to AdX against third-party SSPs:</w:t>
      </w:r>
    </w:p>
    <w:p>
      <w:r>
        <w:t xml:space="preserve">Situation Interaction Conditions  </w:t>
        <w:br/>
        <w:t xml:space="preserve">Disadvantages for third-party SSPs compared to AdX  </w:t>
        <w:br/>
        <w:t xml:space="preserve">Third-party SSP via - inability to submit a bid in "real-time"  </w:t>
        <w:br/>
        <w:t xml:space="preserve">mediation  </w:t>
        <w:br/>
        <w:t xml:space="preserve">After September 2019:  </w:t>
        <w:br/>
        <w:t xml:space="preserve">- removal of bidding thresholds by buyer  </w:t>
        <w:br/>
        <w:t xml:space="preserve">Disadvantages for third-party SSPs compared to AdX  </w:t>
        <w:br/>
        <w:t xml:space="preserve">Before September 2019:  </w:t>
        <w:br/>
        <w:t xml:space="preserve">- right of last look granted to AdX  </w:t>
        <w:br/>
        <w:t xml:space="preserve">Third-party SSP via header  </w:t>
        <w:br/>
        <w:t xml:space="preserve">- dynamic revenue share of AdX not replicable  </w:t>
        <w:br/>
        <w:t xml:space="preserve">bidding  </w:t>
        <w:br/>
        <w:t xml:space="preserve">After September 2019:  </w:t>
        <w:br/>
        <w:t xml:space="preserve">- lack of information on the auction process  </w:t>
        <w:br/>
        <w:t xml:space="preserve">- removal of bidding thresholds by buyer  </w:t>
        <w:br/>
        <w:t xml:space="preserve">Disadvantages for third-party SSPs compared to AdX  </w:t>
        <w:br/>
        <w:t xml:space="preserve">- limited targeting capability  </w:t>
        <w:br/>
        <w:t xml:space="preserve">- inability to use innovative formats  </w:t>
        <w:br/>
        <w:t xml:space="preserve">- inability to benefit from the effects of integration with a  </w:t>
        <w:br/>
        <w:t xml:space="preserve">Third-party SSP via Open  </w:t>
        <w:br/>
        <w:t xml:space="preserve">advertising space buying platform (DSP)  </w:t>
        <w:br/>
        <w:t xml:space="preserve">bidding  </w:t>
        <w:br/>
        <w:t xml:space="preserve">- competitiveness handicap related to the revenue share retained by  </w:t>
        <w:br/>
        <w:t xml:space="preserve">Google  </w:t>
        <w:br/>
        <w:t xml:space="preserve">After September 2019:  </w:t>
        <w:br/>
        <w:t xml:space="preserve">- removal of bidding thresholds by buyer  </w:t>
        <w:br/>
        <w:t xml:space="preserve">Advantages of AdX  </w:t>
        <w:br/>
        <w:t xml:space="preserve">- real-time  </w:t>
        <w:br/>
        <w:t xml:space="preserve">Before September 2019:  </w:t>
        <w:br/>
        <w:t xml:space="preserve">AdX via dynamic  </w:t>
        <w:br/>
        <w:t xml:space="preserve">- last look  </w:t>
        <w:br/>
        <w:t xml:space="preserve">allocation  </w:t>
        <w:br/>
        <w:t xml:space="preserve">- dynamic revenue share  </w:t>
        <w:br/>
        <w:t xml:space="preserve">After September 2019:  </w:t>
        <w:br/>
        <w:t xml:space="preserve">- information on the auction process  </w:t>
        <w:br/>
        <w:t>238. Secondly, the AdX platform is only partially interoperable with competing ad servers of DFP, and does not allow them to organize a competition between AdX and its competitors – even though AdX itself has privileged access to a significant portion of advertiser demand and all of these competing ad servers have adopted standards allowing for a more equitable competition.</w:t>
      </w:r>
    </w:p>
    <w:p>
      <w:r>
        <w:rPr>
          <w:b/>
        </w:rPr>
        <w:t>[Pages 58–60]</w:t>
      </w:r>
    </w:p>
    <w:p>
      <w:r>
        <w:t xml:space="preserve">239. Comparison of the interoperability conditions offered by AdX to DFP vs third-party ad servers:  </w:t>
        <w:br/>
        <w:t xml:space="preserve">Situation Interaction Conditions  </w:t>
        <w:br/>
        <w:t xml:space="preserve">Advantages for DFP  </w:t>
        <w:br/>
        <w:t xml:space="preserve">DFP - real-time comparison  </w:t>
        <w:br/>
        <w:t xml:space="preserve">- minimal latency  </w:t>
        <w:br/>
        <w:t xml:space="preserve">Third-party server – Disadvantages for third-party servers  </w:t>
        <w:br/>
        <w:t xml:space="preserve">configuration "AdX - absence of real-time comparison limiting direct yield"  </w:t>
        <w:br/>
        <w:t xml:space="preserve">- right of last look for AdX  </w:t>
        <w:br/>
        <w:t xml:space="preserve">Disadvantages for third-party servers  </w:t>
        <w:br/>
        <w:t xml:space="preserve">Third-party server – - additional latency  </w:t>
        <w:br/>
        <w:t xml:space="preserve">second - additional ad server fees  </w:t>
        <w:br/>
        <w:t xml:space="preserve">configuration  </w:t>
        <w:br/>
        <w:t xml:space="preserve">- little-known and complex configuration  </w:t>
        <w:br/>
        <w:t>- absence of official documentation</w:t>
      </w:r>
    </w:p>
    <w:p>
      <w:r>
        <w:t xml:space="preserve">E. REMINDER OF NOTIFIED GRIEVANCES  </w:t>
        <w:br/>
        <w:t xml:space="preserve">240. On October 1 and 19, 2020, the companies Alphabet Inc., Google LLC, and Google Ireland Inc. were notified of two grievances related to practices implemented in the field of technologies for displaying advertising on the internet:  </w:t>
        <w:br/>
        <w:t xml:space="preserve">First grievance  </w:t>
        <w:br/>
        <w:t xml:space="preserve">"It is alleged against the companies Google LLC (formerly Google Inc.) and Google Ireland Ltd, as authors, and against the companies Alphabet Inc. and Google LLC, as parent companies, that they abused their dominant position in the European market for ad servers for publishers of websites and mobile applications by applying to third-party technologies of advertising space selling platforms unrelated to searches less favorable technical and contractual conditions than those applied to their own technologies.  </w:t>
        <w:br/>
        <w:t xml:space="preserve">Google LLC (formerly Google Inc.) and Google Ireland Ltd notably granted the advertising space selling platform Doubleclick Ad Exchange, now integrated into Google Ad Manager, preferential conditions for the purchase of inventories managed by the ad server Doubleclick for Publishers, now integrated into Google Ad Manager.  </w:t>
        <w:br/>
        <w:t xml:space="preserve">This practice is likely to have, and has already effectively had, anti-competitive effects on the European market for advertising space selling platforms unrelated to searches; violates the provisions of Article L.420-2 of the Commercial Code and Article 102 of the TFEU; has been implemented at least since January 1, 2014, and is still in effect to this day."  </w:t>
        <w:br/>
        <w:t xml:space="preserve">Second grievance  </w:t>
        <w:br/>
        <w:t xml:space="preserve">"It is alleged against the companies Google LLC (formerly Google Inc.) and Google Ireland Ltd, as authors, and against the companies Alphabet Inc. and Google LLC, as parent companies, that they abused their dominant position in the European market for ad servers for publishers of websites and mobile applications by applying to third-party technologies of ad servers for publishers of websites and mobile applications more restrictive technical and contractual conditions than those applied to their own technology.  </w:t>
        <w:br/>
        <w:t xml:space="preserve">Google LLC (formerly Google Inc.) and Google Ireland Ltd notably granted the ad server Doubleclick for Publishers, now integrated into Google Ad Manager, preferential interoperability terms with the advertising space selling platform Doubleclick Ad Exchange, now integrated into Google Ad Manager.  </w:t>
        <w:br/>
        <w:t>This practice is likely to have, and has already effectively had, anti-competitive effects on the European market for ad servers for publishers of websites and mobile applications; violates the provisions of Article L.420-2 of the Commercial Code and Article 102 of the TFEU; has been implemented at least since January 1, 2014, and is still in effect to this day."</w:t>
      </w:r>
    </w:p>
    <w:p>
      <w:r>
        <w:t xml:space="preserve">II. Discussion  </w:t>
        <w:br/>
        <w:t xml:space="preserve">A. ON THE IMPLEMENTATION OF THE TRANSACTION PROCEDURE  </w:t>
        <w:br/>
        <w:t xml:space="preserve">241. III of Article L. 464-2 of the Commercial Code states: "[w]hen an organization or a company does not contest the reality of the grievances notified to it, the general rapporteur may submit a transaction proposal setting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  </w:t>
        <w:br/>
        <w:t xml:space="preserve">242. Furthermore, point 23 of the Authority's procedural communication of December 21, 2018, regarding the transaction procedure (hereinafter "transaction communication") provides: "In the event that the company in question has also proposed commitments, it is up to the general rapporteur to assess whether it is relevant to take them into account in light of the particular circumstances of the case and, in particular, the nature of the grievances retained. If this is the case, the general rapporteur then ensures the substantial, credible, and verifiable nature of the proposed commitments." Point 27 of the transaction communication specifies that: "If he deems it relevant to propose to the Authority to make the commitments presented by the company mandatory, the general rapporteur also takes this into account in his transaction proposal."  </w:t>
        <w:br/>
        <w:t xml:space="preserve">243. Parties entering into a transaction procedure must provide all sufficient guarantees, particularly in terms of compliance deadlines, so that the practices subject to the notified grievances cease as soon as possible160. Compliance with competition law, which is the necessary consequence of a sanction decision retaining grievances as established, cannot thus be subject to specific remuneration within the framework of a transaction procedure.  </w:t>
        <w:br/>
        <w:t xml:space="preserve">244. However, it is permissible for the general rapporteur, in cases where the company in question has proposed behavioral commitments within the framework of the transaction procedure, to attach them to the transaction minutes if he deems them relevant in light of the particular circumstances of the case and when they are substantial, credible, and verifiable.  </w:t>
        <w:br/>
        <w:t xml:space="preserve">245. The fact that these commitments are made mandatory by the Authority does not in any way exempt the company from fully complying with competition law. Beyond the commitments proposed by the company in question, it must also take all necessary measures to comply with competition law, particularly concerning the grievances retained by the Authority.  </w:t>
        <w:br/>
        <w:t xml:space="preserve">246. Thus, mere compliance with the commitments proposed within the framework of a transaction does not exempt the company in question from a new risk of sanctions if the measures it has adopted, including the commitments it has made, are not sufficient to remedy the infringement sanctioned in the sanction decision pronounced by the college.  </w:t>
        <w:br/>
        <w:t>160 Decision No. 19-D-21 of October 28, 2019, regarding practices implemented in the road transport sector of goods, paragraph 71.</w:t>
      </w:r>
    </w:p>
    <w:p>
      <w:r>
        <w:rPr>
          <w:b/>
        </w:rPr>
        <w:t>[Pages 61–63]</w:t>
      </w:r>
    </w:p>
    <w:p>
      <w:r>
        <w:t xml:space="preserve">247. In this case, by a report signed on March 12, 2021, due to circumstances specific to them, and without acknowledging their guilt, the companies Alphabet Inc., Google LLC, and Google Ireland Ltd committed not to contest the charges that were notified to them. Consequently, the charges set out in paragraph 240 of this decision are established against the concerned companies of the Google group.  </w:t>
        <w:br/>
        <w:t xml:space="preserve">248. Furthermore, the companies Alphabet Inc., Google LLC, and Google Ireland Ltd proposed a series of commitments consisting, on the one hand, of enhancing interoperability between DFP and third-party SSPs according to the terms of header bidding in order to allow for merit-based competition between AdX and third-party SSPs for the purchase of inventories from publishers using DFP and, on the other hand, of modifying the existing configurations of certain of its technologies, in order to allow publishers using third-party ad servers to access AdX demand in real time. These commitments, which have been annexed to the settlement report, are summarized in paragraphs 468 and following and are attached to this decision.  </w:t>
        <w:br/>
        <w:t xml:space="preserve">249. During the session on May 7, 2021, Google solemnly confirmed its agreement with the terms of the settlement, of which it accepted, with full knowledge of the facts, the legal consequences, particularly regarding the amount of the monetary sanction.  </w:t>
        <w:br/>
        <w:t xml:space="preserve">250. The practices not having been contested, the Authority will limit itself, after examining the applicability of Union law, the relevant markets, and the position held by Google in these markets, to exposing them.  </w:t>
        <w:br/>
        <w:t xml:space="preserve">B. ON THE APPLICABILITY OF UNION LAW  </w:t>
        <w:br/>
        <w:t xml:space="preserve">251. Article 102 of the Treaty on the Functioning of the European Union (hereinafter "TFEU") prohibits, insofar as trade between Member States may be affected, the abuse by one or more undertakings of a dominant position within the internal market or in a substantial part of it.  </w:t>
        <w:br/>
        <w:t xml:space="preserve">252. In accordance with the consistent case law of the Union courts and the European Commission's communication regarding the notion of affecting trade as set out in Articles 81 and 82 of the Treaty establishing the European Community (now Articles 101 and 102 of the TFEU), three elements must be present for practices to be capable of significantly affecting trade between Member States: the existence of exchanges, at least potential, between Member States concerning the services in question (i), the existence of practices likely to affect these exchanges (ii), and the sensitive nature of this possible effect (iii).  </w:t>
        <w:br/>
        <w:t xml:space="preserve">253. In this case, advertising technologies can be provided without regard to borders. In particular, it is not necessary for the servers to be located in the Member State in which the advertising server services are marketed – in other words, they do not have to be situated in the same Member State as the advertiser, the publisher, or the user viewing the ads. Furthermore, the practices denounced are likely to affect the structure of competition throughout the European Economic Area (hereinafter "EEA"), by restricting competition between providers of ad servers for publishers and platforms for selling advertising space within the EEA. Finally, Google has implemented the observed practices throughout the EEA.  </w:t>
        <w:br/>
        <w:t xml:space="preserve">254. It follows from the above that the established practices are likely to significantly affect trade between Member States and to be qualified under Article 102 of the TFEU.  </w:t>
        <w:br/>
        <w:t xml:space="preserve">C. ON THE RELEVANT MARKETS  </w:t>
        <w:br/>
        <w:t xml:space="preserve">1. RECALL OF APPLICABLE PRINCIPLES  </w:t>
        <w:br/>
        <w:t xml:space="preserve">255. The definition of product markets and geographic markets, in the context of the application of Articles 102 TFEU and L. 420-2 of the Commercial Code, is carried out to determine whether the undertaking in question holds a dominant position and whether this position allows it to prevent the maintenance of effective competition in the relevant market, giving it the power to behave, to a significant extent, independently of its competitors, its customers, and ultimately, consumers.  </w:t>
        <w:br/>
        <w:t xml:space="preserve">256. The concept of the relevant market implies that there can be effective competition among the products and services that belong to this market. This presupposes that there is a sufficient degree of substitutability among all the products and services belonging to the same market concerning a specific use of them161.  </w:t>
        <w:br/>
        <w:t xml:space="preserve">257. To carry out this assessment, it is necessary to take into account not only the objective characteristics of the products and services concerned but also the competitive conditions and the structure of supply and demand in the market must also be taken into account162.  </w:t>
        <w:br/>
        <w:t xml:space="preserve">258. The identification of relevant product markets arises from the existence of competitive constraints. In this regard, companies are subject to three sources of competitive constraints: demand-side substitutability, supply-side substitutability, and potential competition. From an economic perspective, for the definition of the relevant market, demand substitutability constitutes the most immediate and effective disciplining factor concerning suppliers of a given product163.  </w:t>
        <w:br/>
        <w:t xml:space="preserve">259. Supply substitutability can also be taken into account in the definition of the market, in situations where its effects are equivalent to those of demand substitutability in terms of effectiveness and immediacy. There is supply substitutability when suppliers can redirect production towards the products or services in question and market them in the short term without incurring any substantial additional cost or risk in response to slight but permanent changes in relative prices. When these conditions are met, the additional production that is thus brought to market should exert a disciplining effect on the competitive behavior of the companies involved164.  </w:t>
        <w:br/>
        <w:t xml:space="preserve">161 See, in this sense, the judgment of the Court of Justice in case 85/76, Hoffmann-La Roche v. Commission, paragraph 28. See also the Commission's Communication on the definition of the relevant market for the purposes of Community competition law ("Commission Communication"), OJ C 372, 9.12.1997, paragraph 5.  </w:t>
        <w:br/>
        <w:t xml:space="preserve">162 See, in this sense, the judgments of the Court of Justice and the General Court in cases 322/81, Nederlandsche Banden Industrie Michelin v. Commission, paragraph 37; T-556/08, Slovenská pošta v. Commission, paragraph 112.  </w:t>
        <w:br/>
        <w:t xml:space="preserve">163 See paragraphs 13 and following of the aforementioned Communication.  </w:t>
        <w:br/>
        <w:t xml:space="preserve">164 See the European Commission's communication on the definition of the relevant market for the purposes of Community competition law, December 9, 1997, paragraph 20.  </w:t>
        <w:br/>
        <w:t xml:space="preserve">260. The geographic market, for its part, includes the territory in which the companies are engaged in the supply and demand in question and where the competitive conditions are homogeneous.  </w:t>
        <w:br/>
        <w:t xml:space="preserve">2. AD SERVERS FOR WEBSITE AND MOBILE APPLICATION PUBLISHERS  </w:t>
        <w:br/>
        <w:t xml:space="preserve">261. The decision-making practice of the Competition Authority and the European Commission distinguishes a specific market for the provision of advertising dissemination services and notes that this market is likely to be subdivided depending on whether the services are provided to advertisers or to publishers165.  </w:t>
        <w:br/>
        <w:t xml:space="preserve">262. Regarding the geographic dimension of such a market, the Commission has estimated that it extends at least to the European Economic Area166.  </w:t>
        <w:br/>
        <w:t xml:space="preserve">a) On the product market  </w:t>
        <w:br/>
        <w:t xml:space="preserve">263. The market for ad servers for website and mobile application publishers constitutes a relevant market. Indeed, the elements submitted in the file demonstrate:  </w:t>
        <w:br/>
        <w:t xml:space="preserve">- that the market for ad servers must be segmented according to whether these servers are intended for publishers or advertisers;  </w:t>
        <w:br/>
        <w:t xml:space="preserve">- that there is a specific market for the provision of ad servers intended for advertising displays, distinct from that on which SSPs are present;  </w:t>
        <w:br/>
        <w:t xml:space="preserve">- that the supply of ad servers for website and mobile application publishers, however, differs significantly from that for the – emerging – advertising server technologies intended for the dissemination of advertisements on connected televisions;  </w:t>
        <w:br/>
        <w:t xml:space="preserve">- that it is not relevant, in the context of this case, to segment this market further, based on considerations of medium or format.  </w:t>
        <w:br/>
        <w:t xml:space="preserve">On the distinction between ad servers for publishers and for advertisers  </w:t>
        <w:br/>
        <w:t xml:space="preserve">264. As envisaged by the European Commission in the aforementioned Google/DoubleClick decision, the Authority considers that ad servers for advertisers are not substitutable for ad servers for publishers.  </w:t>
        <w:br/>
        <w:t xml:space="preserve">265. First, the main functionalities of an ad server for publishers (see developments in paragraphs 40 and following) differ significantly from those of ad servers for advertisers. In particular, the latter do not offer, among other things, a feature for forecasting inventories to be delivered, nor an algorithm for arbitrating between the different marketing possibilities of an inventory. However, the implementation...  </w:t>
        <w:br/>
        <w:t xml:space="preserve">165 See paragraphs 74 to 81 of the European Commission's decision of March 11, 2008, M.4731, Google / DoubleClick. See also paragraphs 162 and 167 of the European Commission's decision of December 17, 2020, M.9660, Google/Fitbit and paragraph 184 of opinion no. 18-A-03 of March 6, 2018, concerning the exploitation of data in the online advertising sector.  </w:t>
        <w:br/>
        <w:t>166 See paragraphs 85 to 91 of the aforementioned European Commission decision Google / DoubleClick.</w:t>
      </w:r>
    </w:p>
    <w:p>
      <w:r>
        <w:rPr>
          <w:b/>
        </w:rPr>
        <w:t>[Pages 64–66]</w:t>
      </w:r>
    </w:p>
    <w:p>
      <w:r>
        <w:t xml:space="preserve">of these features requires advanced technical developments and is essential for the attractiveness of an ad server167.  </w:t>
        <w:br/>
        <w:t xml:space="preserve">266. Next, the providers of ad servers for publishers and for advertisers are largely distinct. Thus, several companies market ad servers exclusively for either publishers (for example, Adhese or Smart AdServer) or advertisers (for example, Flashtalking, Sizmek, or Weborama). Furthermore, when the same company markets both types of technologies, it does so under different brands. This is the case, for example, with Google, which markets its ad server for publishers under the brand Google Ad Manager (formerly Doubleclick for Publishers), and the ad server for advertisers under the brand Google Marketing Platform (formerly Doubleclick Campaign Manager).  </w:t>
        <w:br/>
        <w:t xml:space="preserve">267. This distinction is, moreover, not contested by Google, which states that “if the Authority were to consider that ad servers constitute a distinct market, the distinction between ad servers for publishers and ad servers for advertisers could then be justified”168.  </w:t>
        <w:br/>
        <w:t xml:space="preserve">On the existence of a specific market distinct from that on which SSPs are present  </w:t>
        <w:br/>
        <w:t xml:space="preserve">268. According to Google, “the distinction between ad servers for publishers and supply-side advertising platforms (‘SSP’) does not reflect the multiple common functionalities currently offered by both products regarding the management of advertising inventory and incoming advertising traffic. Many products considered as ad servers for publishers are also classified as SSPs. Most of the main ad serving tools for publishers now integrate – at least to some extent – SSP-type functionalities. There is no longer a true market for the standalone serving of ads, which corresponds to a fully standardized service”169.  </w:t>
        <w:br/>
        <w:t xml:space="preserve">269. However, the Authority believes that the market for ad servers remains distinct from that on which SSPs are present. Indeed, these products are not substitutable on the supply side or the demand side, and the conditions under which competition operates for these two types of activities are different.  </w:t>
        <w:br/>
        <w:t xml:space="preserve">270. On the demand side, the publishers interviewed emphasize that it is impossible to do without an ad server, including by replacing the ad server with an SSP, since:  </w:t>
        <w:br/>
        <w:t xml:space="preserve">- the use of an ad server is essential for carrying out direct sales. Now, on the one hand, these sales represent a significant portion of the revenues of the largest publishers, and, on the other hand, for the same inventory, the revenue that a publisher derives from a direct sale is on average much higher than the revenue derived from a programmatic sale170. Groupe Figaro indicates, for example, that inventory sold programmatically is between 30 to 60% less lucrative171, and Webedia states that a format meeting IAB standards yields, on average, 4 euros CPM (costs per thousand impressions) when sold directly, compared to 0.80 euros CPM when sold programmatically172;  </w:t>
        <w:br/>
        <w:t xml:space="preserve">- the use of an ad server is essential to compete multiple SSPs for the same inventory, while taking into account direct sales, and ensuring the tracking of commercial performance. Now, as stated above, this competition directly and significantly increases the selling price of inventories173.  </w:t>
        <w:br/>
        <w:t xml:space="preserve">271. On the supply side, there are technological barriers to providing ad server services for an SSP provider. Indeed, ad servers must offer several functionalities that SSPs do not provide and which require significant developments (for example, the functionalities for forecasting inventory to be delivered). Several internal documents provided by Google attest to the importance of the technological investments necessary for providing ad servers compared to those necessary for providing an SSP, whose competitiveness is mainly correlated to its ability to meet the broadest possible demand.  </w:t>
        <w:br/>
        <w:t xml:space="preserve">272. Furthermore, many SSP providers, including among the largest providers (for example, Index Exchange174 and Rubicon Project175), do not offer an ad server. Some providers that offered both technologies have abandoned their ad server to only provide SSPs, precisely because the investments necessary to maintain a competitive ad server were too significant (this is the case, for example, with OpenX and Verizon Media). In addition, companies that offer both types of technologies systematically offer the functionalities of ad server and SSP separately. This is the case, for example, with Smart Adserver and Xandr, but also with Google, whose direct AdX offering, that is, the use of the SSP without the DFP ad server, represents [0-10]% of the total transactions carried out in 2018 by AdX176.  </w:t>
        <w:br/>
        <w:t xml:space="preserve">273. Finally, the conditions under which competition operates in the two markets are very different. Thus:  </w:t>
        <w:br/>
        <w:t xml:space="preserve">- on the one hand, publishers generally use one, sometimes two, ad server(s) to manage their entire inventory. When they use two, it is typically to manage different inventories, such as banners and videos, or application and web media. Publishers select their ad server following a tender process, and for durations of several years, given the difficulties involved in changing technological solutions. Ad servers are almost systematically billed on a cost-per-impression basis, with additional costs for certain functionalities, such as the use of data segments;  </w:t>
        <w:br/>
        <w:t xml:space="preserve">- on the other hand, publishers simultaneously use a significant number of SSPs, on the order of ten177, whether in the context of mediation, header bidding, or other similar functionalities, such as Open Bidding. These SSPs compete for each impression, and several publishers have indicated that they regularly change the SSPs used when one of these SSPs does not meet expectations, with the change of SSP occurring without particular difficulties. SSPs are almost systematically compensated by retaining a percentage of the revenues brought to the publisher.  </w:t>
        <w:br/>
        <w:t xml:space="preserve">274. In conclusion, the market for ad servers is distinct from the market on which SSPs are present.  </w:t>
        <w:br/>
        <w:t xml:space="preserve">On the distinction between ad servers for web and mobile application publishers and ad servers for displaying ads on connected television, internet boxes, and similar devices  </w:t>
        <w:br/>
        <w:t xml:space="preserve">275. The ad server offerings for web and mobile application publishers differ significantly from those, which are currently underdeveloped in the EEA, of ad servers for displaying ads on connected televisions.  </w:t>
        <w:br/>
        <w:t xml:space="preserve">276. First, ad servers for displaying ads on connected televisions do not address the same demand, as they are not offered to web and mobile application publishers.  </w:t>
        <w:br/>
        <w:t xml:space="preserve">277. Second, the infrastructure and technical operation of ad servers for displaying ads on connected televisions are distinct from those of ad servers for displaying on web or mobile application. In particular, the modalities of interaction with the server and advertising targeting rely on different techniques. Furthermore, the ad selection functionalities offered by servers for connected television are significantly more sophisticated178. They prevent, for example, the display of competitor ads within the same advertising break.  </w:t>
        <w:br/>
        <w:t xml:space="preserve">278. Third, the cost of advertising technologies used for connected television is significantly higher than that of technologies used for web and mobile applications.  </w:t>
        <w:br/>
        <w:t xml:space="preserve">279. Fourth, specific regulatory constraints related to connected television limit the possibilities for advertising targeting on this medium in certain countries, including France.  </w:t>
        <w:br/>
        <w:t xml:space="preserve">280. In this context, the Authority believes that these advertising technologies for connected TVs, internet boxes, and similar devices constitute a distinct market from that of ad servers for web and mobile application publishers.  </w:t>
        <w:br/>
        <w:t xml:space="preserve">On the distinction of advertising server technologies for web and mobile application publishers based on support or format considerations  </w:t>
        <w:br/>
        <w:t xml:space="preserve">281. As stated above, some web or mobile application publishers may use – in addition to their main ad server – a distinct ad server for displaying ads on mobile support or in video format. Furthermore, some ad server offerings may themselves be specialized in a specific format, such as video or native. This is particularly the case with the offering from FreeWheel, which is predominantly dedicated to video format.  </w:t>
        <w:br/>
        <w:t>282. From a technological and commercial perspective, there are specific characteristics related to mobile application support, notably concerning the use of advertising identifiers and development kits that allow adding functionality to a program or application (so-called “software development kits” or “SDK”) that explain the limited development of header bidding on this support. Similarly, the support for video format by servers...</w:t>
      </w:r>
    </w:p>
    <w:p>
      <w:r>
        <w:rPr>
          <w:b/>
        </w:rPr>
        <w:t>[Pages 67–69]</w:t>
      </w:r>
    </w:p>
    <w:p>
      <w:r>
        <w:t>advertising servers involves specific constraints, which are notably related to the weight of the hosted content (a video representing a significantly larger number of bytes than a banner) and the necessity to integrate with a video player. These differences lead to a significant entry cost in the video ad server segment (estimated at several million euros by one of the interviewed providers) as well as a much higher pricing for the delivery of a video advertisement (the price of a video ad being 10 to 20 times higher than the price of a banner179).</w:t>
      </w:r>
    </w:p>
    <w:p>
      <w:r>
        <w:t>283. Publishers, however, market direct campaigns common to their application and web inventories, and there are also common or complementary campaigns between video and banners. In this regard, the publishers interviewed have – almost entirely – indicated that they use, or plan to use in the short term, a single ad server that supports all media and web and mobile application formats.</w:t>
      </w:r>
    </w:p>
    <w:p>
      <w:r>
        <w:t>284. Furthermore, ad servers dedicated to video and those dedicated to other formats are experiencing increasing convergence. Thus, all major offerings of ad servers for website and mobile application publishers today are omni-format and multi-support. In this regard, the ad server of FreeWheel, although the most specialized in video, also offers the management of other advertising formats.</w:t>
      </w:r>
    </w:p>
    <w:p>
      <w:r>
        <w:t>285. While it cannot be excluded that the overall market for ad servers for website and mobile application publishers could be segmented according to format or support considerations, such segmentation may be left open in this specific case, given that practices are implemented across the entire market of ad servers for website and mobile application publishers.</w:t>
      </w:r>
    </w:p>
    <w:p>
      <w:r>
        <w:t>b) On the geographical dimension of the market</w:t>
      </w:r>
    </w:p>
    <w:p>
      <w:r>
        <w:t>286. The Authority believes that the market for ad servers for website and mobile application publishers is of equal dimension to the EEA.</w:t>
      </w:r>
    </w:p>
    <w:p>
      <w:r>
        <w:t>287. Firstly, according to Google, "regardless of the definition considered for the markets for ad servers for publishers - Google believes that it extends at least to the EEA, if not worldwide. Ad servers for publishers operate the same technology and offer the same functionality on a global scale. It is not necessary for the servers to be located in the Member State in which the ad server services are marketed - in other words, they do not have to be located in the same Member State as the advertiser, the publisher, or the user viewing their ads. Clients often purchase ad server services on a cross-border basis. Google's contracts concern the provision of impression delivery services worldwide"180.</w:t>
      </w:r>
    </w:p>
    <w:p>
      <w:r>
        <w:t>288. Secondly, there are significant regulatory barriers to providing ad servers in the EEA, the main one resulting from the obligation to comply with the GDPR. Several players, including Google and Xandr, have identified the GDPR as a key regulatory framework for the provision of ad servers, and have detailed the changes in service usage policies and the tools whose development has been necessary to ensure full compliance with the GDPR181.</w:t>
      </w:r>
    </w:p>
    <w:p>
      <w:r>
        <w:t>289. Thirdly, there are significant technical barriers to providing ad servers from a geographical area far from the EEA, which are related to the necessity – for latency reasons – to locate servers in relative geographical proximity to the internet users to whom the displays will be served. Thus, while it is not necessary for the server to be located in immediate proximity to the internet user, for example, within the territory of the same State, it cannot, however, be located too far away. An ad server located in Australia, for example, would very likely struggle to effectively serve an impression to a French internet user.</w:t>
      </w:r>
    </w:p>
    <w:p>
      <w:r>
        <w:t>290. Fourthly, publishers generally sign cross-border contracts at the scale of a geographical area such as Europe or North America. Moreover, the technologies used are homogeneous within the EEA and, even though this is not the most common case, it happens that ad server providers market their services in countries where they do not have a sales force. There is also a significant difference in maturity between the markets for programmatic inventory sales in Europe and North America182 (share of direct and programmatic, transaction modes offered, number of players, etc.).</w:t>
      </w:r>
    </w:p>
    <w:p>
      <w:r>
        <w:t>291. Fifthly, publishers place significant importance on the benefit of nearby technical support, that is to say, at least present in the same geographical area.</w:t>
      </w:r>
    </w:p>
    <w:p>
      <w:r>
        <w:t>292. Finally, internal documents provided by Google show that its teams analyze the development of competition at the scale of limited geographical areas, whether they are areas comparable to the EEA or sub-regions of the EEA183.</w:t>
      </w:r>
    </w:p>
    <w:p>
      <w:r>
        <w:t>3. ONLINE AD SPACE SALES PLATFORMS NOT LINKED TO SEARCHES</w:t>
      </w:r>
    </w:p>
    <w:p>
      <w:r>
        <w:t>293. In its decision Google/AdSense184, the European Commission distinguished a market for intermediation services for online advertising sales, before establishing that intermediation services for search-related online advertising had limited substitutability with intermediation services for non-search-related online advertising.</w:t>
      </w:r>
    </w:p>
    <w:p>
      <w:r>
        <w:t>a) On the product market</w:t>
      </w:r>
    </w:p>
    <w:p>
      <w:r>
        <w:t>294. The Authority believes that the market for online advertising space sales platforms not linked to searches constitutes a relevant market. Indeed, it appears from the elements submitted to the file that:</w:t>
        <w:br/>
        <w:t>- intermediation services for non-search-related online advertising are present in a distinct market from that in which intermediation services for search-related online advertising are present; and</w:t>
        <w:br/>
        <w:t>- online advertising space buying platforms, or "DSPs," are not, to date, substitutable for online advertising space sales platforms.</w:t>
      </w:r>
    </w:p>
    <w:p>
      <w:r>
        <w:t>295. Such a market includes, in particular, the offerings of SSPs, including Google's AdX service, as well as Xandr Monetize or Smart RTB+, as well as Ad Exchange services, including the services of Index Exchange. It also includes services such as content recommendation services Taboola and Outbrain, or advertising networks such as AdSense or MoPub, to the extent that they are likely to be interoperable with an ad server. In contrast, DSPs such as Google DV360 or TheTradeDesk are not present in this market.</w:t>
      </w:r>
    </w:p>
    <w:p>
      <w:r>
        <w:t>On the distinction between intermediation platforms for non-search-related online advertising and intermediation platforms for search-related online advertising</w:t>
      </w:r>
    </w:p>
    <w:p>
      <w:r>
        <w:t>296. As the European Commission held in the Google/AdSense decision185, the Authority believes that intermediation platforms for search-related advertising are not substitutable for intermediation platforms for non-search-related advertising.</w:t>
      </w:r>
    </w:p>
    <w:p>
      <w:r>
        <w:t>297. Firstly, the key principle of search-related intermediation is the targeting of the internet user's search terms, which reflect an intention on their part. It is not possible to use the same technologies for intermediation in the absence of the user's search.</w:t>
      </w:r>
    </w:p>
    <w:p>
      <w:r>
        <w:t>298. Secondly, to date, advertising displays present a diversity of formats (simple banner, enriched, native formats, videos, audio, etc.), whereas search-related ads are primarily textual.</w:t>
      </w:r>
    </w:p>
    <w:p>
      <w:r>
        <w:t>299. In light of these various elements, it appears that intermediation platforms for search-related online advertising and intermediation platforms for non-search-related online advertising constitute distinct markets.</w:t>
      </w:r>
    </w:p>
    <w:p>
      <w:r>
        <w:t>300. Moreover, such a distinction is in any case without impact on the competitive analysis. Indeed, if an overall market for intermediation platforms for online advertising were to be considered, Google would be dominant in this market, as it holds a dominant position in both segments that compose it. In this regard, the European Commission recently found that Google occupies a largely dominant position in the market for intermediation platforms for search-related online advertising186. Furthermore, Google also holds a dominant position in the market for intermediation platforms for non-search-related online advertising (see paragraphs 317 and following below).</w:t>
      </w:r>
    </w:p>
    <w:p>
      <w:r>
        <w:t>On the distinction between online advertising space sales platforms and advertising space buying platforms</w:t>
      </w:r>
    </w:p>
    <w:p>
      <w:r>
        <w:t>301. It appears from the elements submitted to the file that advertising space buying platforms (DSPs) have very limited substitutability with advertising space sales platforms.</w:t>
      </w:r>
    </w:p>
    <w:p>
      <w:r>
        <w:t>302. Firstly, DSPs do not establish direct relationships with publishers, whereas SSPs require significant technological, and especially commercial, investments to develop such relationships with publishers. SSPs integrate...</w:t>
      </w:r>
    </w:p>
    <w:p>
      <w:r>
        <w:rPr>
          <w:b/>
        </w:rPr>
        <w:t>[Pages 70–72]</w:t>
      </w:r>
    </w:p>
    <w:p>
      <w:r>
        <w:t xml:space="preserve">specific features for publishers, which allow them to sort or block certain categories of ads so that they are not displayed on their site.  </w:t>
        <w:br/>
        <w:t xml:space="preserve">303. Xandr specifies187: “(i)t is difficult for DSPs to successfully create connections directly with publishers via header bidding. From an operational perspective, the implementation for each publisher and the maintenance of their integration represent significant overhead costs and require adequate support teams. From a technical standpoint, publishers often need certain features to control how their inventory is sold to buyers. For example, a publisher such as Le Figaro would want to prevent a competitor like Le Monde from displaying ads on its website promoting subscriptions to news. A DSP would generally not develop this feature since it is a tool intended to be used by sellers rather than by advertisers, who are the primary users of DSPs. Therefore, direct connections to publishers via header bidding may require significant product development work for the DSP. Finally, from a commercial perspective, publishers generally limit the number of partners they connect through header bidding for latency reasons. The more partners are called from the page, the more the browser has to process network requests. This can be problematic because browsers use various techniques to maintain their performance and responsiveness, for example, by limiting the number of network requests made in parallel. Consequently, publishers must carefully choose the partners they call through header bidding to maximize their revenue while minimizing the impact on latency. A DSP being a single source of demand, it may be difficult to generate as much revenue for the publisher as a SSP connected to multiple DSPs and, consequently, not be chosen as a header bidding partner.  </w:t>
        <w:br/>
        <w:t xml:space="preserve">DSPs provide tools designed for advertisers to manage their advertising purchases across multiple SSPs and publishers and to optimize these advertising purchases to achieve the advertiser's objectives (for example, views, clicks, conversions, etc.). SSPs provide tools designed for digital properties to sell their ad space via auctions and private marketplaces and to maximize the selling price of their available advertising inventory. Although DSPs and SSPs interact significantly with each other, they are each designed to address a very distinct set of issues for their clients.”  </w:t>
        <w:br/>
        <w:t xml:space="preserve">304. Secondly, market offers distinguish those intended for SSPs and those intended for DSPs. In this sense, Google states that it has limited the eligibility of its Open Bidding offer to SSPs and advertising networks, excluding DSPs, as the latter would not provide sufficient control over the content displayed to publishers188.  </w:t>
        <w:br/>
        <w:t xml:space="preserve">b) On the geographical dimension of the market  </w:t>
        <w:br/>
        <w:t xml:space="preserve">305. The Authority considers that the market for advertising space selling platforms is of equal dimension to the EEA.  </w:t>
        <w:br/>
        <w:t xml:space="preserve">306. Firstly, Google considers that the geographical dimension of the markets for intermediation platforms is at least of European dimension189.  </w:t>
        <w:br/>
        <w:t xml:space="preserve">307. Secondly, as with ad servers, there are significant regulatory barriers to providing advertising space selling platforms, foremost among them compliance with the GDPR. All suppliers surveyed – including Google – have emphasized the importance of the costs incurred by this compliance190.  </w:t>
        <w:br/>
        <w:t xml:space="preserve">308. Thirdly, while publishers often purchase intermediation services on a cross-border basis, the attractiveness of a platform is nevertheless directly correlated to its ability to establish relationships with the various sources of demand present in a geographical area that is generally measured at scales such as Europe or America191. In this regard, it appears from the evidence submitted that the technologies used are homogeneous within the EEA.  </w:t>
        <w:br/>
        <w:t xml:space="preserve">309. Finally, publishers place significant importance on being able to rely on available technical support, which they believe would not be possible without having technical teams located in the same geographical area (for example, if a SSP provider marketed an offer to European publishers entirely from the United States).  </w:t>
        <w:br/>
        <w:t xml:space="preserve">4. THE CLOSE CONNECTION OF MARKETS  </w:t>
        <w:br/>
        <w:t xml:space="preserve">310. According to the Paris Court of Appeal, two distinct markets may nevertheless have a close connection “either because they are upstream or downstream of each other, or because they concern similar services, albeit not completely substitutable”192.  </w:t>
        <w:br/>
        <w:t xml:space="preserve">311. In this case, the functional interdependence of ad servers and advertising intermediation platforms creates a particularly close connection between the market for ad servers for publishers and the market for programmatic advertising space selling platforms, which cannot operate without a source of supply. In this regard, Google, like all the suppliers and publishers surveyed, emphasizes that ad servers and SSPs interact within the same ecosystem.  </w:t>
        <w:br/>
        <w:t xml:space="preserve">312. The market for ad servers for publishers and programmatic advertising space selling platforms (SSP on the supply side) is considered by the Authority to have a close connection.  </w:t>
        <w:br/>
        <w:t xml:space="preserve">D. GOOGLE'S POSITION IN THE RELEVANT MARKETS  </w:t>
        <w:br/>
        <w:t xml:space="preserve">1. REMINDER OF APPLICABLE PRINCIPLES  </w:t>
        <w:br/>
        <w:t xml:space="preserve">313. A dominant position is defined as “a position of economic power held by a company that gives it the ability to obstruct the maintenance of effective competition in the relevant market by providing it with the possibility of independent behavior to a significant extent with respect to its competitors, its customers and, ultimately, consumers. The existence of a dominant position generally results from the combination of several factors, which, taken in isolation, would not necessarily be decisive”193.  </w:t>
        <w:br/>
        <w:t xml:space="preserve">314. One of the main criteria for determining a dominant position is the existence of significant market shares. “Extremely large market shares constitute, in themselves, and unless exceptional circumstances exist, proof of the existence of a dominant position. Indeed, holding an extremely large market share places the company that holds it for a certain period, by the volume of production and supply it represents – without holders of significantly smaller shares being able to quickly satisfy the demand that would wish to turn away from the company holding the largest share – in a position of strength that makes it a necessary partner and which, already for this reason, ensures it, at least for relatively long periods, the independence of behavior characteristic of a dominant position”194. According to the case law of the CJEU, a market share of 50% constitutes, in itself, and unless exceptional circumstances exist, proof of the existence of a dominant position195.  </w:t>
        <w:br/>
        <w:t xml:space="preserve">315. In addition to the level of market shares of the company in question, account must also be taken of the ratio between the market shares held by the company in question and those held by its competitors. A significant gap with the nearest competitor is also considered an indicator of a company's market power, as competition authorities, both European and national, have pointed out on several occasions.  </w:t>
        <w:br/>
        <w:t xml:space="preserve">316. Other factors beyond the market share of the company and its competitors must also be taken into account to assess the market power of the company, such as, for example, the case of particular notoriety, an extensive distribution network, or proximity to prescribers196.  </w:t>
        <w:br/>
        <w:t xml:space="preserve">2. GOOGLE'S DOMINANT POSITION IN THE EUROPEAN MARKET FOR AD SERVERS FOR WEBSITES AND MOBILE APPLICATIONS  </w:t>
        <w:br/>
        <w:t xml:space="preserve">317. In 2008, the European Commission considered that Doubleclick held the strongest position in the market for ad servers for publishers, with a market share between 40 and 50% in the EEA.  </w:t>
        <w:br/>
        <w:t xml:space="preserve">318. It appears from the evidence presented in the debate that, since January 2014, when it became possible to obtain reliable data from a large number of suppliers, this position has significantly strengthened, and that DFP holds a dominant position in the European market for ad servers for publishers of websites and mobile applications.  </w:t>
        <w:br/>
        <w:t>319. This assessment is based on the market shares of Google and competing suppliers (a), the existence of significant barriers to entry, maintenance, and expansion (b), the absence of compensatory purchasing power (c), and Google's unparalleled notoriety.</w:t>
      </w:r>
    </w:p>
    <w:p>
      <w:r>
        <w:rPr>
          <w:b/>
        </w:rPr>
        <w:t>[Pages 73–75]</w:t>
      </w:r>
    </w:p>
    <w:p>
      <w:r>
        <w:t xml:space="preserve">and its advertising technologies (d), Google's position at all levels of the online advertising value chain and the resulting synergies (e).  </w:t>
        <w:br/>
        <w:t xml:space="preserve">a) On Google's market shares  </w:t>
        <w:br/>
        <w:t xml:space="preserve">320. The market share of an ad server offering can be calculated in two different ways: in value, that is to say, as a proportion of the revenues received by ad server providers, or in volume, that is to say, as a proportion of impressions served to publishers.  </w:t>
        <w:br/>
        <w:t xml:space="preserve">321. Firstly, in light of the information provided by the main players active in the European market197, the Authority estimates that, at least since 2014, Google has had a market share in value exceeding 50%.  </w:t>
        <w:br/>
        <w:t xml:space="preserve">Evolution of Google's market share in value in the European ad server market for publishers since 2014 (EEE)  </w:t>
        <w:br/>
        <w:t xml:space="preserve">2019 -  </w:t>
        <w:br/>
        <w:t xml:space="preserve">2014 2015 2016 2017 2018  </w:t>
        <w:br/>
        <w:t xml:space="preserve">estimated198  </w:t>
        <w:br/>
        <w:t xml:space="preserve">[50-60] % [50-60] % [50-60] % [60-70] % [60-70] % [60-70] %  </w:t>
        <w:br/>
        <w:t xml:space="preserve">Source: Google, FreeWheel, Smart AdServer, Verizon, Xandr, AdSpirit, AdZerk, Adhese, AdForm, and OpenX  </w:t>
        <w:br/>
        <w:t xml:space="preserve">322. This conclusion is reinforced by the fact that the data used to calculate these market shares is likely to lead to an underestimation of Google's actual market share in value, for two reasons:  </w:t>
        <w:br/>
        <w:t xml:space="preserve">- on the one hand, some smaller providers did not separately report the revenues from their ad server and their SSP offerings; thus, the activity of these providers in the market for ad servers for websites and mobile applications is overestimated in the graphs presented below;  </w:t>
        <w:br/>
        <w:t xml:space="preserve">- on the other hand, the services of instruction were unable to exclude, in the calculation of market shares, the revenues of FreeWheel related to ads served on connected televisions, internet boxes, and similar devices (the company did not provide the breakdown of its revenues related to these modes of distribution); thus, the revenues of this provider in the market for ad servers for publishers are also overestimated.  </w:t>
        <w:br/>
        <w:t xml:space="preserve">323. It should also be noted that during this same period, Google's market share is significantly increasing, while the European market was experiencing strong growth, rising from €57 million in 2014 to €87 million in 2019. Furthermore, the individual market share in value of each of Google's main competitors has never exceeded 20%, and has not experienced a similar increase to that of Google. As shown in the graph below, the only competing provider of Google that has seen its market share increase is FreeWheel, which offers an ad server dedicated to video format and primarily aimed at television companies, a limited segment of the market199.  </w:t>
        <w:br/>
        <w:t xml:space="preserve">197 The players that were interviewed include, besides Google: FreeWheel, Smart AdServer, Verizon, Xandr, AdSpirit, AdZerk, Adhese, AdForm, and OpenX. See references VC 967, VC 1778 to 1785 and 1810 to 1812 (VNC 17329), 1371, VC 1442 (VNC 17339) VC 4319 to 4322 and VC 13372 (VNC 17341), 1446 and 1447, VC 7172 (VNC 17325), 14781 to 14855, VC 4075 (VNC 17323), VC 4498 (VNC 17376).  </w:t>
        <w:br/>
        <w:t xml:space="preserve">198 Estimated data based on part of the year.  </w:t>
        <w:br/>
        <w:t xml:space="preserve">199 Reference VC 1762 (VNC 7290).  </w:t>
        <w:br/>
        <w:t>73</w:t>
      </w:r>
    </w:p>
    <w:p>
      <w:r>
        <w:t xml:space="preserve">Market shares in value in the ad server market for publishers (EEE)  </w:t>
        <w:br/>
        <w:t xml:space="preserve">70%  </w:t>
        <w:br/>
        <w:t xml:space="preserve">60%  </w:t>
        <w:br/>
        <w:t xml:space="preserve">50%  </w:t>
        <w:br/>
        <w:t xml:space="preserve">40%  </w:t>
        <w:br/>
        <w:t xml:space="preserve">30%  </w:t>
        <w:br/>
        <w:t xml:space="preserve">20%  </w:t>
        <w:br/>
        <w:t xml:space="preserve">10%  </w:t>
        <w:br/>
        <w:t xml:space="preserve">0%  </w:t>
        <w:br/>
        <w:t xml:space="preserve">2014 2015 2016 2017 2018 2019 - estimated  </w:t>
        <w:br/>
        <w:t xml:space="preserve">Google competitor 1 competitor 2 competitor 3 competitor 4  </w:t>
        <w:br/>
        <w:t xml:space="preserve">competitor 5 competitor 6 competitor 7 competitor 8 competitor 9  </w:t>
        <w:br/>
        <w:t xml:space="preserve">Source: Google, Freewheel, Smart AdServer, Verizon, Xandr, AdSpirit, AdZerk, Adhese, AdForm, and OpenX  </w:t>
        <w:br/>
        <w:t xml:space="preserve">324. Secondly, it is also relevant to consider Google's market share in volume. Indeed, as stated in paragraph 91, a significant portion of the impressions served by DFP are exempt from ad serving fees, whether under the DFP Small Business offering, the exemption from ad serving fees for impressions from AdX and AdSense, or other commercial offers.  </w:t>
        <w:br/>
        <w:t xml:space="preserve">325. Google has thus specified that between 2016 and 2019, between [40-50] and [50-60] % of the ads served to DFP on behalf of its European clients were not billed.  </w:t>
        <w:br/>
        <w:t xml:space="preserve">Proportion of unbilled ads for each year since 2016 (EEE)200  </w:t>
        <w:br/>
        <w:t xml:space="preserve">Year EEE  </w:t>
        <w:br/>
        <w:t xml:space="preserve">2016 [40-50] %  </w:t>
        <w:br/>
        <w:t xml:space="preserve">2017 [40-50] %  </w:t>
        <w:br/>
        <w:t xml:space="preserve">2018 [50-60] %  </w:t>
        <w:br/>
        <w:t xml:space="preserve">2019 [50-60]%  </w:t>
        <w:br/>
        <w:t xml:space="preserve">Source: Google  </w:t>
        <w:br/>
        <w:t xml:space="preserve">326. The services of instruction have therefore calculated the market share in proportion to the impressions served during the same period. It follows that Google has a market share in volume exceeding approximately [60-70] % over the entire period, and that this market share is also increasing.  </w:t>
        <w:br/>
        <w:t xml:space="preserve">200 Reference VC 13776.  </w:t>
        <w:br/>
        <w:t>74</w:t>
      </w:r>
    </w:p>
    <w:p>
      <w:r>
        <w:t xml:space="preserve">Evolution of Google's market share in volume since 2014 (EEE)  </w:t>
        <w:br/>
        <w:t xml:space="preserve">2014 2015 2016 2017 2018 2019 -  </w:t>
        <w:br/>
        <w:t xml:space="preserve">estimated  </w:t>
        <w:br/>
        <w:t xml:space="preserve">[60-70] % [60-70] % [60-70] % [60-70] % [70-80] % [70-80] %  </w:t>
        <w:br/>
        <w:t xml:space="preserve">Source: Competition Authority201  </w:t>
        <w:br/>
        <w:t xml:space="preserve">327. During this same period, the market share in volume of each of Google's main competitors has never exceeded 20% and has not experienced a similar increase to that of Google.  </w:t>
        <w:br/>
        <w:t xml:space="preserve">Market shares in volume in the ad server market for publishers (EEE)  </w:t>
        <w:br/>
        <w:t xml:space="preserve">80%  </w:t>
        <w:br/>
        <w:t xml:space="preserve">70%  </w:t>
        <w:br/>
        <w:t xml:space="preserve">60%  </w:t>
        <w:br/>
        <w:t xml:space="preserve">50%  </w:t>
        <w:br/>
        <w:t xml:space="preserve">40%  </w:t>
        <w:br/>
        <w:t xml:space="preserve">30%  </w:t>
        <w:br/>
        <w:t xml:space="preserve">20%  </w:t>
        <w:br/>
        <w:t xml:space="preserve">10%  </w:t>
        <w:br/>
        <w:t xml:space="preserve">0%  </w:t>
        <w:br/>
        <w:t xml:space="preserve">2014 2015 2016 2017 2018 2019 - estimated  </w:t>
        <w:br/>
        <w:t xml:space="preserve">Google competitor 1 competitor 2 competitor 3 competitor 4  </w:t>
        <w:br/>
        <w:t xml:space="preserve">Source: Google, Smart, Xandr-APAS, FreeWheel, and Verizon (the colors and numbering used in this graph are not correlated with those used in the previous graph).  </w:t>
        <w:br/>
        <w:t xml:space="preserve">328. In conclusion, Google has maintained particularly high market shares in value and volume during a period when almost all of its competitors have seen their market share decrease, or have exited, or are in the process of exiting the market (as is the case with Verizon Media and OpenX).  </w:t>
        <w:br/>
        <w:t xml:space="preserve">b) On barriers to entry, maintenance, and expansion  </w:t>
        <w:br/>
        <w:t xml:space="preserve">329. It emerges from the elements submitted to the file that there are significant barriers to entry, maintenance, and expansion in the market for ad servers for websites and mobile applications, as:  </w:t>
        <w:br/>
        <w:t xml:space="preserve">201 Some providers were unable to provide the number of impressions served over part of the period, the services of instruction used the assumption that these providers charged a cost per impression similar to the market average, an assumption consistent with the statements of publishers. These providers represented a market share in value of 7% in 2015, 6% in 2016, 3% in 2017, 1% in 2018, and 1% in 2019 (estimated based on data from part of the year).  </w:t>
        <w:br/>
        <w:t>75</w:t>
      </w:r>
    </w:p>
    <w:p>
      <w:r>
        <w:rPr>
          <w:b/>
        </w:rPr>
        <w:t>[Pages 76–78]</w:t>
      </w:r>
    </w:p>
    <w:p>
      <w:r>
        <w:t xml:space="preserve">- publishers use only one, at most two, ad servers202;  </w:t>
        <w:br/>
        <w:t xml:space="preserve">- publishers only put ad server providers back into competition at intervals of several years;  </w:t>
        <w:br/>
        <w:t xml:space="preserve">- changing ad servers is a lengthy, relatively costly, and very risky operation for publishers;  </w:t>
        <w:br/>
        <w:t xml:space="preserve">- developing a competitive ad server requires significant investments;  </w:t>
        <w:br/>
        <w:t>- players with substantial resources, notably Facebook, have abandoned the development of their ad server offering for publishers or have withdrawn from the market.</w:t>
      </w:r>
    </w:p>
    <w:p>
      <w:r>
        <w:t>330. Firstly, the publishers and providers interviewed indicate that the number of ad servers used simultaneously is never more than two; that, in this case, the second server is typically restricted to mobile application support or video format; that there is a strong trend leading players to increasingly favor the use of a single server capable of handling all formats across all web and application supports. In this regard, there is a trend towards longer durations of contracts governing the use of ad servers203.</w:t>
      </w:r>
    </w:p>
    <w:p>
      <w:r>
        <w:t>331. Secondly, publishers indicated that the process of putting different ad server providers into competition is carried out infrequently, typically at intervals of several years. Representatives from M Publicité204 and Orange Advertising205, for example, indicated that their last call for tenders dates back to 2016.</w:t>
      </w:r>
    </w:p>
    <w:p>
      <w:r>
        <w:t>332. Thirdly, given the transfer costs it involves, changing ad servers is a lengthy, costly, and risky operation for a publisher206. The estimates provided by publishers vary, but all indicate a duration of several months and a significant cost relative to the cost of the service provided. These difficulties are confirmed by ad server providers. The company Adform, for example, specified that "the complexity for a publisher to change ad servers depends on the number of websites, the structure of the site, and other requirements. Typically, publishers plan the transition 6 months in advance and invest a lot of time and effort"207.</w:t>
      </w:r>
    </w:p>
    <w:p>
      <w:r>
        <w:t>333. In addition to the intrinsic costs associated with changing ad servers, it is important to highlight the risk of such an operation, particularly the risk of loss of impressions and thus revenue for the publisher. A major publisher stated that it lost several million euros during a change of ad server208.</w:t>
      </w:r>
    </w:p>
    <w:p>
      <w:r>
        <w:t>334. Fourthly, developing an ad server solution requires significant investments, which will be all the more important as the number of formats and supports covered is substantial209. Furthermore, maintaining the competitiveness of an ad server offering also requires significant investments in research and development210.</w:t>
      </w:r>
    </w:p>
    <w:p>
      <w:r>
        <w:t>335. Finally, some competitors have failed to enter the market for ad servers for publishers, even though they had very significant resources. This is the case, for example, with Facebook, which, after acquiring the ad server provider Liverail in 2014, ultimately abandoned this activity in 2016211.</w:t>
      </w:r>
    </w:p>
    <w:p>
      <w:r>
        <w:t xml:space="preserve">c) On the absence of compensatory purchasing power  </w:t>
        <w:br/>
        <w:t xml:space="preserve">336. Publishers are not able to counterbalance Google's market power since:  </w:t>
        <w:br/>
        <w:t xml:space="preserve">- on the one hand, no publisher represents a significant proportion of Google's revenues. Data provided by Google indicates that the largest client of DFP in the EEA represents less than [0-5]% of the service's revenues212;  </w:t>
        <w:br/>
        <w:t>- on the other hand, Google is able to unilaterally impose changes to its technologies against the will of its clients. In this regard, in an internal exchange regarding the implementation of the Unified Pricing Rules, Google employees noted that despite strong opposition from clients regarding the removal of floor prices by publishers at the time of the announcement of the Unified Pricing Rules, most publishers resigned themselves to it when Google indicated that this point was non-negotiable213.</w:t>
      </w:r>
    </w:p>
    <w:p>
      <w:r>
        <w:t xml:space="preserve">d) On Google's unmatched reputation and the existence of reputational effects  </w:t>
        <w:br/>
        <w:t xml:space="preserve">337. Google and its advertising technology offering benefit from an unmatched reputation and reputational effects in the online advertising sector.  </w:t>
        <w:br/>
        <w:t xml:space="preserve">338. Thus, Google is systematically mentioned by the publishers of websites and mobile applications interviewed about the advertising technology providers aimed at them. Furthermore, Google is also systematically mentioned by the advertising technology providers interviewed about the identity of their main competitors.  </w:t>
        <w:br/>
        <w:t>339. Significant reputational effects are, moreover, attached to this notoriety. One publisher interviewed indicated, for example, that they took into account the fact that the DFP ad server was used by their main competitors in their decision to select Google's technology. A competing provider of Google stated: "it is the easy solution, nobody ever gets fired for using Google"214 (free translation215).</w:t>
      </w:r>
    </w:p>
    <w:p>
      <w:r>
        <w:t xml:space="preserve">e) On Google's presence at all levels of the value chain and the resulting synergies  </w:t>
        <w:br/>
        <w:t xml:space="preserve">340. The position held by Google at each level of the online advertising value chain gives it significant market power, as these levels can benefit from technical or legal synergies and where Google has prescriptive power.  </w:t>
        <w:br/>
        <w:t xml:space="preserve">341. Firstly, Google has an unparalleled data collection capability for targeting. In addition to the data collected through the services that Google directly offers to internet users, such as Google Search, Google Maps, or Gmail, Google also collects vast amounts of data through advertising cookies that are present on approximately 80% of websites216. The ability to benefit, directly or indirectly, from the targeting capabilities enabled by this data encourages both advertisers and publishers to use Google's products, as access to these capabilities through third-party technologies is more difficult, for example, due to privacy-related considerations (see in particular the developments on targeting restrictions in paragraph 206).  </w:t>
        <w:br/>
        <w:t xml:space="preserve">342. Secondly, Google holds a significant position in the internet browser market, through its Chrome browser, which represents approximately 60% market share in Europe217. This position allows Google to significantly influence publishers' choices in developing their websites and impacts the choice of advertising technologies used218, including ad server technologies for publishers.  </w:t>
        <w:br/>
        <w:t xml:space="preserve">343. Thirdly, Google's advertising technology offering covers the entire value chain of advertising intermediation. Google is notably present in:  </w:t>
        <w:br/>
        <w:t xml:space="preserve">- the market for programmatic advertising space selling platforms (see developments below in paragraphs 345 and following), related to the market for ad servers for websites and mobile applications;  </w:t>
        <w:br/>
        <w:t xml:space="preserve">- the market for programmatic advertising space buying platforms. Through its AdWord (now Google Ads) and DBM (now integrated into Display &amp; Video 360) offerings, Google can play a significant prescriptive role in the online advertising market unrelated to searches, as evidenced by both the data provided by the company Adomik (which provides market studies to publishers)219 and the final report on online advertising in the UK published on July 1, 2020, by the CMA220. This position has a direct impact on publishers' choice of their ad server solution, for example, as transactions of the Guaranteed Programmatic type or within the framework of private auctions are simplified between an ad server and a DSP provided by the same company221, but also due to technical synergies related to latency or the use of the same cookies;  </w:t>
        <w:br/>
        <w:t>- the market for ad servers for advertisers, where Google's Doubleclick Campaign Manager (integrated into Google Marketing Platform) holds an unmatched position, according to internal documents provided by Google222, as well as the...</w:t>
      </w:r>
    </w:p>
    <w:p>
      <w:r>
        <w:rPr>
          <w:b/>
        </w:rPr>
        <w:t>[Pages 79–81]</w:t>
      </w:r>
    </w:p>
    <w:p>
      <w:r>
        <w:t xml:space="preserve">CMA report on online advertising in the UK223. This position is an advantage as it allows for consistent tracking of the number of impressions between advertisers and publishers, thus avoiding friction related to differences between counting systems224;  </w:t>
        <w:br/>
        <w:t xml:space="preserve">- the market for intermediation platforms for search-related advertising, on which the Commission has recently found that Google holds a dominant position225. This market is linked to the markets for non-search-related advertising because Google offers, via Google Ads, joint campaigns for search results pages and third-party sites. These campaigns, called Search +, represented, in volume, [5-10]% of all Google Ads campaigns in 2014 and [5-10]% in 2018226.  </w:t>
        <w:br/>
        <w:t xml:space="preserve">344. Finally, Google captures a very significant share of global online advertising spending and thus has an unparalleled capacity for investment, particularly in research and development. In 2019, online advertising represented a total market of $333 billion (€297.5 billion)227, of which $134 billion (€119.7 billion)228 was for Google and approximately $70 billion (€62.5 billion)229 for Facebook, the second largest player.  </w:t>
        <w:br/>
        <w:t xml:space="preserve">3. GOOGLE'S AT LEAST PREEMINENT POSITION IN THE MARKET FOR NON-SEARCH AD SPACE PLATFORMS  </w:t>
        <w:br/>
        <w:t xml:space="preserve">345. In 2008, the European Commission considered in the aforementioned Google/DoubleClick decision that Google held a dominant position in the "overall intermediation market" within the EEA "and/or in the two possible sub-segments (search-related ads and non-search-related ads)" of this market.  </w:t>
        <w:br/>
        <w:t xml:space="preserve">346. It emerges from the evidence submitted that, since January 2014, from which point reliable data has been obtained from a large number of suppliers, Google holds at least a preeminent position in the market for non-search ad space platforms.  </w:t>
        <w:br/>
        <w:t xml:space="preserve">347. This assessment is based on Google's revenues and those of competing suppliers (a), on the unparalleled attractiveness of the AdX platform (b), on Google's ability to act independently of the market and the absence of compensating purchasing power (c), as well as on the absence of competitive pressure exerted by direct sales (d). It is further reinforced by Google's unparalleled notoriety and the synergies resulting from its integration across the entire value chain as outlined above.  </w:t>
        <w:br/>
        <w:t xml:space="preserve">223 Competition &amp; Markets Authority: Online platforms and digital advertising, Market study final report Appendix M: intermediation in open display advertising, paragraph 145: In the UK, Google's ad server for advertisers accounts for over 80% of ads served.  </w:t>
        <w:br/>
        <w:t xml:space="preserve">224 Reference 14776.  </w:t>
        <w:br/>
        <w:t xml:space="preserve">225 AdSense decision mentioned above, and decision No. 19-D-26 of December 19, 2019, regarding practices implemented in the sector of search-related online advertising, paragraph 321.  </w:t>
        <w:br/>
        <w:t xml:space="preserve">226 Reference VC 946.  </w:t>
        <w:br/>
        <w:t xml:space="preserve">227 Approximately €297 billion, E-Marketer estimate.  </w:t>
        <w:br/>
        <w:t xml:space="preserve">228 Approximately €120 billion, Alphabet 10-K.  </w:t>
        <w:br/>
        <w:t xml:space="preserve">229 Approximately €62.5 billion, Facebook 10-K.  </w:t>
        <w:br/>
        <w:t>80</w:t>
      </w:r>
    </w:p>
    <w:p>
      <w:r>
        <w:t xml:space="preserve">a) On Google's revenues and those of competing suppliers  </w:t>
        <w:br/>
        <w:t xml:space="preserve">348. As stated above, ad space platforms typically earn revenue by retaining a proportion of the revenues generated by the transactions they organize. These revenues can be gross, corresponding to the total amounts received, or net, corresponding to the revenue retained after payment of the share of expenses due to publishers.  </w:t>
        <w:br/>
        <w:t xml:space="preserve">349. Between 2015 and 2019, Google generated each year, via its various platforms (AdX, AdSense, and AdMob), a gross revenue ranging from [1-5] billion euros to [1-5] billion euros in the EEA, of which between [500-1000] million euros and [1-5] billion euros was via the SSP AdX alone, representing an average annual growth of [20-30]% for the three Google services (AdX, AdSense, and AdMob) and [30-40]% for the SSP AdX alone. The net revenue was between [0-500] million euros and [500-1000] million euros, of which between [0-500] million euros and [0-500] million euros was via the SSP AdX alone, representing an average annual growth of [10-20]% for the three Google services (AdX, AdSense, and AdMob) and [20-30]% for the SSP AdX alone. These revenues are experiencing strong year-on-year growth during this period.  </w:t>
        <w:br/>
        <w:t xml:space="preserve">Gross (in  </w:t>
        <w:br/>
        <w:t xml:space="preserve">2015 2016 2017 2018 2019  </w:t>
        <w:br/>
        <w:t xml:space="preserve">millions of euros  </w:t>
        <w:br/>
        <w:t xml:space="preserve">Total Google [1000-5000] € [1000-5000] € [1000-5000] € [1000-5000] € [1000-5000] €  </w:t>
        <w:br/>
        <w:t xml:space="preserve">AdX [500-1000] € [1000-5000] € [1000-5000] € [1000-5000] € [1000-5000] €  </w:t>
        <w:br/>
        <w:t xml:space="preserve">AdSense [500-1000] € [500-1000] € [500-1000] € [500-1000] € [500-1000] €  </w:t>
        <w:br/>
        <w:t xml:space="preserve">AdMob [0-500] € [0-500] € [0-500] € [500-1000] € [500-1000] €  </w:t>
        <w:br/>
        <w:t xml:space="preserve">Source: Google  </w:t>
        <w:br/>
        <w:t>80</w:t>
      </w:r>
    </w:p>
    <w:p>
      <w:r>
        <w:t xml:space="preserve">Net (in millions  </w:t>
        <w:br/>
        <w:t xml:space="preserve">2015 2016 2017 2018 2019  </w:t>
        <w:br/>
        <w:t xml:space="preserve">of euros  </w:t>
        <w:br/>
        <w:t xml:space="preserve">Total Google [0-500] € [500-1000] € [500-1000] € [500-1000] € [500-1000] €  </w:t>
        <w:br/>
        <w:t xml:space="preserve">AdX [0-500] € [0-500] € [0-500] € [0-500] € [0-500] €  </w:t>
        <w:br/>
        <w:t xml:space="preserve">AdSense [0-500] € [0-500] € [0-500] € [0-500] € [0-500] €  </w:t>
        <w:br/>
        <w:t xml:space="preserve">AdMob [0-500] € [0-500] € [0-500] € [0-500] € [0-500] €  </w:t>
        <w:br/>
        <w:t xml:space="preserve">Source: Google  </w:t>
        <w:br/>
        <w:t xml:space="preserve">350. Over the same period, the gross revenue generated in the EEA by each of the competing platforms surveyed never exceeded €210,000,000, and it appears from the evidence submitted that no competing supplier has been able to generate gross revenue exceeding that of AdX.  </w:t>
        <w:br/>
        <w:t xml:space="preserve">351. The following graphs illustrate the evolution of revenues generated by Google's platforms and their main surveyed competitors over the period230:  </w:t>
        <w:br/>
        <w:t xml:space="preserve">€2,500  </w:t>
        <w:br/>
        <w:t xml:space="preserve">€2,000  </w:t>
        <w:br/>
        <w:t xml:space="preserve">€1,500  </w:t>
        <w:br/>
        <w:t xml:space="preserve">€1,000  </w:t>
        <w:br/>
        <w:t xml:space="preserve">€500  </w:t>
        <w:br/>
        <w:t xml:space="preserve">€0  </w:t>
        <w:br/>
        <w:t xml:space="preserve">2014 2015 2016 2017 2018 2019 - estimated  </w:t>
        <w:br/>
        <w:t xml:space="preserve">Source: Google, Xandr, Rubicon, AdForm, Outbrain, Taboola, Index, Smart, Verizon, Telaria, Teads  </w:t>
        <w:br/>
        <w:t xml:space="preserve">230 Source: calculation by the instruction services based on data provided by the listed companies. The revenues considered are those from EEA publishers. References VC 1098, 1099 and 12 201, VC 4433 to 4438 (VNC 17341), VC 1567 to 1574 (VNC 17578), VC 4073 and 4074 (VNC 17323), 7334, 7110, VC 17159 to 17162 (VNC Google 17621), 1458, VC 7056 and 7057 (VNC 17339), VC 4183 and 4184 (VNC 17337), 14603 and 14604  </w:t>
        <w:br/>
        <w:t xml:space="preserve">81  </w:t>
        <w:br/>
        <w:t xml:space="preserve">million  </w:t>
        <w:br/>
        <w:t xml:space="preserve">Gross revenues of AdX, AdMob, and AdSense and their main competitors  </w:t>
        <w:br/>
        <w:t xml:space="preserve">AdX AdSense AdMob Competitor 1 Competitor 2  </w:t>
        <w:br/>
        <w:t xml:space="preserve">Competitor 3 Competitor 4 Competitor 5 Competitor 6 Competitor 7  </w:t>
        <w:br/>
        <w:t>Competitor 8 Competitor 9 Competitor 10</w:t>
      </w:r>
    </w:p>
    <w:p>
      <w:r>
        <w:rPr>
          <w:b/>
        </w:rPr>
        <w:t>[Pages 82–84]</w:t>
      </w:r>
    </w:p>
    <w:p>
      <w:r>
        <w:t xml:space="preserve">4,500 €  </w:t>
        <w:br/>
        <w:t xml:space="preserve">4,000 €  </w:t>
        <w:br/>
        <w:t xml:space="preserve">3,500 €  </w:t>
        <w:br/>
        <w:t xml:space="preserve">3,000 €  </w:t>
        <w:br/>
        <w:t xml:space="preserve">2,500 €  </w:t>
        <w:br/>
        <w:t xml:space="preserve">2,000 €  </w:t>
        <w:br/>
        <w:t xml:space="preserve">1,500 €  </w:t>
        <w:br/>
        <w:t xml:space="preserve">1,000 €  </w:t>
        <w:br/>
        <w:t xml:space="preserve">500 €  </w:t>
        <w:br/>
        <w:t xml:space="preserve">- €  </w:t>
        <w:br/>
        <w:t xml:space="preserve">2014 2015 2016 2017 2018 2019 - estimated  </w:t>
        <w:br/>
        <w:t>Source: Google, Xandr, Rubicon, AdForm, Outbrain, Taboola, Index, Smart, Verizon, Telaria, Teads</w:t>
      </w:r>
    </w:p>
    <w:p>
      <w:r>
        <w:t>352. These graphs should be compared with the data provided by the company Adomik. The data provided by Adomik only concerns publishers whose revenues exceed one million euros, and only a portion of the EEA countries. Adomik also specifies that the data provided may over-represent the share of the Xandr service231. Finally, this data only represents the services that can be integrated through an ad server.</w:t>
      </w:r>
    </w:p>
    <w:p>
      <w:r>
        <w:t xml:space="preserve">Observation of the distribution of revenues generated by publishers through each of the main advertising space selling platforms conducted by the company Adomik for the year 2019232  </w:t>
        <w:br/>
        <w:t xml:space="preserve">France United Kingdom Netherlands Spain  </w:t>
        <w:br/>
        <w:t xml:space="preserve">Google [40-50] % [50-60] % [50-60] % [70-80] %  </w:t>
        <w:br/>
        <w:t xml:space="preserve">Xandr [30 – 40]% [30 – 40]% [30 – 40] % [20 – 30] %  </w:t>
        <w:br/>
        <w:t xml:space="preserve">Rubicon [5 – 10]% [0 – 5]% [0 – 5] % [0 – 5] %  </w:t>
        <w:br/>
        <w:t xml:space="preserve">Index [0 – 5] % [0 – 5]% N/A [0 – 5] %  </w:t>
        <w:br/>
        <w:t xml:space="preserve">Exchange  </w:t>
        <w:br/>
        <w:t xml:space="preserve">OpenX N/A [0 – 5]% N/A N/A  </w:t>
        <w:br/>
        <w:t xml:space="preserve">Pubmatic N/A [0 – 5]% N/A N/A  </w:t>
        <w:br/>
        <w:t xml:space="preserve">Improve N/A N/A [5 – 10] % N/A  </w:t>
        <w:br/>
        <w:t xml:space="preserve">Digital  </w:t>
        <w:br/>
        <w:t xml:space="preserve">Smart [10 – 20]% N/A N/A N/A  </w:t>
        <w:br/>
        <w:t xml:space="preserve">FreeWheel [0 – 5] % N/A N/A N/A  </w:t>
        <w:br/>
        <w:t>Source: Adomik</w:t>
      </w:r>
    </w:p>
    <w:p>
      <w:r>
        <w:t xml:space="preserve">231 VC 7535 (VNC 17283).  </w:t>
        <w:br/>
        <w:t>232 VC 7487 (VNC 12117) and 13130 and following (VNC 17394 and following).</w:t>
      </w:r>
    </w:p>
    <w:p>
      <w:r>
        <w:t>353. These data show that the share of revenues generated by publishers via AdX is between [40-50] and [70-80] % in France, Spain, the United Kingdom, and the Netherlands.</w:t>
      </w:r>
    </w:p>
    <w:p>
      <w:r>
        <w:t xml:space="preserve">b) On the unmatched attractiveness of the AdX platform  </w:t>
        <w:br/>
        <w:t xml:space="preserve">354. As stated above, AdX is the only advertising space selling platform capable of fully accessing the demand from buyers using the Google Ads (formerly Google Adwords) and Google DV360 (formerly Doubleclick Bid Manager) purchasing platforms.  </w:t>
        <w:br/>
        <w:t xml:space="preserve">355. Firstly, purchases that can be made by Google Ads via third-party selling platforms are, at the very least, marginal compared to the purchases made by Google Ads on AdX. As a result, the revenue that a publisher can obtain from Google Ads without going through AdX is significantly lower than the revenue that can be obtained through AdX.  </w:t>
        <w:br/>
        <w:t xml:space="preserve">356. Secondly, the revenue that a publisher can obtain from DV360 through competing platforms to AdX is also lower than that which can be obtained through AdX since, on the one hand, certain features of DV360 restrict purchases to the AdX platform only and, on the other hand, DV360 favors purchases on this platform.  </w:t>
        <w:br/>
        <w:t>357. Moreover, the combination of the DV360 and Google Ads platforms constitutes the leading programmatic buyer of advertising spaces. The company Adomik thus observes that the combined share of these two services is over 40% in France, the United Kingdom, the Netherlands, and Spain233. Finally, the CMA observes that a significant portion of the clients of the Google Ads and Google DV360 DSPs only use a single purchasing platform234.</w:t>
      </w:r>
    </w:p>
    <w:p>
      <w:r>
        <w:t xml:space="preserve">c) On the ability to act independently of the market and the absence of compensatory purchasing power  </w:t>
        <w:br/>
        <w:t xml:space="preserve">358. Google is the only provider of an advertising space selling platform capable of breaking free from market standards by imposing its own technical solutions on competing providers and unfavorable changes to the usage rules of its services on publishers. Thus:  </w:t>
        <w:br/>
        <w:t xml:space="preserve">- in the context of the entry into force of the GDPR, while almost all market players had adopted a mechanism for transmitting user consents known as the Transparency and Consent Framework (“TCF”)235, Google chose to adopt a different mechanism. In doing so, Google forced providers wishing to interact with its platforms to make the corresponding developments for both mechanisms236;  </w:t>
        <w:br/>
        <w:t xml:space="preserve">233 VC 7487 and 13129 to 13132.  </w:t>
        <w:br/>
        <w:t xml:space="preserve">234 Competition &amp; Markets Authority: Online platforms and digital advertising, Market study final report.  </w:t>
        <w:br/>
        <w:t xml:space="preserve">235 See decision No. 21-D-07 of March 17, 2021, regarding a request for interim measures submitted by the associations Interactive Advertising Bureau France, Mobile Marketing Association France, Union Des Entreprises de Conseil et Achat Media, and Syndicat des Régies Internet in the mobile advertising sector on iOS.  </w:t>
        <w:br/>
        <w:t>236 VC 13 377 (VNC 14391).</w:t>
      </w:r>
    </w:p>
    <w:p>
      <w:r>
        <w:t xml:space="preserve">- in 2020, Google ultimately agreed to participate in the TCF, but simultaneously introduced new usage rules237 that prohibit the dissemination of ads – even non-targeted – by Google Ad Manager services in the absence of the publisher transmitting the user's consent to create a "personalized advertising profile." In doing so, Google imposed on publishers to allow it to use their data to build its own audience segments, even though, according to Smart, "a buyer does not – technically speaking – need to perform this processing for advertising targeting"238. In particular, neither Smart nor Xandr perform such processing;  </w:t>
        <w:br/>
        <w:t>- AdX is the only advertising inventory selling platform that does not accept being queried according to header bidding terms, at least among the main SSPs (see development in paragraphs 218 and following).</w:t>
      </w:r>
    </w:p>
    <w:p>
      <w:r>
        <w:t xml:space="preserve">d) On the competitive pressure exerted by direct sales on advertising space selling platforms  </w:t>
        <w:br/>
        <w:t xml:space="preserve">359. Finally, the Authority notes that the freedom of action available to AdX is not restricted by the competitive pressure exerted by direct sales. Indeed, as already noted by the European Commission in its Doubleclick and AdSense decisions mentioned above, direct sales are not substitutable for programmatic sales. This observation remains valid today, given the functioning of the market.  </w:t>
        <w:br/>
        <w:t xml:space="preserve">360. Firstly, direct sales incur significant transaction costs, as they require the establishment of large-scale commercial services239. A large number of publishers thus do not have the material capability to carry out direct sales. Furthermore, even when publishers have shared commercial teams within a common management for several websites or mobile applications, only a portion of these sites and applications is concerned by direct sales, and in varying proportions. In fact, an irreducible share of the inventory of the majority of publishers – except for companies that have developed their own programmatic selling system, such as Facebook or Twitter – is never subject to direct sales240.  </w:t>
        <w:br/>
        <w:t xml:space="preserve">361. Next, when publishers are able to make direct sales, programmatic sales are typically used to market unsold inventories. As indicated above, the remuneration received by a publisher for a programmatic sale is indeed significantly lower than that for a direct sale.  </w:t>
        <w:br/>
        <w:t xml:space="preserve">362. Finally, direct sales and programmatic sales do not meet the same needs of advertisers. Several publishers have indicated, for example, that programmatic sales are most often used to generate an immediate response from internet users, while direct sales are generally used to build brand image241.  </w:t>
        <w:br/>
        <w:t xml:space="preserve">237 See: https://support.google.com/admanager/answer/9805023?hl=en&amp;ref_topic=28145  </w:t>
        <w:br/>
        <w:t xml:space="preserve">238 See: https://www.journaldunet.com/ebusiness/publicite/1491759-comment-google-veut-recuperer-la-data-des-editeurs-gratuitement/  </w:t>
        <w:br/>
        <w:t xml:space="preserve">239 In this sense, see, for example, VC 7385.  </w:t>
        <w:br/>
        <w:t xml:space="preserve">240 In this sense, see, for example, VC 7540.  </w:t>
        <w:br/>
        <w:t>241 VC 7541.</w:t>
      </w:r>
    </w:p>
    <w:p>
      <w:r>
        <w:rPr>
          <w:b/>
        </w:rPr>
        <w:t>[Pages 85–87]</w:t>
      </w:r>
    </w:p>
    <w:p>
      <w:r>
        <w:t xml:space="preserve">E. MERITS OF THE NOTIFIED COMPLAINTS  </w:t>
        <w:br/>
        <w:t xml:space="preserve">1. REMINDER OF THE APPLICABLE PRINCIPLES  </w:t>
        <w:br/>
        <w:t xml:space="preserve">363. A company in a dominant position has a particular responsibility not to harm effective and undistorted competition in the internal market through conduct that is foreign to competition on merits242. A system of undistorted competition can only be guaranteed if equal opportunities among different economic operators are ensured243. The material scope of the particular responsibility weighing on a dominant company must be assessed in light of the specific circumstances of each case244.  </w:t>
        <w:br/>
        <w:t xml:space="preserve">364. Articles 102 TFEU and L. 420-2 of the Commercial Code prohibit abusive practices that are likely to cause direct harm to consumers, but also those that cause indirect harm due to their impact on the competitive structure of markets245.  </w:t>
        <w:br/>
        <w:t xml:space="preserve">365. The notion of abuse is an objective concept that targets the behavior of a company in a dominant position that is likely to influence the structure of a market where, precisely due to the presence of the company in question, the degree of competition is already weakened and which has the effect of obstructing, by resorting to means different from those governing normal competition of products or services based on the performance of economic operators, the maintenance of the degree of competition still existing in the market or the development of that competition246.  </w:t>
        <w:br/>
        <w:t xml:space="preserve">366. Articles 102 TFEU and L. 420-2 of the Commercial Code not only prohibit practices by companies in a dominant position aimed at reinforcing that position247, but also the behavior of companies in a dominant position in a given market that tends to extend that position into a neighboring but distinct market, thereby distorting competition248. Thus, the fact that the abusive behavior of a dominant company produces its effects in a market distinct from the dominated market does not preclude the application of Articles 102 TFEU and L. 420-2 of the Commercial Code249.  </w:t>
        <w:br/>
        <w:t xml:space="preserve">367. Furthermore, when certain specific circumstances are met, behavior implemented in a market other than the dominated market and which has effects either on the latter or on the non-dominated market itself may be qualified as abusive. These specific circumstances must be such as to establish a link between the behavior of a company in the non-dominated market and the dominant position held by that company in the other market. They may notably result from the interconnectedness of these markets and the preeminence of that company in the non-dominated market250.  </w:t>
        <w:br/>
        <w:t xml:space="preserve">368. Next, while Articles 102 TFEU and L. 420-2 of the Commercial Code mention certain abusive practices, these are only mentioned as illustrative examples and do not constitute an exhaustive list of practices that may be qualified as abuse of a dominant position251.  </w:t>
        <w:br/>
        <w:t xml:space="preserve">369. In order to determine whether the company in a dominant position has abused its position, it is necessary to assess all relevant factual circumstances and examine whether the practices tend, for example, to limit market access for competitors, to impose on them a competitive disadvantage by applying less favorable technical (notably interoperability252) or legal conditions compared to its own products or services253, to reinforce the dominant position by distorting competition254, or whether these practices fall within or outside of competition on merits255.  </w:t>
        <w:br/>
        <w:t xml:space="preserve">370. The Court of Justice has held that a practice implemented by a dominant company may be abusive and prohibited by Article 102 TFEU "regardless of the means or methods used," as long as that practice has anti-competitive effects256. It follows from the nature of the obligations imposed by Articles L. 420-2 of the Commercial Code and 102 TFEU that, in specific circumstances, companies in a dominant position may be deprived of the right to adopt behaviors or to perform acts that would not be abusive in themselves if adopted or performed by non-dominant companies257.  </w:t>
        <w:br/>
        <w:t xml:space="preserve">371. While demonstrating an anti-competitive intent is not necessary to establish an abuse, it is nevertheless a criterion that may be taken into account in assessing behavior under Article 102 TFEU258.  </w:t>
        <w:br/>
        <w:t xml:space="preserve">372. Regarding the effects of the behavior of the dominant company, Articles 102 TFEU and L. 420-2 of the Commercial Code prohibit behaviors that tend to restrict competition or are likely to have such an effect259, without the necessity for that effect to actually materialize260. Such a restriction occurs not only when the behavior of the dominant company makes market access impossible for competitors, but also when that behavior is likely to make such access more difficult, thereby interfering with the structure of competition in that market261. Customers and users should have the opportunity to benefit from a normal competitive situation, and competitors should have the capacity to engage in competition on merits for the entirety of the market, and not just a limited share of it262. Therefore, a company in a dominant position cannot justify abusive behavior in a limited segment of the market by the fact that its competitors retain the ability to be competitive in other segments263.  </w:t>
        <w:br/>
        <w:t>373. Nevertheless, it is possible for a dominant company to provide a justification for behavior that may be prohibited by Articles 102 TFEU and L. 420-2 of the Commercial Code. To this end, a dominant company may establish either that its behavior is objectively necessary or that the resulting exclusion effect can be offset by efficiency gains that also benefit consumers264.</w:t>
      </w:r>
    </w:p>
    <w:p>
      <w:r>
        <w:rPr>
          <w:b/>
        </w:rPr>
        <w:t>[Pages 88–90]</w:t>
      </w:r>
    </w:p>
    <w:p>
      <w:r>
        <w:t xml:space="preserve">2. THE MORE FAVORABLE TREATMENT BY DFP OF ADX COMPARED TO THIRD-PARTY AD SPACE SALES PLATFORMS  </w:t>
        <w:br/>
        <w:t xml:space="preserve">a) On the more favorable nature  </w:t>
        <w:br/>
        <w:t xml:space="preserve">374. As stated in paragraphs 145 and following, SSPs other than AdX can, depending on the period considered, use several solutions – possibly simultaneously – to access the inventories of publishers using the DFP ad server, namely:  </w:t>
        <w:br/>
        <w:t xml:space="preserve">- being integrated via an ad tag within the ad waterfall configured by the publisher since at least 2014;  </w:t>
        <w:br/>
        <w:t xml:space="preserve">- being integrated according to the terms of header bidding, since the emergence of the latter around 2015;  </w:t>
        <w:br/>
        <w:t xml:space="preserve">- being "performance partners" within the framework of the Open Bidding feature offered by Google since April 2018.  </w:t>
        <w:br/>
        <w:t xml:space="preserve">375. None of these modalities allows for fair merit-based competition between third-party SSPs and AdX for the purchase of inventories from publishers using DFP.  </w:t>
        <w:br/>
        <w:t xml:space="preserve">The case of integration via ad tag within mediation  </w:t>
        <w:br/>
        <w:t xml:space="preserve">376. As stated in paragraphs 147 and following, SSPs integrated into DFP within the framework of mediation are subject to significant disadvantages due to their inability to make an offer for each impression, as well as regarding the right of last look granted to AdX. Consequently, SSPs have, when they had the opportunity, favored integration within the framework of header bidding over integrations within the framework of mediation.  </w:t>
        <w:br/>
        <w:t xml:space="preserve">The case of integration according to the terms of header bidding prior to the entry into force of the unified first-price auction  </w:t>
        <w:br/>
        <w:t xml:space="preserve">377. As stated in paragraphs 152 and following, prior to the entry into force of the unified first-price auction, SSPs integrated within the framework of header bidding were subject to significant disadvantages, related to the fact that Google used the bid amount from SSPs to adjust the price of its own services. The exploitation of this information allowed Google:  </w:t>
        <w:br/>
        <w:t xml:space="preserve">- to confer a right of last look to AdX;  </w:t>
        <w:br/>
        <w:t xml:space="preserve">- to dynamically adjust AdX's revenue share;  </w:t>
        <w:br/>
        <w:t xml:space="preserve">- to optimize the operation of the AdX service.  </w:t>
        <w:br/>
        <w:t xml:space="preserve">The case of integration according to the terms of header bidding after the entry into force of the Unified Pricing Rules  </w:t>
        <w:br/>
        <w:t xml:space="preserve">378. As stated in paragraphs 209 and following, while the changes to the operation of DFP that occurred in September 2019 ended certain advantages enjoyed by AdX and Open Bidding performance partners compared to SSPs integrated in header bidding, this change also created new advantages for Google by providing strategic and non-reproducible information exclusively to buyers using AdX and performance partners. Furthermore, this change significantly limited the ability of publishers to set reserve prices based on multiple criteria, while AdX's performance is, with regard to certain criteria (such as price or lack of compatibility with header bidding), inferior to that of its competitors.  </w:t>
        <w:br/>
        <w:t xml:space="preserve">The case of integration as a "performance partner" within the framework of the Open Bidding feature  </w:t>
        <w:br/>
        <w:t xml:space="preserve">379. As stated in paragraphs 200 and following, third-party SSPs integrated within the framework of the Open Bidding feature are subject to several disadvantages compared to AdX, namely:  </w:t>
        <w:br/>
        <w:t xml:space="preserve">- a more limited targeting capability;  </w:t>
        <w:br/>
        <w:t xml:space="preserve">- the inability to use innovative formats;  </w:t>
        <w:br/>
        <w:t xml:space="preserve">- the inability to benefit from the effects of integration with an ad buying platform;  </w:t>
        <w:br/>
        <w:t xml:space="preserve">- a competitive disadvantage related to the revenue share retained by Google.  </w:t>
        <w:br/>
        <w:t xml:space="preserve">380. Moreover, performance partner SSPs have also, since September 2019, and on the same basis as SSPs integrated in header bidding, been unable to negotiate more favorable terms with publishers in exchange, for example, for higher quality ad content or a lower revenue share.  </w:t>
        <w:br/>
        <w:t xml:space="preserve">381. Finally, it emerges from the findings made previously that, although it allows for better access to inventories for which header bidding is not available, the Open Bidding feature does not enable more effective competition between AdX and third-party SSPs for inventories on which header bidding is already available.  </w:t>
        <w:br/>
        <w:t xml:space="preserve">b) On the anticompetitive effects of the practice  </w:t>
        <w:br/>
        <w:t xml:space="preserve">382. It follows from the elements submitted to the file that the practices outlined above have significantly degraded the attractiveness of competing SSPs to AdX and that this degradation has allowed AdX to maintain its retained revenue share at a high level.  </w:t>
        <w:br/>
        <w:t xml:space="preserve">The degradation of the attractiveness of third-party SSPs  </w:t>
        <w:br/>
        <w:t xml:space="preserve">On the ability to bid for the inventories of publishers using DFP  </w:t>
        <w:br/>
        <w:t xml:space="preserve">383. Regardless of the interoperability modality implemented, an SSP wishing to purchase the inventories of a publisher using DFP will be subject to a handicap at least as constraining as that faced by an SSP contacted according to the terms of header bidding.  </w:t>
        <w:br/>
        <w:t xml:space="preserve">384. As indicated above, prior to September 2019, this handicap results from the necessity to have, for a given impression, buyers with a net willingness to pay that is several tens of percentage points higher than the net willingness to pay of the best buyer present on the AdX platform. These amounts are significant compared to the revenue of SSPs, which generally ranges between 10 and 15% of the transaction amounts. Therefore, an SSP wishing to fully compensate for its handicap with a lower revenue share would have to forgo a significant fraction, if not all, of its revenues.  </w:t>
        <w:br/>
        <w:t xml:space="preserve">385. The introduction of the unified first-price auction and the Unified Pricing Rules in 2019 modified the advantage that AdX has over third-party SSPs, without eliminating it. It also introduced additional barriers particularly restricting the ability of third-party SSPs to compensate for the advantages enjoyed by AdX.  </w:t>
        <w:br/>
        <w:t xml:space="preserve">On the effect on the market for ad space sales platforms  </w:t>
        <w:br/>
        <w:t xml:space="preserve">386. By degrading the attractiveness of third-party SSPs for the purchase of inventories from publishers using DFP, the practice has limited the opportunities for these SSPs.  </w:t>
        <w:br/>
        <w:t xml:space="preserve">387. Firstly, DFP represents a major source of inventories for SSPs. On the one hand, DFP has a market share in volume exceeding 60% in the market for ad servers for web and mobile app publishers; on the other hand, other sources of inventories, namely publishers such as Twitter and Facebook using an in-house server solution and publishers not using an ad server, represent a marginal share of the inventories accessible to SSPs. In particular, the sites of publishers not using an ad server generally have low visibility and a limited audience, so their inventories offer limited attractiveness for advertisers. Furthermore, in the absence of an ad server, these publishers cannot compete the intermediation services, and therefore only use a single service, choosing it based on the total remuneration it can offer, and thus notably on the fill rate of the inventories. An intermediation service, to be attractive for this category, must be connected with a large number of buyers. The barriers to entry in this segment are therefore significantly higher than for the inventories of publishers competing multiple SSPs per impression, especially since AdSense and Admob hold a significant position in this segment, notably due to the demand controlled by Google through the DV360 and Adwords services.  </w:t>
        <w:br/>
        <w:t xml:space="preserve">388. Secondly, the degradation of the attractiveness of SSPs for a majority of accessible inventories has an effect on their investment capacity, as SSPs must cover the same fixed costs, particularly engineering, while their ability to generate revenue is affected. The limitation of access to a major portion of the available inventory also decreases the effectiveness of the cookie matching processes of SSPs, and thus reduces the attractiveness of SSPs for DSPs, including for the inventories of publishers not using DFP, since SSPs cannot offer advertisers targeting as precise and effective as that provided by Google's tools265.  </w:t>
        <w:br/>
        <w:t xml:space="preserve">389. In conclusion, the practice is likely to restrict the ability of third-party SSPs to compete with AdX for the purchase of inventories from DFP users and, consequently, is likely to have an exclusionary effect on the market for ad space sales platforms.  </w:t>
        <w:br/>
        <w:t xml:space="preserve">The maintenance of high prices by AdX  </w:t>
        <w:br/>
        <w:t xml:space="preserve">390. Since 2015, AdX has been able to maintain a stable revenue share and, at the end of the period, higher than the average of its direct competitors, without this hindering its growth.  </w:t>
        <w:br/>
        <w:t xml:space="preserve">391. For their part, the competitors most comparable to AdX:  </w:t>
        <w:br/>
        <w:t>- have retained a revenue share lower than AdX throughout the period, as was the case for Xandr and Index Exchange; or</w:t>
      </w:r>
    </w:p>
    <w:p>
      <w:r>
        <w:rPr>
          <w:b/>
        </w:rPr>
        <w:t>[Pages 91–93]</w:t>
      </w:r>
    </w:p>
    <w:p>
      <w:r>
        <w:t xml:space="preserve">- have significantly reduced the share of revenue they retain, such that the share of revenue retained at the end of the period is lower than the share of revenue retained by AdX. In particular, Rubicon Project had to progressively and significantly reduce its retained revenue share in 2017 – thereby degrading its profitability – in order to maintain transaction volume growth on its platform266.  </w:t>
        <w:br/>
        <w:t xml:space="preserve">392. The following table presents the share of revenue retained by the main SSPs in the EEA since 2015:  </w:t>
        <w:br/>
        <w:t xml:space="preserve">2015 2016 2017 2018 2019267  </w:t>
        <w:br/>
        <w:t xml:space="preserve">AdX [10-20] % [10-20] % [10-20] % [10-20] % [10-20] %  </w:t>
        <w:br/>
        <w:t xml:space="preserve">AdX - excluding Programmatic Guaranteed268 [10-20] % [10-20] % [10-20] % [10-20] % [10-20] %  </w:t>
        <w:br/>
        <w:t xml:space="preserve">Xandr [5-10] % [5-10] % [5-10]% [5-10]%  </w:t>
        <w:br/>
        <w:t xml:space="preserve">Rubicon Project [20-30] % [20-30] % [10-20] % [10-20] % [10-20] %  </w:t>
        <w:br/>
        <w:t xml:space="preserve">Index Exchange [10-20] % [10-20] % [10-20] %  </w:t>
        <w:br/>
        <w:t xml:space="preserve">Source: analysis of data provided by Google, Xandr, Rubicon, and Index Exchange  </w:t>
        <w:br/>
        <w:t xml:space="preserve">393. Furthermore, maintaining higher prices than its direct competitors has not prevented AdX from achieving higher absolute growth and comparable, if not, at certain times, superior relative growth than that of its competitors.  </w:t>
        <w:br/>
        <w:t xml:space="preserve">394. The following table presents the absolute and relative growth of gross revenues of the main SSPs in the EEA (millions of euros) since 2015:  </w:t>
        <w:br/>
        <w:t xml:space="preserve">2019 -  </w:t>
        <w:br/>
        <w:t xml:space="preserve">2015 2016 2017 2018 estimate270  </w:t>
        <w:br/>
        <w:t xml:space="preserve">AdX Non available +[250-500] +[250-500] +[250-500] (10- +[250-500] (30-40 %) (30-40 %) (20 %) (20 %)  </w:t>
        <w:br/>
        <w:t xml:space="preserve">Xandr Non available +[50-100] +[50 – 100] +[0 – 25] [60 – 70]% ([20 – 30]%) ([0 – 10]%)  </w:t>
        <w:br/>
        <w:t xml:space="preserve">Rubicon Project Non available +[150-200] +[0 – 25] -[10 – 20] ([250 – 300]%) ([10 – 20]%) (-[0 – 10] %)  </w:t>
        <w:br/>
        <w:t xml:space="preserve">Index Exchange Non available +[50 – 100] -[0 -25] ([100 – 150] %) (-[0 – 10] %)  </w:t>
        <w:br/>
        <w:t xml:space="preserve">Source: analysis of data provided by Google, Xandr, Rubicon, and Index Exchange  </w:t>
        <w:br/>
        <w:t xml:space="preserve">395. In conclusion, the practice has allowed AdX to maintain high prices for the purchase of inventory from publishers using DFP compared to third-party SSPs, regardless of the mode of interaction of the latter with DFP, without these prices hindering AdX's growth. The practice has also limited the ability of AdX's competitors to maintain their revenue share (Xandr, Index Exchange), and even led them to degrade their profitability to maintain their transaction volume (Rubicon Project).  </w:t>
        <w:br/>
        <w:t xml:space="preserve">c) On potential objective justifications  </w:t>
        <w:br/>
        <w:t xml:space="preserve">396. The practices of Google outlined above do not appear to be objectively justified, and no efficiency gains shared with publishers or advertisers are capable of compensating for their anticompetitive effects.  </w:t>
        <w:br/>
        <w:t xml:space="preserve">397. This is particularly the case for:  </w:t>
        <w:br/>
        <w:t xml:space="preserve">- the use of the offer – actual or estimated – of competing SSPs in the calculation of the AdX bid floor and within the framework of the dynamic revenue share feature;  </w:t>
        <w:br/>
        <w:t xml:space="preserve">- the contractual conditions for using the Open Bidding feature;  </w:t>
        <w:br/>
        <w:t xml:space="preserve">- the amount retained by Google in the transactions carried out by Open Bidding yield partners;  </w:t>
        <w:br/>
        <w:t xml:space="preserve">- the absence of a mechanism to provide information on the auction process to SSPs connected via header bidding;  </w:t>
        <w:br/>
        <w:t xml:space="preserve">- the standardization of reserve prices that may be applied to SSPs by publishers.  </w:t>
        <w:br/>
        <w:t xml:space="preserve">398. First, the use of the offer from competing SSPs within the dynamic allocation and dynamic revenue share features is not technically necessary for their operation and does not provide additional revenue to publishers. Moreover, it does not guarantee that the advertiser with the highest willingness to pay wins the impression, and therefore does not provide a benefit to buyers.  </w:t>
        <w:br/>
        <w:t xml:space="preserve">399. Second, several of the conditions imposed on Open Bidding yield partners do not reflect technical or legal constraints and do not provide benefits to publishers or advertisers.  </w:t>
        <w:br/>
        <w:t xml:space="preserve">400. Third, the absence of transmission of the "minimum_bid_to_win" information to purchasing SSPs conducting transactions via header bidding, as opposed to buyers who participated in an auction on AdX and Open Bidding yield partners, does not result from technical or legal constraints.  </w:t>
        <w:br/>
        <w:t xml:space="preserve">401. Finally, the standardization of reserve prices imposed by the Unified Pricing Rules is not technically necessary within the framework of a single first-price auction.  </w:t>
        <w:br/>
        <w:t xml:space="preserve">Conclusion  </w:t>
        <w:br/>
        <w:t xml:space="preserve">402. The more favorable treatment of AdX by DFP is likely to have, and has already had, significant anticompetitive effects. Furthermore, this practice does not appear to be objectively justified.  </w:t>
        <w:br/>
        <w:t xml:space="preserve">3. THE MORE FAVORABLE TREATMENT BY ADX OF DFP COMPARED TO THIRD-PARTY AD SERVERS  </w:t>
        <w:br/>
        <w:t xml:space="preserve">a) On the more favorable nature  </w:t>
        <w:br/>
        <w:t xml:space="preserve">403. As stated above, while third-party ad servers, that is to say, other than DFP, can be used in conjunction with AdX, such use is only possible under conditions of severely limited interoperability, as Google imposes technical and contractual limitations on the use of the AdX platform via a third-party ad server.  </w:t>
        <w:br/>
        <w:t xml:space="preserve">404. The interaction modalities offered to clients of third-party ad servers are, therefore, inferior both to the interaction modalities between DFP and AdX, within the framework of dynamic allocation, and to the interaction modalities between third-party ad servers and third-party demand sources, particularly within the framework of header bidding. Consequently, they do not allow third-party servers to meet the demand arising from AdX under conditions equivalent to those offered by DFP.  </w:t>
        <w:br/>
        <w:t xml:space="preserve">b) On the anticompetitive effects of the practice  </w:t>
        <w:br/>
        <w:t xml:space="preserve">405. By not allowing competing ad server providers to meet the demand from AdX under conditions equivalent to those offered by DFP, Google significantly degrades their competitiveness and limits their ability to compete on merits. This practice has thus reinforced DFP's dominant position in the market for ad servers aimed at publishers of websites and mobile applications.  </w:t>
        <w:br/>
        <w:t xml:space="preserve">406. First, as stated above, the ability to access a maximum of demand sources has a significant impact on publishers' revenue. This impact will be even greater as the proportion of revenue from programmatic sales is high. In this regard, the publishers surveyed indicate that access to demand sources is one of the main criteria implemented to select their ad server solution.  </w:t>
        <w:br/>
        <w:t xml:space="preserve">407. Second, as stated above, AdX has unmatched attractiveness, as it is the only platform for selling advertising space that can fully access the demand from buyers using Google Ads purchasing platforms (formerly Google Adwords) and Google DV360 (formerly Doubleclick Bid Manager). On one hand, the combination of the DV360 and Google Ads platforms constitutes the largest programmatic buyer of advertising space, on the other hand, a significant portion of clients of Google Ads and Google DV360 DSPs use only one purchasing platform271.  </w:t>
        <w:br/>
        <w:t>408. Third, the publishers surveyed indicate that they anticipate significantly higher revenue by using DFP rather than another ad server, which they explain in particular by the full interoperability of DFP with AdX. In some cases, Google itself uses the additional revenue allowed by the superior interoperability of DFP and AdX as a sales argument in its responses to their calls for tenders. For the publisher […], the loss of revenue related in particular to the restricted interoperability between AdX and third-party servers has thus been quantified by Google's teams between [5-10] and...</w:t>
      </w:r>
    </w:p>
    <w:p>
      <w:r>
        <w:rPr>
          <w:b/>
        </w:rPr>
        <w:t>[Pages 94–96]</w:t>
      </w:r>
    </w:p>
    <w:p>
      <w:r>
        <w:t>[10-15] million euros per year (for an initial revenue of approximately [50-60] million euros)272. This amount can be compared to the price offered to the publisher for the use of DFP, which was [500-1000] k€ per year. The annual revenue loss thus represented between 6 and 12 years of ad server fees. Another publisher, who had a free license with a notable competitor of DFP, indicated that they still switched to the DFP service, as the advantage of the free license did not compensate for the revenue loss related to the lack of integration of AdX. More generally, access to AdX demand was mentioned by all interviewed publishers as a major factor in the attractiveness of DFP, even as the main reason for choosing DFP273.</w:t>
      </w:r>
    </w:p>
    <w:p>
      <w:r>
        <w:t>409. Fourthly, DFP's market share increased by more than ten points between 2014 and 2019, and several providers reported facing significant difficulties, which they primarily attributed to the inability to access AdX under conditions equivalent to DFP. AdSpirit, for example, stated that “(t)he main problem is that AdX does not allow external publishers to sell their inventories through AdX [...] To be competitive, we would need to be able to connect to AdX using OpenRTB or any real-time bidding protocol to enable our clients to sell their inventories”274 (free translation275). For its part, the ad server provider Adzerk stated276 that it had given up on placing its ad server offer in direct competition with Google's, specifying that “(o)ne factor that strongly contributed to this decision is that Adzerk does not have access to AdX advertiser demand” (free translation277).</w:t>
      </w:r>
    </w:p>
    <w:p>
      <w:r>
        <w:t xml:space="preserve">c) On merit-based competition  </w:t>
        <w:br/>
        <w:t xml:space="preserve">410. The restriction on interoperability between AdX and third-party ad servers does not correspond to merit-based competition. On the one hand, it does not meet the market standard, and on the other hand, it diminishes the revenues of the AdX service.  </w:t>
        <w:br/>
        <w:t xml:space="preserve">411. Firstly, the lack of compatibility with the “real-time” auctions of third-party ad servers is a specificity of AdX, which distinguishes it from the standard operation of the market. In fact, all significant competitors of AdX offer “real-time” interaction modalities that are superior to those offered by AdX.  </w:t>
        <w:br/>
        <w:t xml:space="preserve">412. Secondly, the lack of compatibility with “real-time” auctions harms the revenues of the AdX service by limiting this platform's access to the inventories of publishers using ad servers other than DFP. Such a strategy would therefore not have been rational in the absence of DFP's dominant position in the market for ad servers for website and mobile application publishers, which ensures that AdX buyers retain a significant amount of inventories on which to bid.  </w:t>
        <w:br/>
        <w:t xml:space="preserve">272 Reference VC 11846 (VNC 13119).  </w:t>
        <w:br/>
        <w:t xml:space="preserve">273 See, in particular, reference VC 12046 (VNC 17525).  </w:t>
        <w:br/>
        <w:t xml:space="preserve">274 Reference 1448.  </w:t>
        <w:br/>
        <w:t xml:space="preserve">275 Original version: “In order to be competitive we would need to be able to connect to the adx using openrtb or any real-time bidding protocol in order to enable our clients to sell their inventory.”  </w:t>
        <w:br/>
        <w:t xml:space="preserve">276 Reference VC 7169 (VNC 7186).  </w:t>
        <w:br/>
        <w:t>277 Original version: “A factor strongly contributing to the decision was that Adzerk does not have access to AdX advertiser demand.”</w:t>
      </w:r>
    </w:p>
    <w:p>
      <w:r>
        <w:t xml:space="preserve">d) On possible objective justifications  </w:t>
        <w:br/>
        <w:t xml:space="preserve">413. Google has not provided any elements to justify the more favorable treatment of DFP by AdX.  </w:t>
        <w:br/>
        <w:t xml:space="preserve">414. Google only indicated that the lack of compatibility of AdX with header bidding technologies was related to:  </w:t>
        <w:br/>
        <w:t xml:space="preserve">- the lack of transparency of these technologies;  </w:t>
        <w:br/>
        <w:t xml:space="preserve">- the protection of bidding data of “Authorized Buyers”;  </w:t>
        <w:br/>
        <w:t xml:space="preserve">- an opposition to header bidding practices.  </w:t>
        <w:br/>
        <w:t xml:space="preserve">415. Regarding the first assertion, Google specifies: “there is a lack of transparency at the Header bidding level, because although the publisher ‘accepts’ the impression at a certain price, it may be that the Header Bidder does not actually pay the amount indicated in its offer. Furthermore, since Header bidding Bidders often provide aggregated reports, the publisher may not know if they have received their commissions based on the number of impressions.”  </w:t>
        <w:br/>
        <w:t xml:space="preserve">416. However, since the publisher has access to the selling price of each impression, they are able to verify the commercial performance and payments of the various platforms. In contrast, Google does not provide, except in exceptional cases, data per impression to publishers, and the opacity of Google's systems is generally lamented by publishers and advertising technology providers. In this regard, interviewed publishers believe that header bidding provides them with more, not less, transparency, contrary to what Google claims.  </w:t>
        <w:br/>
        <w:t xml:space="preserve">417. Regarding the second assertion, it should be noted that, on the one hand, Authorized Buyers represent only a largely minority share of the demand present on the AdX platform, and, on the other hand, Google's contractual commitments cannot constitute an objective justification for anti-competitive practice.  </w:t>
        <w:br/>
        <w:t>418. Regarding the third assertion, the unsubstantiated observation of harmful practices by certain actors cannot be considered an objective justification for anti-competitive practice. Furthermore, Google has, in any case, not demonstrated that the behavior adopted would be the least restrictive solution to avoid these alleged practices.</w:t>
      </w:r>
    </w:p>
    <w:p>
      <w:r>
        <w:t xml:space="preserve">Conclusion  </w:t>
        <w:br/>
        <w:t>419. The more favorable treatment of DFP by AdX is likely to have, and has already had, significant anti-competitive effects. This practice, which does not meet the conditions of merit-based competition, does not appear to be objectively justified.</w:t>
      </w:r>
    </w:p>
    <w:p>
      <w:r>
        <w:t xml:space="preserve">4. OTHER PRACTICES ALLEGED  </w:t>
        <w:br/>
        <w:t>420. In addition to the practices previously qualified, the complainants also denounced (a) the implementation by Google of a predatory strategy aimed at strengthening its dominant position in the market for ad servers for website and mobile application publishers, as well as (b) Google's exploitation of its vertical integration in the advertising technology ecosystem to generate additional margins not disclosed to publishers and advertisers.</w:t>
      </w:r>
    </w:p>
    <w:p>
      <w:r>
        <w:t xml:space="preserve">a) On the implementation of a predatory strategy  </w:t>
        <w:br/>
        <w:t xml:space="preserve">421. According to the complainants, Google has implemented a predatory strategy by offering DFP at a very low cost, and often for free. News Corp thus estimates that “the fees charged in the case of DFP Premium are extremely low and it is very likely that Google does not cover these costs. In any case, DFP Small Business is practically offered for free.”  </w:t>
        <w:br/>
        <w:t xml:space="preserve">422. However, the elements provided by Google attest that:  </w:t>
        <w:br/>
        <w:t xml:space="preserve">- the total revenue attributable to the DFP service in 2018 worldwide was [0-500] million euros;  </w:t>
        <w:br/>
        <w:t xml:space="preserve">- the total direct costs related to the DFP service were, worldwide and in 2018, approximately [0-500] million euros, although Google indicated that this figure was only an estimate to be considered with caution due to difficulties in identifying these costs;  </w:t>
        <w:br/>
        <w:t xml:space="preserve">- the difference between the average price per impression worldwide and in the EEA was, in 2018, less than [0-5]%.  </w:t>
        <w:br/>
        <w:t xml:space="preserve">423. Based on the elements submitted to the file, it appears that the revenues of the DFP service do indeed cover its costs worldwide, and that the rates applied in the EEA are very similar to those applied worldwide. Moreover, none of the factual elements in the file demonstrate that Google is actually pursuing a predatory strategy regarding this service.  </w:t>
        <w:br/>
        <w:t>424. In this context, it should be noted that the denunciation of such a practice by the complainants is not supported by sufficiently probative elements.</w:t>
      </w:r>
    </w:p>
    <w:p>
      <w:r>
        <w:t xml:space="preserve">b) On Google's exploitation of its vertical integration in the advertising technology ecosystem  </w:t>
        <w:br/>
        <w:t xml:space="preserve">425. According to the complainants, Google would exploit its vertical integration in the advertising technology ecosystem as well as the opacity of its contracts and services to generate margins not disclosed to publishers and advertisers. They particularly emphasize that Google does not disclose to publishers the commission retained by the Google Ads service when it purchases inventories on the AdX marketplace.  </w:t>
        <w:br/>
        <w:t xml:space="preserve">426. In this regard, while the contracts concluded between Google and publishers specify the commission retained by the AdX service, this is not the case for that generated by Google's DSPs (namely Google Ads and DV360 services). Furthermore, while the commission retained by Google in the context of using DV360 is contractually fixed with advertisers, this is not the case for the Google Ads service.  </w:t>
        <w:br/>
        <w:t xml:space="preserve">427. However, the method of calculating revenue sharing by AdX corresponds to an industry standard. Based on the elements produced in the debate, the lack of transparency of the margins generated by Google does not seem to have a causal link with anti-competitive effects in itself.  </w:t>
        <w:br/>
        <w:t>428. In this context, it should be noted that the denunciation of such a practice by the complainants is not supported by sufficiently probative elements.</w:t>
      </w:r>
    </w:p>
    <w:p>
      <w:r>
        <w:rPr>
          <w:b/>
        </w:rPr>
        <w:t>[Pages 97–99]</w:t>
      </w:r>
    </w:p>
    <w:p>
      <w:r>
        <w:t xml:space="preserve">F. DURATION OF PRACTICES  </w:t>
        <w:br/>
        <w:t xml:space="preserve">429. In order to determine the duration of an infringement of competition law, it is necessary to examine the period that elapsed between the start date of the practices and the date on which they were terminated278.  </w:t>
        <w:br/>
        <w:t xml:space="preserve">430. In accordance with the principles established by case law, any doubt regarding the duration of the infringement must benefit the company concerned, in application of the principle of the presumption of innocence279.  </w:t>
        <w:br/>
        <w:t xml:space="preserve">431. Regarding the start date of the infringement, the Authority notes that the qualified practices have been implemented at least since the acquisition of Doubleclick by Google (i.e., in 2008). However, Google's dominant position in the market for ad servers for website and mobile application publishers could only be established from the year 2014. Indeed, Google – like most of the suppliers questioned – was unable to provide information regarding the previous situation. In this context, January 1, 2014, will be retained as the start date of the infringement.  </w:t>
        <w:br/>
        <w:t xml:space="preserve">432. As for the end date of the infringement, the Authority observes that, although the interoperability arrangements between DFP and the competing SSPs of AdX have fluctuated since January 1, 2014, the more favorable treatment of AdX by DFP remains constant to this day. For their part, the interoperability arrangements of AdX with third-party ad servers have not fluctuated, and the more favorable treatment of DFP by AdX is also constant to this day.  </w:t>
        <w:br/>
        <w:t xml:space="preserve">433. In light of the above, January 1, 2014, should be retained as the start date of the practices, which have persisted at least until September 30, 2020, the date of the notification of the charges.  </w:t>
        <w:br/>
        <w:t xml:space="preserve">G. ATTRIBUTION  </w:t>
        <w:br/>
        <w:t xml:space="preserve">1. APPLICABLE PRINCIPLES  </w:t>
        <w:br/>
        <w:t xml:space="preserve">434. It follows from consistent case law that Articles L. 420-2 of the Commercial Code and 102 TFEU target infringements committed by companies, a notion that designates an economic unit, even if, from a legal point of view, it is composed of several natural or legal persons. This economic entity must, when it infringes competition rules, be held accountable for this infringement, in accordance with the principle of personal responsibility280.  </w:t>
        <w:br/>
        <w:t xml:space="preserve">278 See, in this sense, the judgments of the Court of July 27, 2005, Brasserie nationale e.a./Commission, T-49/02 to T-51/02, Rec. p. 113033, paragraph 185, and of December 5, 2006, Westfalen Gassen Nederland/Commission, T-303/02, Rec. p. 114567, paragraph 138; or the decision of the Competition Authority No. 13-D-12 of May 28, 2013, regarding practices implemented in the chemical commodities marketing sector, paragraphs 740 to 742.  </w:t>
        <w:br/>
        <w:t xml:space="preserve">279 See, in this sense, the judgment of the Court of May 17, 2013, joined cases T-147/09 and T-148/09, Trelleborg/Commission, paragraphs 50 and following.  </w:t>
        <w:br/>
        <w:t xml:space="preserve">280 See, in particular, the judgments of the Court of Justice of September 10, 2009, Akzo Nobel e.a. v. Commission, C-97/08 P, Rec. p. I-08237, paragraphs 55 and 56, and of January 20, 2011, General Quimica v. Commission, C-90/09 P, Rec. p. I-0001, paragraph 36; see also the judgment of the Paris Court of Appeal of March 29, 2012, Lacroix Signalisation e.a., paragraphs 18 and 20.  </w:t>
        <w:br/>
        <w:t xml:space="preserve">281 See the aforementioned judgments Akzo Nobel e.a. v. Commission, para 58, General Quimica/Commission, paragraph 37, and Lacroix Signalisation e.a., paragraphs 18 and 19.  </w:t>
        <w:br/>
        <w:t xml:space="preserve">282 See the judgments of the Court of Justice in the cases Akzo Nobel e.a. v. Commission, paragraphs 60 and 61 and General Quimica v. Commission, paragraphs 39 and 40; the Paris Court of Appeal in the case Lacroix Signalisation e.a., previously mentioned, paragraphs 19 and 20.  </w:t>
        <w:br/>
        <w:t xml:space="preserve">435.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entities281.  </w:t>
        <w:br/>
        <w:t xml:space="preserve">436. In the specific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that engaged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subsidiary282.  </w:t>
        <w:br/>
        <w:t xml:space="preserve">2. ASSESSMENT IN THIS CASE  </w:t>
        <w:br/>
        <w:t xml:space="preserve">437. Firstly, the practices can be attributed to Google LLC, formerly Google Inc., as the author. On the one hand, the products or services concerned are designed by Google LLC, and on the other hand, the strategy implemented in the relevant markets is primarily defined by Google LLC.  </w:t>
        <w:br/>
        <w:t xml:space="preserve">438. The practices can also be attributed to Google Ireland Ltd as the author. Indeed, Google Ireland Ltd is the contracting entity for all publisher clients located in the EEA.  </w:t>
        <w:br/>
        <w:t xml:space="preserve">439. Secondly, the practices can be attributed to Alphabet Inc. as the parent company of these two author companies, from October 2, 2015. From that date, Alphabet Inc. replaced Google Inc. (which became Google LLC in September 2017) as the consolidating entity. As of October 2, 2015, Google LLC thus became a wholly-owned subsidiary of Alphabet Inc. For its part, Google Ireland Ltd is a wholly-owned subsidiary of Google Ireland Holdings, whose ultimate parent company is also Alphabet Inc. since October 2, 2015.  </w:t>
        <w:br/>
        <w:t xml:space="preserve">440. The practices can also be attributed to Google LLC as the parent company of Google Ireland Ltd, for the period from January 1, 2014, to October 2015, the date of the creation of Alphabet Inc.  </w:t>
        <w:br/>
        <w:t xml:space="preserve">H. ON SANCTIONS AND COMMITMENTS  </w:t>
        <w:br/>
        <w:t xml:space="preserve">1. ON THE PRINCIPLES RELATING TO THE DETERMINATION OF SANCTIONS AND THE ACCEPTANCE OF COMMITMENTS  </w:t>
        <w:br/>
        <w:t xml:space="preserve">a) On sanctions  </w:t>
        <w:br/>
        <w:t xml:space="preserve">441. Article L. 464-2 I of the Commercial Code and Article 5 of Regulation No. 1/2003 empower the Authority to impose a financial penalty on companies and organizations that engage in anti-competitive practices prohibited by Article L. 420-2 of the Commercial Code and Article 102 TFEU.  </w:t>
        <w:br/>
        <w:t xml:space="preserve">442. Furthermore, the third paragraph of Article L. 464-2 I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  </w:t>
        <w:br/>
        <w:t xml:space="preserve">443. According to the fourth paragraph of Article L. 464-2 I of the Commercial Code, "the maximum amount of the sanction is, for a company,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444. Article L. 464-2 III of the Commercial Code states: "When an organization or company does not contest the reality of the charges notified to it, the rapporteur general may submit to it a transaction proposal setting the minimum and maximum amount of the envisaged financial penalty. When the company or organization commits to modifying its behavior, the rapporteur general may take this into account in his transaction proposal. If, within a period set by the rapporteur general, the organization or company agrees to the transaction proposal, the rapporteur general proposes to the Competition Authority, which hears the company or organization and the Government Commissioner without prior establishment of a report, to impose the financial penalty provided for in I within the limits set by the transaction."  </w:t>
        <w:br/>
        <w:t>445. Moreover, the particular circumstances resulting from the implementation, in this case, of the transaction procedure based on the aforementioned provisions of Article L. 464-2 III of the Commercial Code justify that the sanctions imposed are not reasoned by reference to the method of determining financial penalties set out in the press release of May 16, 2011, from the Authority (see decision No. 17-D-20 of October 18, 2017, regarding practices implemented in the sector of resilient floor coverings, paragraph 452, the Procedural Notice of December 21, 2018, regarding the transaction procedure, paragraph 37, and the judgment of the Paris Court of Appeal of June 13, 2019, Alcyon SA, No. 18/20229).</w:t>
      </w:r>
    </w:p>
    <w:p>
      <w:r>
        <w:rPr>
          <w:b/>
        </w:rPr>
        <w:t>[Pages 100–102]</w:t>
      </w:r>
    </w:p>
    <w:p>
      <w:r>
        <w:t xml:space="preserve">b) On the commitments  </w:t>
        <w:br/>
        <w:t xml:space="preserve">446. Under III of Article L. 464-2 of the Commercial Code, a company wishing to resort to the transaction procedure may commit to modifying its behavior. In this case, the general rapporteur may take this into account in their transaction proposal.  </w:t>
        <w:br/>
        <w:t xml:space="preserve">447. If the general rapporteur agrees to include the commitments in the transaction proposal, they take them into account, if applicable, to determine the minimum and maximum amount of the proposed financial penalty. When the Authority's board examines the case, it determines whether the commitments proposed by the company are likely to promote a return to compliance for the company concerned and to have a positive effect on the competitive functioning of the market.  </w:t>
        <w:br/>
        <w:t xml:space="preserve">2. ON THE SEVERITY OF THE PRACTICES  </w:t>
        <w:br/>
        <w:t xml:space="preserve">448. The grievances concern discriminatory practices implemented by Google aimed at ensuring that its own ad server technologies DFP and programmatic selling platform AdX mutually benefit each other, to the detriment of both competing technology providers and the performance of online publishers' advertising inventories.  </w:t>
        <w:br/>
        <w:t xml:space="preserve">449. Regarding the individuals likely to be affected by the practices, the practices implemented by Google have been of a nature to affect and have indeed penalized operators in the online advertising intermediation sector, most of whom are emerging or developing players. It should be noted that the effects of the practices in question are particularly harmful to smaller players who have limited resources.  </w:t>
        <w:br/>
        <w:t xml:space="preserve">450. The practices have not only affected Google's competitors. Website publishers have also been deprived of the opportunity to fully leverage competition among different SSPs. As a result, they have lost revenues that should have been associated with the sale of their inventories at prices resulting from the auctions to allocate them. In particular, publishers have not been able to obtain higher purchase prices from SSPs, particularly from Google's AdX platform, which, already dominant, has seen the competitive pressure exerted by its competitors diminished due to these practices. The end customers affected by these practices correspond to all website and mobile application publishers, particularly press groups – some of whom initiated the Authority's referral in this case – whose business model is, moreover, significantly weakened by the decline in print subscription sales and the decrease in associated advertising revenues.  </w:t>
        <w:br/>
        <w:t xml:space="preserve">451. The grievances retained constitute particularly serious practices on the part of a dominant company, insofar as they have the effect, on the one hand, of preventing access and development of competitors in the market by means not based on competition by merits and, on the other hand, of reducing the revenues of website and mobile application publishers who use Google's advertising services.  </w:t>
        <w:br/>
        <w:t xml:space="preserve">452. These practices are all the more serious as they occurred in a still emerging and rapidly growing market and may have affected competitors' ability to innovate and develop in the market. These practices have notably diminished the advantages of the header bidding process that had been implemented by AdX's competing SSPs in the advertising intermediation market with the aim of remedying the asymmetries of dynamic allocation functionality and maximizing the selling price of the impression for publishers. By directly affecting Google's competitors' ability to maintain or develop in an emerging market, the practices have also impacted the market's capacity to generate innovations beneficial to end customers.  </w:t>
        <w:br/>
        <w:t xml:space="preserve">453. The severity of the practices must also be assessed in light of Google's position at each level of the online advertising value chain, which gives it significant market power, as these levels can benefit from technical or legal synergies, but also because this position grants Google a prescriptive power over market players (see paragraphs 340 and following).  </w:t>
        <w:br/>
        <w:t xml:space="preserve">454. This behavior took place even though Google has been regularly alerted to the importance of complying with competition rules, both by the European Commission and by the Authority. The Commission has thus sanctioned Google in the cases of Google Shopping (on June 27, 2017), Google Android (on July 18, 2018), and Google Search AdSense (on March 20, 2019)283. The Authority also sanctioned it in the case of Google Gibmedia (on December 19, 2019)284.  </w:t>
        <w:br/>
        <w:t xml:space="preserve">3. ON THE DAMAGE TO THE ECONOMY  </w:t>
        <w:br/>
        <w:t xml:space="preserve">455. Regardless of the intrinsic severity of the infringement, it is necessary to assess the impact that Google's behavior may have had on competition.  </w:t>
        <w:br/>
        <w:t xml:space="preserve">456. In this case, the practices were implemented by an operator holding significant market shares in the market for ad servers for website and mobile application publishers throughout the relevant period. Furthermore, Google recorded a steady and significant increase in its market shares and revenues during the entire duration of the practices.  </w:t>
        <w:br/>
        <w:t xml:space="preserve">457. These practices had significant anticompetitive effects on the markets for platforms for selling non-search advertising space and ad servers for website and mobile application publishers. They particularly limited the attractiveness of ad servers and third-party SSPs from the publishers' perspective. They also allowed Google to significantly increase its already very high market share and its also considerable revenues in a rapidly growing market. Moreover, no objective justification for these practices seems likely to be provided.  </w:t>
        <w:br/>
        <w:t xml:space="preserve">458. The referral from NewsCorp notably identified a number of players who experienced significant difficulties during the period of the practices, while Google benefited from strong growth in its business285.  </w:t>
        <w:br/>
        <w:t xml:space="preserve">459. In contrast, AdX was able to achieve significant profits thanks to the disputed practices, particularly those that were the subject of grievance No. 1.  </w:t>
        <w:br/>
        <w:t xml:space="preserve">460. This right of last look would likely have allowed AdX to win a significant number of impressions for which a header bidding offer was received by the publisher. These impressions would not have been won without the disputed practices. On these additional impressions served by AdX, AdX takes a commission of around 20%.  </w:t>
        <w:br/>
        <w:t xml:space="preserve">461. Secondly, AdX was also able to derive additional revenues and profits from the so-called dynamic revenue share feature, which was introduced in 2016.  </w:t>
        <w:br/>
        <w:t xml:space="preserve">462. Lastly, the practices may have allowed AdX to maintain its retained revenue share on advertisers' offers, unlike some competitors who have lowered theirs. Each percentage point of retained revenue share represents several million euros per year.  </w:t>
        <w:br/>
        <w:t xml:space="preserve">463. The damage caused to the economy is therefore certain and significant.  </w:t>
        <w:br/>
        <w:t xml:space="preserve">4. ON THE ADAPTATION OF THE SANCTION TO THE SIZE OF THE GROUP  </w:t>
        <w:br/>
        <w:t xml:space="preserve">464. The assessment of the individual situation may lead the Authority to take into account the scale of the company in question or the group to which it belongs. The Authority may thus adapt the sanction in light of the size, economic power, and overall resources of the group to which the perpetrator of the practices belongs.  </w:t>
        <w:br/>
        <w:t xml:space="preserve">465. In this case, the infringement in question has been attributed to Google LLC and Google Ireland Ltd as authors and to Google LLC and Alphabet Inc. as parent companies that together constitute a single enterprise within the meaning of competition law. To assess the power and contributory capacity of the companies concerned, it should be noted that Google's consolidated revenue amounted to $182.527 billion in 2020286.  </w:t>
        <w:br/>
        <w:t xml:space="preserve">5. ON THE AMOUNT OF THE SANCTION  </w:t>
        <w:br/>
        <w:t xml:space="preserve">466. In light of all these elements and in accordance with the terms of the transaction, the amount of the sanction imposed on Google is set at €220 million.  </w:t>
        <w:br/>
        <w:t xml:space="preserve">467. This amount is below the legal maximum penalty provided for in I of Article L. 464-2 of the Commercial Code.  </w:t>
        <w:br/>
        <w:t xml:space="preserve">6. ON THE COMMITMENTS PROPOSED BY GOOGLE IN THE CONTEXT OF THE TRANSACTION PROCEDURE  </w:t>
        <w:br/>
        <w:t xml:space="preserve">468. Google proposed several commitments during discussions with the general rapporteur regarding the transaction procedure, as permitted by III of Article L. 464-2 of the Commercial Code, which provides that: "when the company (...) commits to modifying its behavior, the general rapporteur may take this into account in their transaction proposal."  </w:t>
        <w:br/>
        <w:t>469. Firstly, Google presented commitments related to the practices sanctioned under the first grievance. These commitments aim for Google to offer third-party SSPs a mode of interoperability with the DFP server allowing for competition by merits between AdX and third-party SSPs for the purchase of inventories from publishers using DFP.</w:t>
      </w:r>
    </w:p>
    <w:p>
      <w:r>
        <w:rPr>
          <w:b/>
        </w:rPr>
        <w:t>[Pages 103–104]</w:t>
      </w:r>
    </w:p>
    <w:p>
      <w:r>
        <w:t>470. To this end, Google has proposed to enhance interoperability between DFP and third-party SSPs according to the terms of header bidding, and in particular:</w:t>
        <w:br/>
        <w:t>- to allow fair access to information on the conduct of auctions for third-party SSPs queried via header bidding (commitment no. 1);</w:t>
        <w:br/>
        <w:t>- to preserve the full contractual freedom of third-party SSPs so that they can negotiate specific terms with publishers or compete with the buyers they wish (commitment no. 2);</w:t>
        <w:br/>
        <w:t>- to ensure that AdX no longer uses the prices of its competitors to optimize its bids in a manner that cannot be replicated by third-party SSPs (commitment no. 3);</w:t>
        <w:br/>
        <w:t>- to provide guarantees of technical stability for both third-party SSPs and publishers (commitment no. 4).</w:t>
        <w:br/>
        <w:t>471. Secondly, Google has committed to making changes to existing configurations (AdX Direct and Unsold Campaign Element) that allow publishers using third-party ad servers to access AdX demand in real-time.</w:t>
        <w:br/>
        <w:t>472. Google has also committed to appointing an independent representative in charge of monitoring the implementation of these commitments.</w:t>
        <w:br/>
        <w:t>473. The Authority believes that these commitments are likely to promote a return to compliance for Google and to improve the competitive functioning of the ad server and SSP platform market. It therefore makes them mandatory for a period of three years from the date of notification of the decision or, where applicable, following their effective implementation.</w:t>
      </w:r>
    </w:p>
    <w:p>
      <w:r>
        <w:t xml:space="preserve">DECISION  </w:t>
        <w:br/>
        <w:t xml:space="preserve">Article 1: It is established that the companies Google LLC and Google Ireland Ltd, as authors of the practices, and Alphabet Inc., as the parent company, have violated the provisions of Articles 102 TFEU and L. 420-2 of the Commercial Code, by implementing practices aimed at ensuring that the DFP ad server favors the AdX advertising space selling platform and that, conversely, the AdX advertising space selling platform favors the DFP ad server.  </w:t>
        <w:br/>
        <w:t xml:space="preserve">Article 2: A financial penalty of 220,000,000 euros is imposed, jointly and severally, on the companies Alphabet Inc., Google LLC, and Google Ireland Ltd, for the practices referred to in Article 1.  </w:t>
        <w:br/>
        <w:t xml:space="preserve">Article 3: The Competition Authority takes note of the commitments made by the companies Alphabet Inc., Google LLC, and Google Ireland Ltd, which are an integral part of the decision to which they are annexed. These commitments are made mandatory for a period of 3 years from the date of notification of the decision or, where applicable, following their effective implementation.  </w:t>
        <w:br/>
        <w:t xml:space="preserve">Deliberated on the oral report of Mr. Clément Chazelas and Mr. Damien Seux, rapporteurs, and the intervention of Ms. Pascale Déchamps, deputy general rapporteur, by Ms. Isabelle de Silva, president, Ms. Fabienne Siredey-Garnier, vice-president, and Mr. Henri Piffaut, vice-president.  </w:t>
        <w:br/>
        <w:t xml:space="preserve">The session secretary, The president,  </w:t>
        <w:br/>
        <w:t xml:space="preserve">Caroline Orsel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