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https://www.autoritedelaconcurrence.fr/fr/decision/relative-des-pratiques-mises-en-oeuvre-dans-le-secteur-de-la-publicite-televisuelle-0</w:t>
      </w:r>
    </w:p>
    <w:p>
      <w:r>
        <w:t>Pages translated : 23</w:t>
      </w:r>
    </w:p>
    <w:p/>
    <w:p>
      <w:r>
        <w:rPr>
          <w:b/>
        </w:rPr>
        <w:t>[Pages 1–3]</w:t>
      </w:r>
    </w:p>
    <w:p>
      <w:r>
        <w:t xml:space="preserve">FRENCH REPUBLIC  </w:t>
        <w:br/>
        <w:t xml:space="preserve">Decision No. 19-D-07 of April 25, 2019  </w:t>
        <w:br/>
        <w:t>regarding practices implemented in the television advertising sector</w:t>
      </w:r>
    </w:p>
    <w:p>
      <w:r>
        <w:t xml:space="preserve">The Competition Authority (permanent commission),  </w:t>
        <w:br/>
        <w:t xml:space="preserve">Having regard to the letter, registered on April 9, 2014 under number 14/0031 F, by which the company Métropole Télévision referred to the Competition Authority practices implemented in the television advertising sector;  </w:t>
        <w:br/>
        <w:t xml:space="preserve">Having regard to Article 102 of the Treaty on the Functioning of the European Union;  </w:t>
        <w:br/>
        <w:t xml:space="preserve">Having regard to Book IV of the amended Commercial Code relating to the freedom of prices and competition;  </w:t>
        <w:br/>
        <w:t xml:space="preserve">Having regard to the opinion adopted by the Higher Audiovisual Council on May 6, 2015 based on the provisions of Article R. 463-9 of the Commercial Code;  </w:t>
        <w:br/>
        <w:t xml:space="preserve">Having regard to Decision No. 16-S-02 of July 4, 2016 regarding practices implemented in the television advertising sector;  </w:t>
        <w:br/>
        <w:t xml:space="preserve">Having regard to Decision No. 19-DE-01 of March 4, 2019 regarding the withdrawal of the company Métropole Télévision and the continuation of the case treated as an ex officio referral;  </w:t>
        <w:br/>
        <w:t xml:space="preserve">Having regard to the business secrecy decisions No. 15-DSA-10 of January 7, 2015, No. 15-DSA-46 of January 30, 2015, No. 15-DSA-156 of April 7, 2015, No. 15-DSA-157 of April 7, 2015, No. 15-DSA-242 of July 1, 2015, No. 16-DSA-15 of January 14, 2016, No. 16-DSA-53 of February 22, 2016, No. 16-DSA-109 of May 12, 2016, No. 16-DECR-15 of May 23, 2016, No. 16-DEC-28 of May 23, 2016, No. 16-DSA-153 of June 22, 2016, No. 18-DSA-107 of April 11, 2018, No. 18-DSA-108 of April 11, 2018, No. 18-DSA-208 of July 9, 2018, No. 18-DECR-362 of October 17, 2018, No. 19-DSA-050 of February 5, 2019, No. 19-DSA-052 of February 5, 2019, No. 19-DSA-064 of February 19, 2019, No. 19-DSA-074 of February 20, 2019, and No. 19-DSA-083 of February 26, 2019;  </w:t>
        <w:br/>
        <w:t xml:space="preserve">Having regard to the observations presented by the company Métropole Télévision, the TF1 group, and the Government Commissioner;  </w:t>
        <w:br/>
        <w:t xml:space="preserve">Having regard to the other documents in the file;  </w:t>
        <w:br/>
        <w:t xml:space="preserve">The rapporteurs, the deputy general rapporteur, the Government Commissioner, and the representatives of the TF1 group, heard during the session of the Competition Authority on March 14, 2019.  </w:t>
        <w:br/>
        <w:t>Adopts the following decision:</w:t>
      </w:r>
    </w:p>
    <w:p>
      <w:r>
        <w:t xml:space="preserve">Summary1:  </w:t>
        <w:br/>
        <w:t xml:space="preserve">By this decision, the Competition Authority has decided that there is no need to continue the procedure opened following a referral by the company Métropole Télévision denouncing two practices implemented by TF1 Publicité in the television advertising market.  </w:t>
        <w:br/>
        <w:t xml:space="preserve">This market has undergone significant changes since the mid-2000s. Thus, since 2007, the position of TF1 Publicité has gradually weakened, while that of its main competitor, M6 Publicité, has strengthened. The number and proportion of powerful slots - defined as slots exceeding 8 GRP (this advertising pressure index corresponds to the number of contacts obtained by an advertising spot) and historically held by the TF1 channel - have experienced a significant decline. Moreover, according to media agencies, these slots are no longer as attractive to advertisers who, through media agencies, have had strong negotiating power vis-à-vis advertising sales houses for several years. New agencies, such as Disney Media+ and beIN Régie, entered the market in 2014 and 2016 respectively. Finally, advertisers can easily switch advertising agencies from one campaign to another.  </w:t>
        <w:br/>
        <w:t xml:space="preserve">The first practice denounced by the referrer would consist of conditioning the granting of an overall discount rate on the advertiser's commitment to invest the entirety or a significant portion of its budget on the TF1 channel. However, the characteristics of the concerned discount do not allow for the identification of the existence of exclusivity discounts. Any advertiser committing to make investments on the TF1 channel can benefit from an overall discount rate, regardless of the proportion that this volume of investments represents compared to the amount of its television advertising budget or that allocated to historical terrestrial channels.  </w:t>
        <w:br/>
        <w:t xml:space="preserve">The intrinsic characteristics of the overall discount rate and the structural developments in the television advertising market also do not allow for the identification of discounts that would not be linked to a supply exclusivity but would nonetheless be loyalty-inducing. In particular, according to the converging statements of media agencies, it has been possible for advertisers for several years not to make advertising investments on the TF1 channel and, more specifically, on its powerful slots, so that any potential loyalty effect of TF1's discounts is not established.  </w:t>
        <w:br/>
        <w:t xml:space="preserve">The second practice denounced by the referrer concerns the joint commercialization of advertising spaces of the TF1, HD1, and Numéro 23 channels. This practice, identical to one of those that were the subject of a dismissal in Decision No. 17-D-11 of July 25, 2017, is not established.  </w:t>
        <w:br/>
        <w:t>1 This summary is strictly informative. Only the reasons for the decision numbered below are authoritative.</w:t>
      </w:r>
    </w:p>
    <w:p>
      <w:r>
        <w:t xml:space="preserve">TABLE OF CONTENTS  </w:t>
        <w:br/>
        <w:t xml:space="preserve">I. FINDINGS ......................................................................... 5  </w:t>
        <w:br/>
        <w:t xml:space="preserve">A. THE PROCEDURE ............................................................................................................................. 5  </w:t>
        <w:br/>
        <w:t xml:space="preserve">B. THE TELEVISION ADVERTISING SECTOR ................................................................ 6  </w:t>
        <w:br/>
        <w:t xml:space="preserve">1. OPERATION OF THE SECTOR ......................................................................................... 6  </w:t>
        <w:br/>
        <w:t xml:space="preserve">2. THE DEMAND FOR TELEVISION ADVERTISING SPACES ................................................... 8  </w:t>
        <w:br/>
        <w:t xml:space="preserve">a) Media agency recommendations on the allocation of the advertiser's advertising budget ..................................................................................... 8  </w:t>
        <w:br/>
        <w:t xml:space="preserve">b) The nature of television advertising spaces chosen by media agencies  </w:t>
        <w:br/>
        <w:t xml:space="preserve">................................................................................................................................... 9  </w:t>
        <w:br/>
        <w:t xml:space="preserve">The contribution of different advertising slots to total advertising power ...................................................................................................................... 9  </w:t>
        <w:br/>
        <w:t xml:space="preserve">The criteria for allocating investments among different television advertising spaces ....................................................................................... 10  </w:t>
        <w:br/>
        <w:t xml:space="preserve">3. THE OFFER OF TELEVISION ADVERTISING SPACES ......................................................... 11  </w:t>
        <w:br/>
        <w:t xml:space="preserve">a) The modalities of commercialization of television advertising spaces ... 11  </w:t>
        <w:br/>
        <w:t xml:space="preserve">b) The publication of the general terms and conditions of sale of television advertising spaces ................................................................................ 11  </w:t>
        <w:br/>
        <w:t xml:space="preserve">4. NEGOTIATION BETWEEN MEDIA AGENCIES AND ADVERTISING SALES HOUSES .......... 12  </w:t>
        <w:br/>
        <w:t xml:space="preserve">a) The context of the negotiation ........................................................................... 12  </w:t>
        <w:br/>
        <w:t xml:space="preserve">b) The levers of negotiation ............................................................................. 13  </w:t>
        <w:br/>
        <w:t xml:space="preserve">5. EVOLUTIONS IN THE SECTOR OVER THE LAST TEN YEARS ......................................... 13  </w:t>
        <w:br/>
        <w:t xml:space="preserve">a) The decline in market shares of TF1 Publicité and the TF1 channel since 2007 ......................................................................................................................... 14  </w:t>
        <w:br/>
        <w:t xml:space="preserve">b) The evolution of the power level of advertising slots of the TF1 and M6 channels ....................................................................................................... 15  </w:t>
        <w:br/>
        <w:t xml:space="preserve">c) The evolution of the role of powerful slots in the television advertising market .............................................................................................................. 15  </w:t>
        <w:br/>
        <w:t xml:space="preserve">d) The absence of obstacles to changing advertising agencies by buyers of television advertising spaces ........................................................................ 16  </w:t>
        <w:br/>
        <w:t xml:space="preserve">e) The strengthening of the negotiating power of media agencies vis-à-vis advertising sales houses ......................................................................... 16  </w:t>
        <w:br/>
        <w:t xml:space="preserve">f) The emergence of new advertising agencies ................................................ 17  </w:t>
        <w:br/>
        <w:t xml:space="preserve">g) Conclusion .......................................................................................................... 17  </w:t>
        <w:br/>
        <w:t xml:space="preserve">C. THE OVERALL DISCOUNT RATE GRANTED BY TF1 PUBLICITÉ TO ADVERTISERS  </w:t>
        <w:br/>
        <w:t xml:space="preserve">.......................................................................................................................................................... 17  </w:t>
        <w:br/>
        <w:t xml:space="preserve">II. DISCUSSION .............................................................................. 19  </w:t>
        <w:br/>
        <w:t>A. ON THE APPLICATION OF EU LAW ................................................................. 19</w:t>
      </w:r>
    </w:p>
    <w:p>
      <w:r>
        <w:rPr>
          <w:b/>
        </w:rPr>
        <w:t>[Pages 4–6]</w:t>
      </w:r>
    </w:p>
    <w:p>
      <w:r>
        <w:t xml:space="preserve">B. ON THE QUALIFICATION OF PRACTICES IMPLEMENTED BY TF1 PUBLICITÉ  </w:t>
        <w:br/>
        <w:t xml:space="preserve">.......................................................................................................................................................... 20  </w:t>
        <w:br/>
        <w:t xml:space="preserve">1. ON THE GRANTING OF AN OVERALL DISCOUNT RATE TO ADVERTISERS PURCHASING  </w:t>
        <w:br/>
        <w:t xml:space="preserve">ADVERTISING SPACES ON THE TF1 CHANNEL ....................................................................... 21  </w:t>
        <w:br/>
        <w:t xml:space="preserve">a) On the qualification of exclusivity discounts ..................................................... 21  </w:t>
        <w:br/>
        <w:t xml:space="preserve">b) On the qualification of loyalty discounts other than exclusivity discounts.. 21  </w:t>
        <w:br/>
        <w:t xml:space="preserve">2. ON THE JOINT COMMERCIALIZATION OF ADVERTISING SPACES OF THE CHANNELS TF1,  </w:t>
        <w:br/>
        <w:t xml:space="preserve">HD1, AND NUMÉRO 23 BY A SINGLE ADVERTISING AGENCY .............................................. 22  </w:t>
        <w:br/>
        <w:t>DECISION ......................................................................................................................... 23</w:t>
      </w:r>
    </w:p>
    <w:p>
      <w:r>
        <w:t xml:space="preserve">I. FINDINGS  </w:t>
        <w:br/>
        <w:t xml:space="preserve">A. THE PROCEDURE  </w:t>
        <w:br/>
        <w:t xml:space="preserve">1. By registered letter dated April 9, 2014, under number 14/0031 F, the company Métropole Télévision (hereinafter, "the complainant") referred to the Competition Authority (hereinafter, "the Authority") two types of practices implemented by the TF1 Group in the television advertising market, which it considers contrary to the provisions of Article L. 420-2 of the Commercial Code and Article 102 of the Treaty on the Functioning of the European Union (hereinafter, "TFEU").  </w:t>
        <w:br/>
        <w:t xml:space="preserve">2. On the one hand, TF1 Publicité would condition the granting of an overall discount rate, granted to advertisers purchasing advertising spaces on the TF1 channel, on their commitment to invest a very significant portion of their television advertising budgets allocated to all historical terrestrial channels on this channel.  </w:t>
        <w:br/>
        <w:t xml:space="preserve">3. Advertisers would also be dissuaded, through a "pricing penalty," from reallocating their advertising investments made on the TF1 channel from year N to year N+1 in favor of other historical terrestrial channels, including the M6 channel.  </w:t>
        <w:br/>
        <w:t xml:space="preserve">4. This practice would have the effect of restricting advertisers' ability to freely allocate the amount of their television advertising budgets to all historical terrestrial channels and would allow TF1 Publicité to sustainably maintain its dominant position in the television advertising market.  </w:t>
        <w:br/>
        <w:t xml:space="preserve">5. On the other hand, the complainant denounces the joint commercialization of advertising spaces of the TF1, HD1, and Numéro 23 channels by TF1 Publicité.  </w:t>
        <w:br/>
        <w:t xml:space="preserve">6. During the session of June 23, 2016, the investigation services proposed to the board to reject the complaint due to lack of evidence. By decision of June 30, 2016, the Authority decided to refer the matter for further investigation, "the elements in the file [not allowing] the Authority to fully clarify the practices denounced, particularly regarding the granting of loyalty discounts to advertisers."  </w:t>
        <w:br/>
        <w:t xml:space="preserve">7. After conducting a supplementary investigation, the investigation services sent the complainant, the TF1 group, and the Government Commissioner a proposal for non-suit to continue the procedure. At the end of the contradictory phase, by letter dated February 25, 2019, the complainant informed the Authority of its decision to withdraw its complaint against the TF1 group.  </w:t>
        <w:br/>
        <w:t xml:space="preserve">8. The President of the Authority, by decision of March 4, 2019, acknowledged the withdrawal and decided, upon the proposal of the deputy rapporteur, to continue the case, based on the last paragraph of Article L. 462-8 of the Commercial Code.  </w:t>
        <w:br/>
        <w:t xml:space="preserve">2 Decision No. 16-S-02 of the Competition Authority of June 30, 2016, regarding practices implemented in the advertising sector.  </w:t>
        <w:br/>
        <w:t xml:space="preserve">3 Idem.  </w:t>
        <w:br/>
        <w:t>4 Decision No. 19-DE-01 of the Competition Authority of March 4, 2019, regarding the withdrawal of the company Métropole Télévision.</w:t>
      </w:r>
    </w:p>
    <w:p>
      <w:r>
        <w:t xml:space="preserve">B. THE TELEVISION ADVERTISING SECTOR  </w:t>
        <w:br/>
        <w:t xml:space="preserve">9. In the television advertising sector, advertising agencies act as intermediaries between two categories of operators. On the one hand, television service publishers call upon advertising agencies to market their advertising spaces. On the other hand, advertising agencies market the advertising spaces of television service publishers to media agencies mandated by advertisers, who are seeking such spaces. This case concerns only the part of the market that connects advertising agencies with advertisers, represented by media agencies.  </w:t>
        <w:br/>
        <w:t xml:space="preserve">1. OPERATION OF THE SECTOR  </w:t>
        <w:br/>
        <w:t xml:space="preserve">10. In mainland France, 31 national channels of digital terrestrial television (hereinafter, "DTT") - composed of 8 public channels, 18 free private channels, and 5 paid private channels - are broadcast.  </w:t>
        <w:br/>
        <w:t xml:space="preserve">11. These television channels place great importance on measuring their audience, which partly conditions their attractiveness to advertisers. To do this, they use the services of Médiamétrie, an institute that offers several audience measurement services, varying in terms of their accuracy and frequency. These services allow channels to know, day by day, program by program, and advertising slot by advertising slot, their exact audience on a number of standard advertising targets and on other more specific targets.  </w:t>
        <w:br/>
        <w:t>5 An advertising slot is a time interval between two jingles during which advertising spots are broadcast. One or more television advertising spaces can be identified within a given advertising slot, depending on its duration.</w:t>
      </w:r>
    </w:p>
    <w:p>
      <w:r>
        <w:rPr>
          <w:b/>
        </w:rPr>
        <w:t>[Pages 7–9]</w:t>
      </w:r>
    </w:p>
    <w:p>
      <w:r>
        <w:t xml:space="preserve">12. Audience measurements allow for the evaluation of the number of viewers who watch an advertising spot6 and assign to it, target by target, a number of "gross rating points" or GRP, an acronym for "Gross Rating Points." This advertising pressure index corresponds to the number of contacts obtained by an advertising spot when it is broadcasted only once; it is expressed as a percentage of the target considered.  </w:t>
        <w:br/>
        <w:t xml:space="preserve">13. The GRP of a spot varies according to the selected target, the season, and the time slot during which the spot is broadcast. The placement of the spot within an advertising break - the first three and the last three positions having better performance in terms of audience - as well as the audience of the channel on which the spot is broadcast also play a role.  </w:t>
        <w:br/>
        <w:t xml:space="preserve">14. While GRPs allow for measuring the effectiveness of an advertising spot on a screen at a given moment, they can also be summed to measure the overall effectiveness of an advertising campaign across all screens on the same channel or the total power delivered by all available screens in the market. In this case, the GRP is calculated in absolute value by multiplying the coverage of the spot (the number of people or proportion of a given target who have seen the spot at least once) by its frequency (the number of times the spot has been seen by individuals in the target). Thus, for example, if 40% of the target "Individuals aged four and older" watched a given advertising spot four times, its GRP will be 160 for that target.  </w:t>
        <w:br/>
        <w:t xml:space="preserve">15. The performance of an advertising screen, referred to as "power," is measured by the number of GRPs it allows to be achieved on a particular target.  </w:t>
        <w:br/>
        <w:t xml:space="preserve">16. Power logically increases with audience size, so screens considered "powerful" are primarily those available in the early evening time slot, and these screens can also be associated with particular events broadcast in other time slots (for example, a sports match during the day). However, screens associated with these time slots can also exhibit different powers depending on the targets and the channels.  </w:t>
        <w:br/>
        <w:t xml:space="preserve">17. In decision no. 10-DCC-11 of January 26, 2010, the Authority retained the indicative threshold of 8 GRP to qualify an advertising screen as "powerful"7. Nevertheless, the five media agencies surveyed, which represented over 90% of the advertising market in France according to a Xerfi study (2016), believe that the notion of power should be reconsidered today, as the threshold of 8 GRP no longer constitutes a systematic criterion of power according to them.  </w:t>
        <w:br/>
        <w:t xml:space="preserve">18. In order to make an economic choice, the GRP must be related to its cost: this yields the "cost GRP" of a television advertising space by dividing its price by the level of GRP it allows to be achieved on a given target. For example, if the price of a television advertising space is 1,000 euros and the spot inserted in this space allows for achieving 10 GRP on the target "Individuals aged four and older," the cost GRP of the television advertising space for this target will be 100 euros. Given that the same advertising spot can achieve different GRPs depending on the target audience, the television advertising space in which it is inserted presents as many cost GRPs as there are targets. However, it is sold only once, at a unique price, to an advertiser who will evaluate its "cost GRP" based on the target they are aiming for.  </w:t>
        <w:br/>
        <w:t xml:space="preserve">19. The GRP and the "cost GRP" thus constitute the fundamental indicators of the supply and demand for television advertising spaces.  </w:t>
        <w:br/>
        <w:t xml:space="preserve">2. THE DEMAND FOR TELEVISION ADVERTISING SPACES  </w:t>
        <w:br/>
        <w:t xml:space="preserve">20. The demand for television advertising spaces comes from advertisers. It depends on multiple factors, such as their growth prospects, their plans to launch new products, and their investment arbitrages between media supports. These various factors lead to a certain volatility in television advertising investments from one year to the next.  </w:t>
        <w:br/>
        <w:t xml:space="preserve">a) Recommendations from the media agency on the allocation of the advertiser's advertising budget  </w:t>
        <w:br/>
        <w:t xml:space="preserve">21. The advertiser is generally represented by a media agency, whose role is primarily to advise them on their media strategy and on the allocation of their advertising budget among different media supports (television, press, radio, outdoor advertising, cinema, and digital media) based on their own objectives (awareness campaign, launch of a new product, etc.).  </w:t>
        <w:br/>
        <w:t xml:space="preserve">22. Once the allocation of the advertiser's advertising budget among the different media supports is determined, the media agency proposes to the advertiser to allocate the amount assigned to television media across several combinations of advertising spaces from the historical free-to-air channels8, the new DTT channels that appeared in 20059 and 201210, and the pay channels11. These combinations also include an allocation of investments across the different "time slots"12 of the day.  </w:t>
        <w:br/>
        <w:t xml:space="preserve">8 TF1, France 2, France 3, France 5, and M6.  </w:t>
        <w:br/>
        <w:t xml:space="preserve">9 C8 (initially Direct 8 then D8), W9 (initially M6 Music), TMC, TFX (initially NT1), NRJ 12 (initially NRJ TV), LCP, France 4, BFM TV, CNEWS (initially i&gt;Télé), CSTAR (previously named Europe 2 TV, between 2005 and 2007, Virgin 17, between January 1, 2008, and August 31, 2010, Direct Star, between September 1, 2010, and October 13, 2012, then D17 until September 5, 2016), Gulli, and France Ô.  </w:t>
        <w:br/>
        <w:t xml:space="preserve">10 Six new national free DTT channels were launched on December 12, 2012: TF1 Séries Films (initially HD1), L’Equipe 21, 6ter, Numéro 23, Chérie 25, and RMC Découverte. Furthermore, it should be noted that following the CSA's decision to approve the request to modify the financing terms of the terrestrial television service LCI, presented by the TF1 group in July 2015, the LCI channel began broadcasting on free DTT on April 5, 2016 (see decision no. 2015-526 of the CSA of December 17, 2015, regarding the request for approval to modify the financing terms of the terrestrial television service La Chaîne info (LCI)).  </w:t>
        <w:br/>
        <w:t xml:space="preserve">11 Pay DTT channels (Paris Première, Planète+, and the mini-bouquet Canal+ consisting of the three channels Canal+, Canal+ Cinéma, and Canal+ Sport) and cab-sat channels.  </w:t>
        <w:br/>
        <w:t xml:space="preserve">12 The advertising day traditionally consists of four time slots: "day-time," "access prime time," "prime time" or "peak time," and "night time."  </w:t>
        <w:br/>
        <w:t xml:space="preserve">23. The different combinations of advertising spaces aim to achieve the performance and profitability objectives agreed upon between the advertiser and its agency; they are then reflected in the media agency's negotiation strategies with advertising sales houses.  </w:t>
        <w:br/>
        <w:t xml:space="preserve">b) The nature of television advertising spaces chosen by media agencies  </w:t>
        <w:br/>
        <w:t xml:space="preserve">The contribution of different advertising screens to total advertising power  </w:t>
        <w:br/>
        <w:t xml:space="preserve">24. The fragmentation of audiences, resulting from the launch of new DTT channels, the increase in the duration of authorized advertising (in 2009 and 2010), and the removal of advertising on France TV after 8 PM, led to several developments between 2007 and 2017:  </w:t>
        <w:br/>
        <w:t xml:space="preserve">- a more than fourfold increase in the total number of advertising slots;  </w:t>
        <w:br/>
        <w:t xml:space="preserve">- a very significant increase in the number of advertising slots of less than 1 GRP, multiplied by 13 during the period;  </w:t>
        <w:br/>
        <w:t xml:space="preserve">- a correlating decrease in the number of advertising slots of more than 9 GRP13.  </w:t>
        <w:br/>
        <w:t xml:space="preserve">Source: Impact study by the CSA titled "Analysis related to the request for non-renewal of competitive commitments made by the TF1 group during the transition of the LCI channel to free broadcasting," published in March 2018, page 34.  </w:t>
        <w:br/>
        <w:t xml:space="preserve">25. Given these structural developments, the contribution of different advertising screens to total advertising power has evolved significantly. Based on all viewers, advertising screens of less than 3 GRP, which accounted for 32% of the total power delivered in 2007, represented 63% in 2017. Similarly, screens between 3 and 8 GRP decreased from 40% to 31% during the same period.  </w:t>
        <w:br/>
        <w:t>13 This observation holds true for both the entire viewer population and the various commercial targets. See the impact study by the CSA titled "Analysis related to the request for non-renewal of competitive commitments made by the TF1 group during the transition of the LCI channel to free broadcasting," pages 22 and 33: http://www.csa.fr/Etudes-et-publications/Les-etudes-thematiques-et-les-etudes-d-impact/Les-etudes-d-impact-realisees-par-le-CSA/Analyse-liee-a-la-demande-de-non-reconduction-des-engagements-de-nature-concurrentielle-pris-par-le-groupe-TF1-lors-du-passage-en-clair-de-la-chaine-LCI</w:t>
      </w:r>
    </w:p>
    <w:p>
      <w:r>
        <w:rPr>
          <w:b/>
        </w:rPr>
        <w:t>[Pages 10–12]</w:t>
      </w:r>
    </w:p>
    <w:p>
      <w:r>
        <w:t xml:space="preserve">As for the screens with a GRP greater than 8, they represented 6% of the delivered power in 2017, compared to 27% in 2007.14  </w:t>
        <w:br/>
        <w:t xml:space="preserve">Source: CSA impact study titled "Analysis related to the request for non-renewal of competitive commitments made by the TF1 group during the transition of the LCI channel to free-to-air," published in March 2018, page 24.  </w:t>
        <w:br/>
        <w:t xml:space="preserve">The criteria for distributing investments among different television advertising spaces  </w:t>
        <w:br/>
        <w:t xml:space="preserve">26. According to media agencies, the decisions made to allocate a given advertiser's television advertising investment across different channels are notably guided by:  </w:t>
        <w:br/>
        <w:t xml:space="preserve">- the purpose of the advertising campaign and its targeting, which may encourage the advertiser to use more spaces on screens of the new DTT channels;  </w:t>
        <w:br/>
        <w:t xml:space="preserve">- the objectives of coverage and repetition of the advertising message, which involve using spaces located within more or less powerful screens, distributed throughout the advertising day and among historical terrestrial channels, new DTT channels, and pay channels;  </w:t>
        <w:br/>
        <w:t xml:space="preserve">- the price of television advertising spaces, which limits the use of those located within powerful screens, which are relatively more expensive, and encourages the use of spaces located within the screens of the new DTT channels, which are more economical than those of historical terrestrial channels;  </w:t>
        <w:br/>
        <w:t xml:space="preserve">- other specific issues of advertisers, such as, for example, their possible desire not to launch an advertising campaign on the same channel as that chosen by a competitor.  </w:t>
        <w:br/>
        <w:t xml:space="preserve">27. Consequently, in order to achieve the performance and profitability objectives of advertisers, media agencies recommend that they distribute their television advertising investments across combinations of advertising spaces located within screens of various powers across all historical terrestrial channels, new DTT channels, and pay channels.  </w:t>
        <w:br/>
        <w:t xml:space="preserve">3. THE OFFER OF TELEVISION ADVERTISING SPACES  </w:t>
        <w:br/>
        <w:t xml:space="preserve">a) The modalities for marketing television advertising spaces  </w:t>
        <w:br/>
        <w:t xml:space="preserve">28. In general, advertising agencies market the advertising spaces of the channels belonging to the media group to which they belong. For example, TF1 Publicité currently markets the advertising spaces of all channels belonging to the TF1 group, except for Série Club. They may also market the advertising spaces of channels belonging to other media groups.  </w:t>
        <w:br/>
        <w:t xml:space="preserve">29. Television advertising spaces are marketed according to two main modalities: "spot to spot" and "guaranteed GRP cost."  </w:t>
        <w:br/>
        <w:t xml:space="preserve">30. In "spot to spot" mode, the media agency selects in advance the advertising space in which the spot will be inserted. This mode of marketing allows the agency to build a customized advertising campaign and control its "media planning," which is particularly important when the advertiser is attached to the "program" value. In return, the agency incurs the risk that the spot achieves, on a given target, a GRP lower than anticipated.  </w:t>
        <w:br/>
        <w:t xml:space="preserve">31. With the arrival of the new DTT channels, a second mode of marketing, known as "guaranteed GRP cost," has developed. The advertising agency bears the risk related to the audience by guaranteeing the advertiser a predefined level of GRP. It consequently selects the advertising space in which the spot will be inserted based on the dates of the advertising campaign, the budget invested by the advertiser, the number of GRP, and their distribution by desired time slots as specified by the media agency.  </w:t>
        <w:br/>
        <w:t xml:space="preserve">32. The TF1 Publicité agency launched, for the advertising spaces of the TF1 channel, the guaranteed GRP cost marketing mode, called "internalized programming mode" or MPI, in 2012. Since that date, the share of purchases of advertising spots on the TF1 channel at guaranteed GRP cost has continuously increased, at the expense of purchases made in spot to spot mode: during the period from 2012 to 2018, the marketing of advertising spaces in spot to spot mode has significantly decreased, from [70-80]% to [50-60]%, to the benefit of marketing at guaranteed GRP cost.  </w:t>
        <w:br/>
        <w:t xml:space="preserve">33. For the same advertising campaign, a media agency may use both advertising spaces marketed in spot to spot mode and in guaranteed GRP cost mode.  </w:t>
        <w:br/>
        <w:t xml:space="preserve">b) The publication of the general terms and conditions of sale of television advertising spaces  </w:t>
        <w:br/>
        <w:t xml:space="preserve">34. Advertising agencies that are members of the National Union of Television Advertising publish simultaneously, during the month of October of year N-1, their general terms and conditions of sale (hereinafter, "GTC") for year N for all the channels for which they manage advertising, in accordance with Article L. 441-6, paragraph 1, of the Commercial Code, which provides for the communication upon request, by any service provider, of its general terms and conditions of sale.  </w:t>
        <w:br/>
        <w:t xml:space="preserve">35. Annually defined, the GTC describe, for each marketing modality of television advertising spaces, the commercial offers proposed by the agencies to advertisers. These are accompanied by gross price grids for advertising spaces15, set according to forecast audiences, as well as advantages, financial or otherwise, that may be granted and/or, conversely, price increases.  </w:t>
        <w:br/>
        <w:t xml:space="preserve">36. The publication of the GTC is generally accompanied by an indicative annual calendar of "planning openings," periods of two months during which reservations for television advertising spaces take place. At the opening and during these reservation periods, the gross prices of the spaces are adjusted by the agencies, both upwards and downwards, based on demand and the fill rates of the spaces, but also based on the publication, by television service providers, of their final program schedules no later than eighteen days before their broadcast, publication which allows for a better assessment of forecast audiences.  </w:t>
        <w:br/>
        <w:t xml:space="preserve">4. NEGOTIATION BETWEEN MEDIA AGENCIES AND ADVERTISING AGENCIES  </w:t>
        <w:br/>
        <w:t xml:space="preserve">37. Following the publication of the GTC, media agencies contact the agencies, no later than December, to negotiate, on behalf of each of their advertiser clients, the conditions for purchasing television advertising spaces for year N. The specific sales conditions (hereinafter, "CPV"), negotiated on this occasion, are formalized in a contract with a maximum duration of one year, binding the agency, the agency, and, where applicable, the advertiser.  </w:t>
        <w:br/>
        <w:t xml:space="preserve">a) The context of the negotiation  </w:t>
        <w:br/>
        <w:t xml:space="preserve">38. The media agency approaches the various agencies simultaneously to initiate negotiations based on a description of the advertising campaigns and the associated budgets, called a "brief."  </w:t>
        <w:br/>
        <w:t xml:space="preserve">39. Each brief notably outlines the total amount of net advertising investments after discounts granted that the advertiser commits to making on a given channel for, at most, the coming year, the distribution of this total volume of advertising investments across different time slots and between off-peak16 and peak periods as well as the advertiser's history on the relevant channel for the previous year. In the case of purchasing television advertising spaces in "guaranteed GRP cost" mode, the brief will also mention the guaranteed GRP cost that the advertiser would like to benefit from.  </w:t>
        <w:br/>
        <w:t xml:space="preserve">40. The various agencies approached send back to the agency a commercial proposal regarding the CPV that may be granted, based on the investment conditions considered by the advertiser.  </w:t>
        <w:br/>
        <w:t xml:space="preserve">41. The agency prepares as many briefs as there are agencies approached. When the same agency markets the advertising spaces of several channels on which the advertiser wishes to be present, the agency generally prepares as many briefs as there are channels concerned.  </w:t>
        <w:br/>
        <w:t xml:space="preserve">15 The gross price grids generally present price modulations based on the format of the advertising spot (30 seconds base), the advertiser's sector of activity, the placement of the spot in the advertising screen (the first three and last three positions having better performance in terms of audience), the programming of the channel, the day of the week, and the part of the day when the spot is broadcast.  </w:t>
        <w:br/>
        <w:t>16 Off-peak periods are those during which advertising investments are generally lower. They correspond to the months of January/February and July/August.</w:t>
      </w:r>
    </w:p>
    <w:p>
      <w:r>
        <w:rPr>
          <w:b/>
        </w:rPr>
        <w:t>[Pages 13–15]</w:t>
      </w:r>
    </w:p>
    <w:p>
      <w:r>
        <w:t xml:space="preserve">b) The levers of negotiation  </w:t>
        <w:br/>
        <w:t xml:space="preserve">42. According to the statements of the media agencies interviewed, several levers come into play during negotiations between media agencies and advertising sales houses, including:  </w:t>
        <w:br/>
        <w:t xml:space="preserve">- the total volume of net advertising investments that the advertiser commits to making on the relevant channel for, at most, the coming year. According to the interviewed media agencies, this lever appears to be the most important;  </w:t>
        <w:br/>
        <w:t xml:space="preserve">- the general terms and conditions published each year by the advertising sales houses;  </w:t>
        <w:br/>
        <w:t xml:space="preserve">- the advertiser's history on the relevant channel from the previous year.  </w:t>
        <w:br/>
        <w:t xml:space="preserve">43. In a spot-to-spot mode, the negotiation focuses on an overall discount rate applicable to the gross rate of all advertising spaces purchased on a spot-to-spot basis (excluding those related to event screens). This rate is granted by the sales house in exchange for the total volume of net advertising investments that the advertiser commits to making on the channel for, at most, the coming year and the distribution of this volume across different time slots. In the event of a breach of its commitments, the advertiser will not lose the full benefit of the negotiated overall discount rate. The contract will then be subject to amendments providing for a lower overall discount rate than that initially granted.  </w:t>
        <w:br/>
        <w:t xml:space="preserve">44. In a guaranteed GRP cost mode, the negotiation focuses on a GRP cost that the sales house guarantees for a given target. If the spot ultimately does not reach the anticipated number of GRPs, the sales house must grant the advertiser additional spaces, free of charge, so that the spot can reach the initially planned number of individuals, at the contractually agreed GRP cost for a given target. In the absence of free advertising spaces, the sales house may refund part of the price paid by the advertiser, in the form of credit or cash.  </w:t>
        <w:br/>
        <w:t xml:space="preserve">5. EVOLUTIONS IN THE SECTOR OVER THE LAST TEN YEARS  </w:t>
        <w:br/>
        <w:t xml:space="preserve">45. The competitive dynamics of the television advertising sector have significantly evolved over the last 10 years. The emergence of new DTT channels in 2005 and then in 2012 has led to a considerable increase in the total supply of television advertising spaces and a fragmentation of audience and advertiser investments, while at the same time, total advertising revenues in the sector have stagnated or even decreased.  </w:t>
        <w:br/>
        <w:t xml:space="preserve">46. Furthermore, since 2007, the market shares of TF1 Publicité in the television advertising market have declined. In addition, the number of powerful screens, defined as those with a GRP greater than 8, has collapsed, and the share that these screens represent in the overall television advertising supply has significantly decreased. Finally, the negotiating power of agencies vis-à-vis advertising sales houses has strengthened over this period, while new advertising sales houses have appeared on the market.  </w:t>
        <w:br/>
        <w:t xml:space="preserve">a) The decline in market shares of TF1 Publicité and the TF1 channel since 2007  </w:t>
        <w:br/>
        <w:t xml:space="preserve">47. In the television advertising market, the gross market share (excluding sponsorship) of TF1 Publicité experienced a decrease of 12.8 points (or 26%) between 2007 (49.2%) and 2015 (36.4%), followed by an increase of 5.5 points (or 15%) between 2015 (36.4%) and 2016 (41.9%), notably due to the modification of its scope of activity following the management of the TMC and NT1 channels. Over the entire period from 2007 to 2016, its gross market share thus decreased by 15%. Its net market share (excluding sponsorship) followed a similar trend.  </w:t>
        <w:br/>
        <w:t xml:space="preserve">48. While the gross market share (excluding sponsorship) of M6 Publicité, the main competitor of TF1 Publicité, recorded declines in 2011 (-1.7 points), 2014 (-0.6 points), and 2015 (-0.1 points), it has shown, unlike that of TF1 Publicité, an upward trend over the entire period from 2007 to 2016 (+2.8 points). Its net market share (excluding sponsorship) experienced a similar evolution during the same period.  </w:t>
        <w:br/>
        <w:t xml:space="preserve">Comparative evolution of the gross market shares of TF1 Publicité and M6 Publicité between 2007 and 2016  </w:t>
        <w:br/>
        <w:t xml:space="preserve">60  </w:t>
        <w:br/>
        <w:t xml:space="preserve">50  </w:t>
        <w:br/>
        <w:t xml:space="preserve">48.2  </w:t>
        <w:br/>
        <w:t xml:space="preserve">46  </w:t>
        <w:br/>
        <w:t xml:space="preserve">40 42.6 39.3 38.8 38.4 41.9  </w:t>
        <w:br/>
        <w:t xml:space="preserve">36.5 36.4  </w:t>
        <w:br/>
        <w:t xml:space="preserve">30  </w:t>
        <w:br/>
        <w:t xml:space="preserve">20 21.8 22.9 23.2 21.5 21.8 23 22.4 22.3 23.6  </w:t>
        <w:br/>
        <w:t xml:space="preserve">10  </w:t>
        <w:br/>
        <w:t xml:space="preserve">0  </w:t>
        <w:br/>
        <w:t xml:space="preserve">2008 2009 2010 2011 2012 2013 2014 2015 2016  </w:t>
        <w:br/>
        <w:t xml:space="preserve">TF1 Publicité 48.2 46 42.6 39.3 38.8 38.4 36.5 36.4 41.9  </w:t>
        <w:br/>
        <w:t xml:space="preserve">M6 Publicité 21.8 22.9 23.2 21.5 21.8 23 22.4 22.3 23.6  </w:t>
        <w:br/>
        <w:t xml:space="preserve">TF1 Publicité M6 Publicité  </w:t>
        <w:br/>
        <w:t xml:space="preserve">Source: data provided by the parties.  </w:t>
        <w:br/>
        <w:t xml:space="preserve">49. Furthermore, the gross advertising revenues (excluding sponsorship) of the TF1 channel alone (as opposed to the entire TF1 Publicité) have decreased. They represented, in 2007, 45.1% of the total gross advertising revenues (excluding sponsorship) of the market, compared to 31.4% in 2016, representing a decrease of more than 30% of its relative share. If we consider net figures, the market share of advertising revenues from the TF1 channel decreased by 20% during the same period.  </w:t>
        <w:br/>
        <w:t xml:space="preserve">50. Finally, as indicated by the CSA in its impact study titled "Analysis related to the request for non-renewal of competitive commitments made by the TF1 group during the transition of the LCI channel to free-to-air," the net advertising market share of the M6 channel, on the other hand, "is on the rise compared to 2007 ([10-20]%) and 2015 ([10-20]%), reaching [20-30]% in 2017, its highest historical level."  </w:t>
        <w:br/>
        <w:t xml:space="preserve">51. Other competing sales houses of TF1 Publicité, such as Canal+Régie, NRJglobal, and NextRégie, have also strengthened their position in recent years.  </w:t>
        <w:br/>
        <w:t xml:space="preserve">b) The evolution of the power level of advertising screens of the TF1 and M6 channels  </w:t>
        <w:br/>
        <w:t xml:space="preserve">52. Among all viewers, the share of the TF1 channel in the total GRP supply delivered on television, across all screens, decreased from 48% to 32% (a decrease of nearly 34%) between 2007 and 2017, while that of the M6 channel remained stable (or even slightly increased from 14% to 15%).  </w:t>
        <w:br/>
        <w:t xml:space="preserve">53. Furthermore, the position of the M6 channel improved during the period on advertising screens with power between 2 and 5 GRP, just as the position of the TF1 channel improved on screens with power between 5 and 9 GRP.  </w:t>
        <w:br/>
        <w:t xml:space="preserve">54. Finally, while TF1 still offers advertising screens of over 9 GRP today, as recalled in paragraph 24, the total number of these screens collapsed between 2007 and 2017.  </w:t>
        <w:br/>
        <w:t xml:space="preserve">c) The evolution of the role of powerful screens in the television advertising market  </w:t>
        <w:br/>
        <w:t xml:space="preserve">55. According to the statements of four of the five media agencies interviewed, the search for spaces located within powerful screens is no longer a necessary step to deploy a television advertising strategy.  </w:t>
        <w:br/>
        <w:t xml:space="preserve">56. The launch of new DTT channels has indeed encouraged advertisers to use more advertising spaces located within these new screens, which are more economical than those of the historical terrestrial channels and whose combination allows for achieving levels of repetition and coverage similar to those offered by the powerful screens of the TF1 channel. Thus, for example, 5 screens of 2 GRP from the new DTT channels can achieve the same performance as a powerful screen of 10 GRP from the TF1 channel.  </w:t>
        <w:br/>
        <w:t>57. According to the converging statements of media agencies, for several years now, it has been possible for advertisers to no longer make advertising investments on the TF1 channel and, more specifically, on its powerful screens. During the investigation, it was noted that buyers of television advertising spaces have gradually been able to do without TF1 Publicité: the advertising spaces of the TF1 channel are therefore no longer essential for advertisers. Thus, according to Omnicom Media Group, it was "more complicated to do without TF1 in the past, but since the launch of the new DTT channels, things have changed [...]". For its part, Publicis Media France indicates "[that]"</w:t>
      </w:r>
    </w:p>
    <w:p>
      <w:r>
        <w:rPr>
          <w:b/>
        </w:rPr>
        <w:t>[Pages 16–18]</w:t>
      </w:r>
    </w:p>
    <w:p>
      <w:r>
        <w:t xml:space="preserve">today, no one is indispensable. »25 This situation has evolved "since the arrival of DTT because advertisers have more options."26 Group M finally notes that "many advertisers do not invest in TF1 [...] it was already conceivable not to invest in TF1 a few years ago."27  </w:t>
        <w:br/>
        <w:t xml:space="preserve">d) The absence of obstacles to changing advertising agencies by buyers of television advertising spaces  </w:t>
        <w:br/>
        <w:t xml:space="preserve">58. Advertisers making advertising investments on the TF1 channel can either reduce or eliminate, from one year to the next, their investments which can then be allocated to the purchase of spaces on other historical terrestrial channels, including the M6 channel.  </w:t>
        <w:br/>
        <w:t xml:space="preserve">59. Thus, it is not uncommon for advertisers who invested in the TF1 channel in a given year to decide the following year to reduce, partially or totally, their investments in this channel in favor of other channels, including the M6 channel. This is particularly the case for the advertisers listed in the table below:  </w:t>
        <w:br/>
        <w:t xml:space="preserve">2010- 2011- 2012- 2013- 2014- 2015- 2016- 2017-  </w:t>
        <w:br/>
        <w:t xml:space="preserve">2011 2012 2013 2014 2015 2016 2017 2018  </w:t>
        <w:br/>
        <w:t xml:space="preserve">Eclor Halfords Arkea Johnson Bristol Samsonite Bayer Andros  </w:t>
        <w:br/>
        <w:t xml:space="preserve">Media Direct Groupe Myers Groupe Groupe  </w:t>
        <w:br/>
        <w:t xml:space="preserve">Bank Squibb  </w:t>
        <w:br/>
        <w:t xml:space="preserve">Red Bull Pacific MC Eckes Solinest Sabre Kentucky Danone  </w:t>
        <w:br/>
        <w:t xml:space="preserve">France Groupe Cormick Granini Groupe Fried Groupe  </w:t>
        <w:br/>
        <w:t xml:space="preserve">Groupe France Chicken  </w:t>
        <w:br/>
        <w:t xml:space="preserve">Source: references 4023 and 4829.  </w:t>
        <w:br/>
        <w:t xml:space="preserve">60. The statements from media agencies indicate the complete absence of obstacles to changing advertising agencies by buyers of television advertising spaces.  </w:t>
        <w:br/>
        <w:t xml:space="preserve">e) The strengthening of the negotiating power of media agencies vis-à-vis advertising agencies  </w:t>
        <w:br/>
        <w:t xml:space="preserve">61. The significant contraction in demand for television advertising spaces, particularly linked to the economic crisis of 2008 and subsequent years, as well as the multiplication of the supply of television advertising spaces starting in 2005, have contributed to strengthening the negotiating power of media agencies.  </w:t>
        <w:br/>
        <w:t xml:space="preserve">62. The media agencies Havas Media France, Group M France, Publicis Media France, and Omnicom Media Group, questioned on this matter during the investigation of this case, thus believe they have strong negotiating power vis-à-vis advertising agencies. This observation is also shared by certain channels.28  </w:t>
        <w:br/>
        <w:t xml:space="preserve">25 Reference 2431.  </w:t>
        <w:br/>
        <w:t xml:space="preserve">26 Reference 2431.  </w:t>
        <w:br/>
        <w:t xml:space="preserve">27 Reference 2420.  </w:t>
        <w:br/>
        <w:t xml:space="preserve">28 See in particular the aforementioned decision No. 18-DCC-63 of the Competition Authority dated April 23, 2018, point 72.  </w:t>
        <w:br/>
        <w:t xml:space="preserve">f) The emergence of new advertising agencies  </w:t>
        <w:br/>
        <w:t xml:space="preserve">63. Between 2014 and 2016, the television advertising market was marked by the entry of two new advertising agencies: Disney Media+29 and beIN Régie30.  </w:t>
        <w:br/>
        <w:t xml:space="preserve">g) Conclusion  </w:t>
        <w:br/>
        <w:t xml:space="preserve">64. The empirical analysis of market developments shows that the position of TF1 Publicité in the television advertising market has significantly declined since 2007. In particular, it is noted that the advertising agency of the TF1 group no longer has the same economic power today as it did in 2010, during the assessment by the Competition Authority of the exclusive takeover by the TF1 group of the company NT1 and Monte-Carlo Participations31.  </w:t>
        <w:br/>
        <w:t xml:space="preserve">C. THE OVERALL DISCOUNT RATE GRANTED BY TF1 PUBLICITÉ TO ADVERTISERS  </w:t>
        <w:br/>
        <w:t xml:space="preserve">65. Based on the commercial conditions of the TF1 channel for year N, the advertising agency of the TF1 group negotiates CPVs with media agencies wishing to purchase advertising spaces on the TF1 channel on behalf of their advertiser clients.  </w:t>
        <w:br/>
        <w:t xml:space="preserve">66. As indicated by TF1 Publicité in its response to the information request from the investigation services dated April 20, 2018, the CPVs that may be granted by TF1 Publicité are of two types, depending on the mode of purchasing advertising spaces on the TF1 channel preferred by the media agency:  </w:t>
        <w:br/>
        <w:t xml:space="preserve">“(i) Regarding advertising investments in ‘spot to spot’, an overall discount rate on the gross rate which may vary according to the category of advertising spaces concerned,  </w:t>
        <w:br/>
        <w:t xml:space="preserve">(ii) Regarding advertising investments in guaranteed net GRP cost, a reference GRP cost for a 30-second spot and for a given target (on a base of 100), adjusted according to the cost index grid published by TF1 Publicité, which are variable according to the investment period and the time slot of the concerned screen (‘day-part’)”32.  </w:t>
        <w:br/>
        <w:t xml:space="preserve">67. As for the CPVs that may be granted by TF1 Publicité for advertising investments in spot to spot made by the advertiser on the TF1 channel, it appears that the overall discount rate has the same characteristics as those granted by other advertising agencies:  </w:t>
        <w:br/>
        <w:t xml:space="preserve">- it applies to all gross advertising investments in spot to spot, except for those related to event screens, made by the advertiser on the TF1 channel for the relevant period, corresponding to a maximum of one year;  </w:t>
        <w:br/>
        <w:t xml:space="preserve">- it is negotiated on a case-by-case basis for each advertiser. As indicated by the TF1 group in its response to the information request from the investigation services dated April 20, 2018, “[i]t involves negotiations aimed at adapting the general sales conditions of TF1, which constitute ‘standard’ conditions, to the specific needs of each advertiser taken individually (…) Given the diversity of the investment characteristics of advertisers in relation to their specific objectives, the setting of the specific sales conditions granted to an advertiser cannot be reduced to the application of a predefined standard grid (unlike the general sales conditions)”33.  </w:t>
        <w:br/>
        <w:t xml:space="preserve">68. Furthermore, when the same advertiser makes advertising purchases both in spot to spot and in “guaranteed GRP cost”, the overall discount rate negotiated between the media agency and TF1 Publicité only applies to the advertising investments in “spot to spot” made by the advertiser on the TF1 channel for the relevant period.  </w:t>
        <w:br/>
        <w:t xml:space="preserve">69. The level of the overall discount rate, negotiated between the media agency and TF1 Publicité, mainly varies depending on the sector to which the advertiser belongs, the total volume of net advertising investments that the advertiser commits to make on the TF1 channel for the considered period, the distribution of this total volume of advertising investments across different time slots and between off-peak and peak periods, the period during which the advertiser invests, and the programming conditions.  </w:t>
        <w:br/>
        <w:t xml:space="preserve">70. In this regard, it should be noted that the level of the overall discount rate, negotiated between the media agency and TF1 Publicité, does not depend on the proportion of the total volume of net advertising investments that the advertiser commits to make on the TF1 channel for the relevant period, compared to the amount of the advertiser's television advertising budget or that allocated to all historical terrestrial channels during that same period.  </w:t>
        <w:br/>
        <w:t xml:space="preserve">71. There is therefore no minimum threshold for obtaining the overall discount rate based on a percentage of the advertiser's needs for television advertising spaces in the context of these negotiations.  </w:t>
        <w:br/>
        <w:t xml:space="preserve">72. In this regard, media agencies consistently indicate that TF1 Publicité, unlike M6 Publicité, never uses market share criteria in its negotiations with agencies. The documentary evidence collected, including the briefs from the agencies and contracts concluded between them and TF1 Publicité, contains no reference to the proportion of the advertiser's investments and thus corroborates the statements of the media agencies.  </w:t>
        <w:br/>
        <w:t xml:space="preserve">73. These same elements also do not establish that the granting of the overall discount rate would be explicitly conditioned on an exclusive or quasi-exclusive supply of the advertiser from TF1 Publicité regarding its needs for television advertising spaces.  </w:t>
        <w:br/>
        <w:t xml:space="preserve">74. Finally, TF1 Publicité does not appear to be able to set the threshold for obtaining the overall discount rate, expressed in absolute value, at a level that would correspond in fact to all or a significant part of the advertiser's needs for television advertising spaces. In this regard, it emerges from the elements of the investigation file:  </w:t>
        <w:br/>
        <w:t xml:space="preserve">- that media agencies do not communicate to the advertising agencies either the advertiser's television advertising budget or the share of that budget allocated to historical terrestrial channels;  </w:t>
        <w:br/>
        <w:t>33 References 2978 and 2979, 14/0031F.</w:t>
      </w:r>
    </w:p>
    <w:p>
      <w:r>
        <w:rPr>
          <w:b/>
        </w:rPr>
        <w:t>[Pages 19–21]</w:t>
      </w:r>
    </w:p>
    <w:p>
      <w:r>
        <w:t xml:space="preserve">- that none of the advertising agencies have access to the confidential briefs communicated by the agencies to competing agencies;  </w:t>
        <w:br/>
        <w:t xml:space="preserve">- that the advertising agencies do not have the necessary market knowledge to realistically estimate, at the time of negotiations, the total amount of the advertiser's television advertising budget and the portion of that budget allocated to historical terrestrial channels. These amounts can only be reconstructed imperfectly and a posteriori, at the end of the current year or the beginning of the following year, based on the raw data produced by Kantar Media. This data, accessible to all market players, does not, however, reflect the result of the negotiation between the media agency and the advertising agencies. Moreover, the observed volatility of an advertiser's advertising budgets from one year to the next does not allow advertising agencies to infer reliable market shares based on the historical expenditures made by the advertiser.  </w:t>
        <w:br/>
        <w:t xml:space="preserve">II. DISCUSSION  </w:t>
        <w:br/>
        <w:t xml:space="preserve">A. ON THE APPLICATION OF EUROPEAN UNION LAW  </w:t>
        <w:br/>
        <w:t xml:space="preserve">75. European competition law must be applied by the Authority, as long as trade between Member States is likely to be significantly affected by the practices in question.  </w:t>
        <w:br/>
        <w:t xml:space="preserve">76. Regarding the first two criteria related to the existence of practices likely to affect trade between Member States, the practices denounced, which cover the entire national territory, are implemented by the TF1 group, which defines its flagship channel, TF1, as "the 1st private channel in Europe" and its advertising agency, TF1 Publicité, as "the first multimedia advertising agency in Europe."  </w:t>
        <w:br/>
        <w:t xml:space="preserve">77. On the advertising agencies/advertisers side of the national television advertising market, TF1 Publicité currently markets the advertising spaces of fourteen channels, authorized by the CSA for national broadcasting, ten of which, including the TF1 and HD1 channels, are also broadcast in at least one other Member State.  </w:t>
        <w:br/>
        <w:t xml:space="preserve">34 Press release published by the TF1 group on January 11, 2016: http://www.groupe-tf1.fr/fr/communiques/audience-audience-groupe/audiences-les-4-cha%C3%AEnes-en-clair-bilan-ann%C3%A9e-2015  </w:t>
        <w:br/>
        <w:t xml:space="preserve">35 Reference document and annual financial report 2015 of the TF1 group, page 43: http://www.groupe-tf1.fr/sites/default/files/pdf-financiers/tf1_ddr_2015_interactif.pdf  </w:t>
        <w:br/>
        <w:t xml:space="preserve">36 See in particular the aforementioned decision No. 14-DCC-50 of the Competition Authority of April 2, 2014, points 109 and 110; the aforementioned decision No. 10-DCC-11 of the Competition Authority of January 26, 2010, points 184 to 187 and opinion No. 06-A-13 of the Competition Council of July 13, 2006 regarding the acquisition of the companies TPS and CanalSatellite by Vivendi Universal and Groupe Canal Plus, point 216.  </w:t>
        <w:br/>
        <w:t xml:space="preserve">37 The channels TF1, LCI, Histoire, Ushuaïa, TV Breizh, Eurosport 1, and Eurosport 2 are also broadcast in Belgium and Luxembourg. HD1 and NT1 are also broadcast in Belgium. Finally, TMC is also broadcast in Luxembourg. See in particular the guide to digital channels published in April 2017 by the CSA, the National Center for Cinema and the Animated Image, the General Directorate of Media and Cultural Industries of the Ministry of Culture and Communication, the Association of Conventional Channels Publishing Services, and the SNPTV.  </w:t>
        <w:br/>
        <w:t xml:space="preserve">38 Guide to "TV + " published by the SNPTV in 2017, page 176: https://www.snptv.org/wp-content/uploads/2017/04/GUIDE_SNPTV2017v7spq.pdf  </w:t>
        <w:br/>
        <w:t xml:space="preserve">39 This refers to the advertising investments of advertisers in the television media.  </w:t>
        <w:br/>
        <w:t xml:space="preserve">40 Reference document and annual financial report 2016 of the TF1 group, page 32: https://www.groupe-tf1.fr/sites/default/files/pdf-financiers/tf1_ddr_2016.pdf  </w:t>
        <w:br/>
        <w:t xml:space="preserve">41 See in particular decisions No. 14-D-03 of February 20, 2014, regarding practices implemented in the industrial towels sector, point 6 and No. 17-D-11 of July 25, 2017, regarding practices implemented in the television advertising sector, point 116 as well as judgment 2012/08948 of the Paris Court of Appeal of September 26, 2013, pages 6 and 7.  </w:t>
        <w:br/>
        <w:t xml:space="preserve">1. ON THE GRANTING OF AN OVERALL DISCOUNT RATE TO ADVERTISERS PURCHASING ADVERTISING SPACES ON THE TF1 CHANNEL  </w:t>
        <w:br/>
        <w:t xml:space="preserve">a) On the qualification of exclusivity discounts  </w:t>
        <w:br/>
        <w:t xml:space="preserve">85. Exclusivity discounts imply that a dominant company conditions the granting of discounts on an exclusivity of supply, for a significant portion of the buyer's needs.  </w:t>
        <w:br/>
        <w:t xml:space="preserve">86. In this case, such a qualification would imply that the granting of the overall discount rate is conditioned by TF1 Publicité, explicitly or implicitly, on a portion of the advertiser's advertising investments on the TF1 channel representing all or a significant part of its needs for television advertising spaces.  </w:t>
        <w:br/>
        <w:t xml:space="preserve">87. However, as evidenced by paragraphs 70 to 74, TF1 Publicité never conditions the granting of the overall discount rate on such a commitment from the advertiser.  </w:t>
        <w:br/>
        <w:t xml:space="preserve">88. It is indeed clear from the contractual stipulations that the overall discount rate, negotiated between the media agency and TF1 Publicité, depends on the volume that the advertiser commits to achieving, expressed in absolute value. Conversely, it is noted that this overall discount rate does not depend on the share of net advertising investments that the advertiser commits to making on the TF1 channel, relative to its total television advertising budget or that allocated to historical terrestrial channels.  </w:t>
        <w:br/>
        <w:t xml:space="preserve">89. This proportion, which does not emerge from the contracts, cannot be reliably estimated by the advertising agency of the TF1 group either. Indeed, lacking access, at the time of negotiation, to the total amount of the advertiser's television advertising budget and/or the share of that budget allocated to all historical terrestrial channels or having the necessary market knowledge to realistically estimate these amounts, TF1 Publicité is not able to set the threshold for obtaining the overall discount rate, expressed in absolute value, at a level that would correspond in fact to all or a significant part of the advertiser's needs for television advertising spaces.  </w:t>
        <w:br/>
        <w:t xml:space="preserve">90. Any advertiser committing to making investments on the TF1 channel can thus benefit from an overall discount rate, regardless of the proportion that this volume of investments represents relative to the amount of its television advertising budget or that allocated to all historical terrestrial channels during the same period.  </w:t>
        <w:br/>
        <w:t xml:space="preserve">b) On the qualification of loyalty discounts other than exclusivity discounts  </w:t>
        <w:br/>
        <w:t xml:space="preserve">91. The assessment of loyalty discounts other than exclusivity discounts must be carried out taking into account all relevant circumstances, including the criteria and modalities for granting discounts as well as the characteristics of the market in which the dominant company operates.  </w:t>
        <w:br/>
        <w:t>92. Such an assessment aims to determine whether these discounts "tend, through an advantage that does not rely on any economic performance justifying it, to remove from the buyer, or to restrict in their regard, the possibility of choice, concerning their sources.</w:t>
      </w:r>
    </w:p>
    <w:p>
      <w:r>
        <w:rPr>
          <w:b/>
        </w:rPr>
        <w:t>[Pages 22–23]</w:t>
      </w:r>
    </w:p>
    <w:p>
      <w:r>
        <w:t xml:space="preserve">d'approvisionnement, to block competitors' access to the market, or to strengthen the dominant position through distorted competition."43  </w:t>
        <w:br/>
        <w:t xml:space="preserve">93. As a preliminary point, it should be noted that the market share of TF1 Publicité since 2007 is significantly lower than the market share levels considered by the European Commission and the Authority in several cases of loyalty discounts.44  </w:t>
        <w:br/>
        <w:t xml:space="preserve">94. As a main point, media agencies believe that the search for powerful slots is no longer an end in itself and that a combination of lower power slots can achieve an effectiveness equivalent to that delivered by a powerful slot. Powerful slots, primarily held by the TF1 channel, are therefore no longer essential, especially since their number and proportion relative to the total power delivered in the market have seen a considerable decrease during the period 2007/2017.  </w:t>
        <w:br/>
        <w:t xml:space="preserve">95. The elements gathered during the investigation also show that in the absence of obstacles to changing advertising agencies by buyers of television advertising spaces, advertisers making advertising investments on the TF1 channel are able, without difficulty, to reduce, from one year to the next, the investments made on the TF1 channel in favor of those made on other channels, including the M6 channel.  </w:t>
        <w:br/>
        <w:t xml:space="preserve">96. Furthermore, agencies and certain channels have indicated that the negotiating power of media agencies vis-à-vis advertising agencies, including TF1 Publicité, has strengthened.  </w:t>
        <w:br/>
        <w:t xml:space="preserve">97. Finally, the contracts concluded between TF1 Publicité and media agencies do not contain any tacit renewal clauses or exit penalties in the event of the advertiser's failure to meet its commitments.  </w:t>
        <w:br/>
        <w:t xml:space="preserve">98. In light of all the relevant circumstances, the conditions for qualifying the practices under loyalty discounts are not met.  </w:t>
        <w:br/>
        <w:t xml:space="preserve">2. ON THE JOINT COMMERCIALIZATION OF ADVERTISING SPACES OF THE CHANNELS TF1, HD1, AND NUMÉRO 23 BY A SINGLE ADVERTISING AGENCY  </w:t>
        <w:br/>
        <w:t xml:space="preserve">99. As specified by the Authority in its decision No. 17-D-11 of July 25, 2017, the mere holding by TF1 Publicité of a diversified portfolio of channels and, consequently, the corresponding television advertising spaces cannot in itself constitute an abusive practice. Indeed, it is only if TF1 Publicité relied on powerful slots of the TF1 channel to develop, through any form of bundling, subordination, advantage, or consideration, the sale of advertising spaces of the other channels managed by TF1 Publicité that the behavior of the advertising agency of the TF1 group would be likely to fall under Articles L. 420-2 of the Commercial Code and 102 of the TFEU.  </w:t>
        <w:br/>
        <w:t xml:space="preserve">43 See in particular the judgment Tomra Systems ASA e.a. v. European Commission of April 19, 2012, case C-549/10P, paragraph 71.  </w:t>
        <w:br/>
        <w:t xml:space="preserve">44 Including, for example, the Post Danmark cases (judgment of the Court of Justice in case C-23/14), Tomra (decision of the European Commission of March 29, 2006 in case COMP/E-1/38.113 and judgment of the court of September 9, 2010 in case T-155/06) and TDF (decision No. 16-D-11 of June 6, 2016 regarding practices implemented in the sector of terrestrial television broadcasting) in which these companies held market shares between 70% and 95% in the relevant markets concerned.  </w:t>
        <w:br/>
        <w:t xml:space="preserve">45 See the aforementioned decision No. 17-D-11 of the Autorité de la concurrence of July 25, 2017, point 133.  </w:t>
        <w:br/>
        <w:t xml:space="preserve">100. However, as demonstrated by the Authority in the aforementioned decision No. 17-D-11, these practices are not established.  </w:t>
        <w:br/>
        <w:t xml:space="preserve">DECISION  </w:t>
        <w:br/>
        <w:t xml:space="preserve">Single Article: Based on the information available to the Autorité de la concurrence, the conditions for a prohibition under Article 102 TFEU or Article L. 420-2 of the Commercial Code are not met. There is therefore no need, pursuant to Article 5 of Regulation 1/2003, to continue the proceedings either under Union law or domestic law.  </w:t>
        <w:br/>
        <w:t xml:space="preserve">Deliberated on the oral report of Mr. Pablo González Pérez and Mr. Benjamin Record, rapporteurs, and the intervention of Ms. Juliette Théry-Schultz, deputy general rapporteur, by Mr. Emmanuel Combe, vice-president, president of the session, Ms. Fabienne Siredey-Garnier and Mr. Thierry Dahan, vice-presidents.  </w:t>
        <w:br/>
        <w:t xml:space="preserve">The session secretary, The session president,  </w:t>
        <w:br/>
        <w:t xml:space="preserve">Armelle Hillion Emmanuel Combe  </w:t>
        <w:br/>
        <w:t xml:space="preserve">© Autorité de la concurrence  </w:t>
        <w:br/>
        <w:t>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