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https://www.autoritedelaconcurrence.fr/fr/decision/relative-des-pratiques-mises-en-oeuvre-dans-le-secteur-de-la-radiotherapie</w:t>
      </w:r>
    </w:p>
    <w:p>
      <w:r>
        <w:t>Pages translated : 15</w:t>
      </w:r>
    </w:p>
    <w:p/>
    <w:p>
      <w:r>
        <w:rPr>
          <w:b/>
        </w:rPr>
        <w:t>[Pages 1–3]</w:t>
      </w:r>
    </w:p>
    <w:p>
      <w:r>
        <w:t xml:space="preserve">FRENCH REPUBLIC  </w:t>
        <w:br/>
        <w:t xml:space="preserve">Decision No. 22-D-25 of December 19, 2022  </w:t>
        <w:br/>
        <w:t xml:space="preserve">regarding practices implemented  </w:t>
        <w:br/>
        <w:t xml:space="preserve">in the radiotherapy sector  </w:t>
        <w:br/>
        <w:t xml:space="preserve">The Competition Authority (Vice-President ruling alone),  </w:t>
        <w:br/>
        <w:t xml:space="preserve">Having regard to the letters registered on June 8 and August 4, 2022, under numbers 22/0039 F and 22/0040 M, by which SCP Crome, Doctors X..., Y..., Z..., A..., and SCM Centre d’Oncologie referred to the Competition Authority regarding practices implemented in the radiotherapy sector, and additionally requested the issuance of interim measures;  </w:t>
        <w:br/>
        <w:t xml:space="preserve">Having regard to Book IV of the Commercial Code;  </w:t>
        <w:br/>
        <w:t xml:space="preserve">Having regard to Decision No. 22-JU-04 of September 21, 2022, by which the President of the Competition Authority designated Mr. Henri Piffaut, Vice-President, to adopt alone the decision resulting from the examination of the referrals registered under numbers 22/0039 F and 22/0040 M;  </w:t>
        <w:br/>
        <w:t xml:space="preserve">Having regard to the observations presented by SCP Crome, Doctors X..., Y..., Z..., A..., and SCM Centre d’Oncologie, by the Centre de radiothérapie de Ris-Orangis, and by the companies Almaviva Santé and Perceval;  </w:t>
        <w:br/>
        <w:t xml:space="preserve">Having regard to the other documents in the file;  </w:t>
        <w:br/>
        <w:t xml:space="preserve">The reporters, the Deputy General Reporter, the representatives of SCP Crome, Doctors X..., Y..., Z..., A..., SCM Centre d’Oncologie, the Centre de radiothérapie de Ris-Orangis, and the companies Almaviva Santé and Perceval heard during the session of the Competition Authority on October 21, 2022, the Government Commissioner having been regularly summoned;  </w:t>
        <w:br/>
        <w:t>Adopts the following decision:</w:t>
      </w:r>
    </w:p>
    <w:p>
      <w:r>
        <w:t xml:space="preserve">SUMMARY  </w:t>
        <w:br/>
        <w:t xml:space="preserve">I. FINDINGS ................................................................................ 3  </w:t>
        <w:br/>
        <w:t xml:space="preserve">A. THE REFERRAL ....................................................................................................................3  </w:t>
        <w:br/>
        <w:t xml:space="preserve">B. THE SECTOR ..................................................................................................................3  </w:t>
        <w:br/>
        <w:t xml:space="preserve">C. THE COMPANIES INVOLVED AND THEIR CONTRACTUAL RELATIONS ..........................................................4  </w:t>
        <w:br/>
        <w:t xml:space="preserve">1. THE REFERRERS: SCP CROME, DOCTORS X..., Y..., Z..., A..., AND SCM CENTRE D’ONCOLOGIE ..........................................................4  </w:t>
        <w:br/>
        <w:t xml:space="preserve">2. THE COMPANIES IN QUESTION ..........................................................................4  </w:t>
        <w:br/>
        <w:t xml:space="preserve">3. THE CONTRACTUAL RELATIONS BETWEEN THE PARTIES ........................................5  </w:t>
        <w:br/>
        <w:t xml:space="preserve">D. THE PRACTICES ALLEGED .................................................................................6  </w:t>
        <w:br/>
        <w:t xml:space="preserve">II. DISCUSSION .......................................................................................... 7  </w:t>
        <w:br/>
        <w:t xml:space="preserve">A. ON THE ALLEGED ABUSE OF DOMINANT POSITION .........................................7  </w:t>
        <w:br/>
        <w:t xml:space="preserve">1. ON THE RELEVANT MARKET .....................................................................................8  </w:t>
        <w:br/>
        <w:t xml:space="preserve">a) The market for products .............................................................................. 8  </w:t>
        <w:br/>
        <w:t xml:space="preserve">b) The geographical dimension of the relevant market ............................... 10  </w:t>
        <w:br/>
        <w:t xml:space="preserve">2. ON THE POSITION OF CRRO IN THE MARKET IN QUESTION ......................................12  </w:t>
        <w:br/>
        <w:t xml:space="preserve">B. ON THE ALLEGED CONCERTED PRACTICE ...................................................13  </w:t>
        <w:br/>
        <w:t xml:space="preserve">III. CONCLUSION ...................................................................................... 14  </w:t>
        <w:br/>
        <w:t>DECISION ..................................................................................................... 15</w:t>
      </w:r>
    </w:p>
    <w:p>
      <w:r>
        <w:t xml:space="preserve">I. Findings  </w:t>
        <w:br/>
        <w:t xml:space="preserve">A. THE REFERRAL  </w:t>
        <w:br/>
        <w:t xml:space="preserve">1. By letters dated June 8 and August 4, 2022, registered under number 22/0039 F, SCP Crome, Doctors X..., Y..., Z..., A..., and SCM Centre d’Oncologie referred to the Competition Authority (hereinafter "Authority") practices implemented in the radiotherapy sector by the Centre de Radiothérapie de Ris-Orangis (hereinafter "CRRO"), Almaviva Santé (hereinafter "Almaviva"), and Perceval (hereinafter "Perceval").  </w:t>
        <w:br/>
        <w:t xml:space="preserve">2. The referral on the merits is accompanied by a request for interim measures, registered under number 22/0040 M.  </w:t>
        <w:br/>
        <w:t xml:space="preserve">B. THE SECTOR  </w:t>
        <w:br/>
        <w:t xml:space="preserve">3. The sector concerned is that of external oncological radiotherapy, carried out in centers for the care of patients with cancers requiring locoregional treatment by radiation. Radiotherapy can be associated with other cancer treatments (surgery, chemotherapy, targeted therapies, immunotherapy) and can take place before, during, or after these treatments. It consists of administering high-energy rays at the site of the tumor to destroy cancer cells. In France, 60% of patients with cancer are treated with radiotherapy at some point during their care. More than 200,000 patients are treated each year, representing nearly 4.2 million irradiation sessions.  </w:t>
        <w:br/>
        <w:t xml:space="preserve">4. External radiotherapy, where the source of radiation is external to the patient, is distinguished from brachytherapy, where the source of radiation is positioned in direct contact with the patient, within or as close as possible to the area to be treated. Several techniques of external radiotherapy are used in France, such as three-dimensional conformational radiotherapy, intensity-modulated conformational radiotherapy, and stereotactic radiotherapy.  </w:t>
        <w:br/>
        <w:t xml:space="preserve">5. External radiotherapy is practiced in various structures and health establishments: University Hospital Centers (CHU), Regional Hospital Centers (CHR), General Hospital Centers (CHG), non-profit private health establishments (PSPH), Cancer Control Centers (CLCC), and in private practices.  </w:t>
        <w:br/>
        <w:t>6. Radiotherapy centers are subject to a specific authorization issued by their Regional Health Agency (hereinafter "ARS") to treat patients with cancer.</w:t>
      </w:r>
    </w:p>
    <w:p>
      <w:r>
        <w:rPr>
          <w:b/>
        </w:rPr>
        <w:t>[Pages 4–6]</w:t>
      </w:r>
    </w:p>
    <w:p>
      <w:r>
        <w:t xml:space="preserve">7. Authorized centers must therefore meet three main types of criteria: i) a minimum activity threshold of at least 600 patients treated each year; ii) cross-cutting quality conditions (advertising, multidisciplinary approach, application of standards...); iii) accreditation criteria defined by the National Cancer Institute (hereinafter "INCa").  </w:t>
        <w:br/>
        <w:t xml:space="preserve">8. In 2022, 176 radiotherapy centers are authorized in the national territory, including 26 in Île-de-France. In 2020, INCa recorded 891 radiotherapists in the national territory.  </w:t>
        <w:br/>
        <w:t xml:space="preserve">C. THE COMPANIES INVOLVED AND THEIR CONTRACTUAL RELATIONS  </w:t>
        <w:br/>
        <w:t xml:space="preserve">1. THE REFERRING PARTIES: SCP CROME, DOCTORS X..., Y..., Z..., A..., AND SCM CENTRE D’ONCOLOGIE  </w:t>
        <w:br/>
        <w:t xml:space="preserve">9. Doctors X..., Y..., Z..., A... practiced radiotherapy at the CRRO and chemotherapy at the Pasteur clinic, located in Ris-Orangis. They are all four partners and co-managers of SCP Crome and partners of SCM Centre d’Oncologie.  </w:t>
        <w:br/>
        <w:t xml:space="preserve">10. SCP Crome (RCS Evry 799 365 549) was registered in 2013. Its purpose is "the joint practice by its members of the medical profession, with the pooling of fees received due to this activity." According to Doctor Z..., its activity "is essentially the treatment of patients with cancer through radiotherapy."  </w:t>
        <w:br/>
        <w:t xml:space="preserve">11. SCM Centre d’Oncologie (RCS Evry 384 804 365) was registered in 1992. Its purpose is to "facilitate the professional activities of the partners by pooling all necessary material means with better economy (...). It may, in particular for this purpose, rent and manage the premises, facilities, and equipment necessary for the practice of the medical profession to make them available to its members." Doctor Y... is its manager.  </w:t>
        <w:br/>
        <w:t xml:space="preserve">2. THE COMPANIES IN QUESTION  </w:t>
        <w:br/>
        <w:t xml:space="preserve">12. The referral targets the CRRO, Almaviva, and Perceval.  </w:t>
        <w:br/>
        <w:t xml:space="preserve">13. SAS Centre de Radiothérapie de Ris-Orangis (RCS Evry 332 061 571) was registered in 1985. Its purpose is "the arrangement of medical premises, the purchase, sale, rental of medical equipment, hospital management, and all commercial, financial, movable or immovable operations related thereto." The CRRO is an establishment of the Almaviva Santé group. It is the only external radiotherapy center in Essonne.  </w:t>
        <w:br/>
        <w:t xml:space="preserve">14. Almaviva Santé (RCS Aix-en-Provence 798 067 872) was registered on November 13, 2020. According to its website, it is a private health group that includes 42 private establishments in the South region, Île-de-France, and Corsica.  </w:t>
        <w:br/>
        <w:t xml:space="preserve">15. SELARL Perceval (RCS Paris 483 661 294) was registered in 2005. Its purpose is the joint practice of the medical profession. Its managers are oncologist radiotherapists or chemotherapists.  </w:t>
        <w:br/>
        <w:t xml:space="preserve">3. THE CONTRACTUAL RELATIONS BETWEEN THE PARTIES  </w:t>
        <w:br/>
        <w:t xml:space="preserve">16. In 1994, a provision agreement concluded between the CRRO and SCM Centre d’Oncologie provided for the provision, by the CRRO, of premises, equipment, and personnel for the practice of radiotherapy, in exchange for the payment of a fee proportional to the amount of fees billed by the members of the SCM.  </w:t>
        <w:br/>
        <w:t xml:space="preserve">17. Between 2014 and 2017, Doctors X..., Y..., Z..., and A... gradually acquired all the shares of SCM Centre d’Oncologie, thus benefiting from access to the technical platform of the CRRO, under the aforementioned provision agreement.  </w:t>
        <w:br/>
        <w:t xml:space="preserve">18. In 2019, disagreements arose among the partners of SCP Crome regarding the distribution of profits. These disagreements led, on November 20, 2019, to the revocation, for legitimate cause, of Mr. Z...'s managerial functions by the other partners.  </w:t>
        <w:br/>
        <w:t xml:space="preserve">19. According to the referring parties, these disagreements stemmed from the amount of the fee demanded by Almaviva via the CRRO in exchange for the provision of the technical platform, which represented 75% of the billed fees, which, according to the same referring parties, would be contrary to Article L. 4113-5 of the Public Health Code. The amount of this fee was contested before the interim relief judge of the judicial court of Evry by summons of March 22, 2022, which rejected the request by an order of August 9, 2022.  </w:t>
        <w:br/>
        <w:t xml:space="preserve">20. In preparation for an inspection by the Nuclear Safety Authority (hereinafter "ASN") scheduled for February 15, 2020, the CRRO commissioned Dr. C..., an associate radiotherapist of Perceval and head of the consulting company Bouillet Board Briefing, as well as Ms. B..., a public service executive working at the Carcassonne hospital center, to conduct an audit at the Ris-Orangis center between February and November 2020.  </w:t>
        <w:br/>
        <w:t xml:space="preserve">21. By letter dated July 31, 2020, the CRRO notified Doctors X..., Y..., Z..., and A... of the termination of "all [their] written and verbal, individual or corporate contracts that may bind [them]," effective July 31, 2022. According to the CRRO and Almaviva, this termination was motivated by the dysfunctions caused within the radiotherapy center by the disagreements among the partners.  </w:t>
        <w:br/>
        <w:t xml:space="preserve">22. On November 27, 2020, the CRRO notified the referring parties of its decision to grant assignments to Doctor D..., a partner of Perceval who had already provided a replacement at the CRRO on August 20, 2020, assignments which she ultimately renounced.  </w:t>
        <w:br/>
        <w:t xml:space="preserve">23. On July 28, 2021, the CRRO confirmed the termination of "all written and verbal agreements that may exist" between the CRRO and SCP Crome.  </w:t>
        <w:br/>
        <w:t xml:space="preserve">24. On April 15, 2022, the CRRO entered into a liberal practice contract with Perceval allowing the doctors of Perceval to practice radiotherapy at the CRRO, starting from September 1, 2022, in place of the four referring radiotherapists.  </w:t>
        <w:br/>
        <w:t xml:space="preserve">D. THE PRACTICES ALLEGED  </w:t>
        <w:br/>
        <w:t xml:space="preserve">25. The referring parties accuse the CRRO of a discriminatory practice constituting an abuse of dominant position in the market for access to cancer treatment through external radiotherapy, of which the CRRO would have a monopoly in the department of Essonne, as well as a concerted practice between Almaviva, the CRRO, and Perceval, aimed at excluding them from the market for access to cancer treatment through external radiotherapy.  </w:t>
        <w:br/>
        <w:t xml:space="preserve">26. In addition to their referral on the merits, they request, as a precautionary measure, that the Authority orders the CRRO, Almaviva, and Perceval:  </w:t>
        <w:br/>
        <w:t>− access to the Ris-Orangis center, notably by allowing them, at the very least, to treat patients who request it, under a penalty of €20,000 per day of delay.</w:t>
      </w:r>
    </w:p>
    <w:p>
      <w:r>
        <w:rPr>
          <w:b/>
        </w:rPr>
        <w:t>[Pages 7–9]</w:t>
      </w:r>
    </w:p>
    <w:p>
      <w:r>
        <w:t xml:space="preserve">− the payment by each of them to the five claimants of an advance on the financial penalty of 300,000 euros;  </w:t>
        <w:br/>
        <w:t xml:space="preserve">− the publication of a press release in regional newspapers; and  </w:t>
        <w:br/>
        <w:t>− the payment of 30,000 euros to SCP Crome for the costs incurred in this procedure.</w:t>
      </w:r>
    </w:p>
    <w:p>
      <w:r>
        <w:t xml:space="preserve">II. Discussion  </w:t>
        <w:br/>
        <w:t xml:space="preserve">27. The second paragraph of Article L. 462-8 of the Commercial Code states that "the Competition Authority may (...) reject the referral by reasoned decision when it considers that the facts invoked are not supported by sufficiently probative elements (...)".  </w:t>
        <w:br/>
        <w:t xml:space="preserve">28. Article R. 464-1 of the Commercial Code states that "the request for interim measures mentioned in Article L. 464-1 can only be made as an adjunct to a referral on the merits to the Competition Authority".  </w:t>
        <w:br/>
        <w:t xml:space="preserve">29. Furthermore, according to case law, it is not the Authority's role to supplement the parties' failure in the administration of evidence and to conduct, when the referral lacks probative elements, further investigations. Indeed, the Authority is free to assess the necessity of supplementing the data of a referral in light of the elements specific to each case, the market context involved, and the priorities it has set to carry out its missions.  </w:t>
        <w:br/>
        <w:t>30. The alleged abuse of dominant position (A) and the alleged collusion (B) will be examined successively.</w:t>
      </w:r>
    </w:p>
    <w:p>
      <w:r>
        <w:t xml:space="preserve">A. ON THE ALLEGED ABUSE OF DOMINANT POSITION  </w:t>
        <w:br/>
        <w:t xml:space="preserve">31. As consistently recalled by European and national courts, the analysis of behaviors constituting an abuse of dominant position under Articles L. 420-2 of the Commercial Code and 102 of the Treaty on the Functioning of the European Union requires that the market in which the company in question is supposed to hold a dominant position be previously defined and that the dominant position, which this company is supposed to have abused, be previously established. Indeed, in matters of abuse of dominant position, "the adequate definition of the relevant market is a necessary and preliminary condition for the judgment on a purportedly anticompetitive behavior, since, before establishing the existence of an abuse of dominant position, it is necessary to establish the existence of a dominant position in a given market, which implies that this market has been previously defined".  </w:t>
        <w:br/>
        <w:t>32. In decision no. 04-D-77 of December 22, 2004, concerning a referral by the company Productiv against the laboratory GlaxoSmithKline, the Competition Council rejected a referral on the grounds that the referring party limited itself to asserting the existence of an abuse, without previously defining the relevant market or the dominant position of the company in question. The Authority has also had the opportunity to reject referrals referring to new markets, not yet defined by decision-making practice, or questioning the delimitation defined by decision-making practice, due to the lack of sufficiently probative elements. Similarly, it has had the opportunity to reject referrals due to the absence of sufficiently probative elements capable of establishing the holding of a dominant position by the company in question.</w:t>
      </w:r>
    </w:p>
    <w:p>
      <w:r>
        <w:t xml:space="preserve">1. ON THE MARKET CONCERNED  </w:t>
        <w:br/>
        <w:t xml:space="preserve">a) The product market  </w:t>
        <w:br/>
        <w:t xml:space="preserve">33. The claimants believe that the product market concerned by the alleged practices is that of access to external radiotherapy, carried out using heavy equipment, called a particle accelerator. There are several types of particle accelerators that allow for different techniques of external radiotherapy, determined by the radiotherapist based on the patient's pathology. External radiotherapy can be performed in private radiotherapy centers, as well as in public or private healthcare establishments.  </w:t>
        <w:br/>
        <w:t xml:space="preserve">34. It follows from a consistent decision-making practice that it is not relevant to distinguish different markets for external radiotherapy based on the status of the establishments in which it is performed: "Indeed, the generalization to all public and private establishments of the financing mode constituted by the activity-based pricing (known as 'T2A'), on the one hand, and the recourse of patients to complementary insurance, on the other hand, tend to increase the freedom of choice for patients regarding the establishment in which they wish to be treated. Furthermore, whether public or private, hospital establishments are, in principle, intended to welcome all patients, without economic or social consideration. Finally, all hospital establishments are subject to a common legal framework that defines the conditions."  </w:t>
        <w:br/>
        <w:t xml:space="preserve">35. In decision no. 20-DCC-38 of February 28, 2020, the Authority considered that the market for the provision of diagnostics and hospital care should be segmented according to activities subject to authorization, as listed in Article R. 6122-25 of the Public Health Code, supplemented by a finer segmentation corresponding to twenty-nine groupings of planning groups identified by the Technical Agency for Information on Hospitalization, among which radiotherapy is included.  </w:t>
        <w:br/>
        <w:t xml:space="preserve">36. Furthermore, in their previous decisions regarding practices concerning the market for CT and MRI scans by liberal radiologists, the Council and then the Authority distinguished the upstream market of access to radiology equipment by liberal practitioners from the downstream market of medical services provided by liberal radiologists to patients, possibly through prescribing physicians. Now, the market for CT and MRI scans by liberal radiologists, which is characterized by the necessity of access to heavy medical equipment whose number is limited by the health map and whose operation is subject to prior authorization from the administration, presents, in this regard, similarities with the market for access to external radiotherapy. Therefore, regarding this latter market, such a distinction between upstream and downstream markets also seems relevant.  </w:t>
        <w:br/>
        <w:t xml:space="preserve">37. In the upstream market of access for radiotherapy physicians to heavy equipment, the demand from liberal practitioners meets the supply from companies managing heavy radiotherapy equipment. Access to and use of heavy equipment by radiotherapists in private radiotherapy centers and public and private healthcare establishments are determined by the contractual relationships of radiotherapists with these establishments.  </w:t>
        <w:br/>
        <w:t>38. Downstream, concerning the external radiotherapy services offered to patients by healthcare establishments, the accreditation criteria for these services apply to any establishment holding the authorization for cancer treatment by the modality of radiotherapy. These criteria guarantee the quality of care in radiotherapy.</w:t>
      </w:r>
    </w:p>
    <w:p>
      <w:r>
        <w:rPr>
          <w:b/>
        </w:rPr>
        <w:t>[Pages 10–12]</w:t>
      </w:r>
    </w:p>
    <w:p>
      <w:r>
        <w:t>external in all authorized centers and establishments. In particular, in all authorized centers: "At least one physician practicing radiotherapy, holding the titles or qualifications mentioned in Article D. 6124-133 of the CSP, participates, either physically or via videoconference, in the multidisciplinary consultation meeting during which the file of a patient likely to receive irradiation is presented." Consequently, all patients are referred there following a multidisciplinary consultation meeting (RCP), except for patients receiving irradiation in emergencies or as part of palliative treatment. Compliance with the accreditation criteria thus defines, at the downstream level, a homogeneous market for access to external radiotherapy.</w:t>
      </w:r>
    </w:p>
    <w:p>
      <w:r>
        <w:t xml:space="preserve">39. In any case, the question of distinguishing an upstream and downstream market for access to external therapy having no impact on the continuation of the analysis, it does not seem necessary to draw a definitive conclusion on this point at this stage.  </w:t>
        <w:br/>
        <w:t xml:space="preserve">b) The geographical dimension of the relevant market  </w:t>
        <w:br/>
        <w:t xml:space="preserve">40. The complainants argue that the relevant geographical market would be limited to the department of Essonne.  </w:t>
        <w:br/>
        <w:t xml:space="preserve">41. As for the downstream services in external radiotherapy, it follows from the decision-making practice of the Authority regarding merger control that the markets for the provision of diagnostics and hospital care have a local, departmental, or regional dimension depending on the specialty concerned, the healthcare services studied, and the population density. Indeed, "the size of the areas from which patients come varies significantly, not only depending on the establishment and the medical-surgical specialties practiced there but also depending on the region considered, its population density, and its level of equipment in hospital care establishments."  </w:t>
        <w:br/>
        <w:t xml:space="preserve">42. According to the Authority, the coverage by health insurance of transportation costs incurred by certain patients tends to encourage their willingness to travel to receive care. Thus, in certain decisions, the Authority relied on actual footprints that consist of aggregating the geographical areas of residence of patients until all the areas taken into account represent 80% of the patients of the establishment considered.  </w:t>
        <w:br/>
        <w:t xml:space="preserve">43. Specifically regarding the Île-de-France region, the Authority "consistently considers [it] to be a unique geographical market, and that it is not relevant to distinguish inner Paris from neighboring departments. It notes that Île-de-France is characterized by a very significant mobility of patients, particularly given the extensive offer of care establishments and the existence of regional, or even national, attraction poles."  </w:t>
        <w:br/>
        <w:t xml:space="preserve">44. This decision-making practice is confirmed, in this case, by the data observed for radiotherapy activity in Île-de-France, which attest to the mobility of patients from Essonne, in the downstream market, to undergo radiotherapy sessions in other centers and health establishments located outside of Essonne. In the session, both the representatives of the complainants and those of Perceval confirmed that the choice of treatment location for patients was not solely guided by proximity to their place of residence but also by the reputation of the centers and the recommendations of prescribing physicians or close acquaintances who had undergone a similar care pathway.  </w:t>
        <w:br/>
        <w:t xml:space="preserve">45. According to the data on the consumption and production of care in radiotherapy sessions in Île-de-France for 2021 from public and private health establishments, a significant portion of patients registered in Essonne receive treatment, for example, at the Gustave Roussy Institute located in Val-de-Marne (10,039 sessions), at the Paris hospitals (AP-HP) (5,589 sessions), or at the Forcilles Hospital - Cognacq-Jay Foundation located in Seine-et-Marne (5,285 sessions). According to this data, a total of 25,104 radiotherapy sessions were performed on patients from Essonne in health establishments located outside of Essonne. This figure can be compared with the activity volume of the radiotherapy center of Ris-Orangis, for patients from Essonne, which stands at 23,444 sessions in 2021. Thus, according to these figures, less than 50% of the sessions performed on residents of Essonne were conducted within the CRRO between 2019 and 2021.  </w:t>
        <w:br/>
        <w:t xml:space="preserve">46. The mobility of patients from Essonne is also confirmed by data from the annual survey on the activity of radiotherapy centers produced by the Île-de-France Regional Health Agency (ARSIF) for the years 2017 to 2021. Thus, in 2021, 3,771 patients residing in Essonne were treated with external radiotherapy in Île-de-France, of which 1,288 patients were treated at the CRRO, representing 34.2% of patients from Essonne. In 2017, 35.5% of patients from Essonne treated with external radiotherapy received their sessions at the CRRO.  </w:t>
        <w:br/>
        <w:t xml:space="preserve">47. Furthermore, it appears from the report on the organization of radiotherapy in Île-de-France established by the General Inspectorate of Social Affairs ("IGAS") in 2011 that only one-third of the patient base of the CRRO comes from Essonne. This data was confirmed in the session by all parties.  </w:t>
        <w:br/>
        <w:t xml:space="preserve">48. Other documents in the file establish that the relevant geographical market extends beyond the territory of Essonne. Thus, in a document titled "Medical Project of CROME" dated April 28, 2015, the "objective (...) of becoming a center of excellence in the south of Île-de-France" is mentioned, which implies "the creation of partnerships/conventions with [clearly identified] establishments." Among the establishments cited, several are located outside of Essonne, for example, the Provins Hospital (Seine-et-Marne), the Henri Mondor University Hospital (Val-de-Marne), or the Gustave Roussy Institute (Val-de-Marne).  </w:t>
        <w:br/>
        <w:t xml:space="preserve">49. Regarding the access of radiotherapy physicians to heavy equipment, the elements in the file confirm both the mobility of patients from Essonne and that of the radiotherapists practicing at the CRRO. Thus, the associate practitioners of Perceval indicate that they practice simultaneously at the CRRO and in other radiotherapy centers in Île-de-France, as illustrated in the table below:  </w:t>
        <w:br/>
        <w:t xml:space="preserve">Name of the associate Center(s) of radiotherapy used  </w:t>
        <w:br/>
        <w:t xml:space="preserve">Dr. E... Saint-Louis Hospital (Paris 10)  </w:t>
        <w:br/>
        <w:t xml:space="preserve">Dr. F… Hospital des Peupliers (Paris 13)  </w:t>
        <w:br/>
        <w:t xml:space="preserve">CHIC de Créteil (94)  </w:t>
        <w:br/>
        <w:t xml:space="preserve">Dr. D… Hospital des Peupliers (Paris 13)  </w:t>
        <w:br/>
        <w:t xml:space="preserve">Saint-Louis Hospital (Paris 10)  </w:t>
        <w:br/>
        <w:t xml:space="preserve">Dr. G... IRHE (Bobigny - 93)  </w:t>
        <w:br/>
        <w:t xml:space="preserve">Dr. H... Tenon Hospital (Paris 20)  </w:t>
        <w:br/>
        <w:t xml:space="preserve">Dr. I... Argenteuil Hospital (78)  </w:t>
        <w:br/>
        <w:t xml:space="preserve">50. Furthermore, this mobility can be occasional, as demonstrated by the replacement provided by Dr. D… at the CRRO during August 2020, before considering permanently joining the center in November 2020.  </w:t>
        <w:br/>
        <w:t xml:space="preserve">51. In light of these elements, the referral contains no evidence capable of proving that the market for access to external radiotherapy concerned by the alleged practice would be limited to the department of Essonne alone.  </w:t>
        <w:br/>
        <w:t xml:space="preserve">2. ON THE POSITION OF THE CRRO IN THE MARKET IN QUESTION  </w:t>
        <w:br/>
        <w:t xml:space="preserve">52. Given the inaccuracy of the geographical market delineation retained by the complainants, the elements invoked in the referral to establish, within the proposed perimeter, the holding of a dominant position by the CRRO are ineffective.  </w:t>
        <w:br/>
        <w:t>53. Furthermore, the referral contains no other probative elements likely to support the existence of a dominant position of the CRRO in a market broader than Essonne.</w:t>
      </w:r>
    </w:p>
    <w:p>
      <w:r>
        <w:rPr>
          <w:b/>
        </w:rPr>
        <w:t>[Pages 13–15]</w:t>
      </w:r>
    </w:p>
    <w:p>
      <w:r>
        <w:t xml:space="preserve">54. The existence of a dominant position being a necessary prerequisite for the analysis of a potential abuse, there is, consequently, no need to examine whether the practices denounced are likely to constitute such an abuse within the meaning of Article L. 420-2 of the Commercial Code.  </w:t>
        <w:br/>
        <w:t xml:space="preserve">B. ON THE ALLEGED CONCERTED PRACTICE  </w:t>
        <w:br/>
        <w:t xml:space="preserve">55. The applicants denounce the existence of a "collusion (...) between ALMAVIVA/CRRO and SELARL PERCEVAL [which] constitutes a bilateral agreement aimed at prohibiting the access of the 4 radiotherapists of SCP CROME and SCM CENTRE D’ONCOLOGIE to the market of external radiotherapy conducted on a liberal basis in the territory of the Essonne department." They argue, in this regard, that the external audit commissioned by Almaviva and the CRRO from Dr. C..., mentioned above in paragraph 20, "without any contradictory nature and without communication of the final report to SCP CROME" and carried out according to them "to the detriment," had as its true objective only to highlight unproven dysfunctions in order to evict them in favor of Perceval, of which Dr. C... was the co-manager and partner.  </w:t>
        <w:br/>
        <w:t xml:space="preserve">56. It follows from consistent case law and decision-making practice that the existence of an agreement is established as soon as the companies have expressed their common will to behave in a determined manner in the market. The existence of a concerted practice can be demonstrated by converging elements proving that contacts took place between a number of companies and that they pursued the common goal of eliminating or reducing uncertainty regarding their future behavior in the market.  </w:t>
        <w:br/>
        <w:t xml:space="preserve">57. In this case, as a preliminary matter, regarding an indefinite duration contract, the agreement binding the CRRO to the applicants, concluded in 1994, could be unilaterally terminated by either party, without justification, subject to the observance of sufficient notice.  </w:t>
        <w:br/>
        <w:t xml:space="preserve">58. Furthermore, no element in the file allows for the establishment of a meeting of wills between the Almaviva group or the CRRO and Perceval prior to July 31, 2020, the date on which the CRRO unilaterally terminated the provision agreement.  </w:t>
        <w:br/>
        <w:t xml:space="preserve">59. If, as indicated in paragraph 20 above, a quality audit was conducted between February and November 2020, notably by Dr. C..., then a partner of Perceval, this audit was carried out in his capacity as head of the consulting company Bouillet Board Briefing, with the aim of preparing for an ASN inspection. Moreover, it is not alleged that the conclusions of this audit, which did not result in any written report, were used to justify the termination of the agreement binding the CRRO to the applicants.  </w:t>
        <w:br/>
        <w:t xml:space="preserve">60. It was only after the unilateral termination, in September 2021, that the Almaviva group commissioned Mr. J..., "for the purpose of identifying a new team of radiotherapists to replace the team that was then in office at the Center," a process that led to the conclusion of an agreement between the CRRO and Perceval on April 15, 2022.  </w:t>
        <w:br/>
        <w:t xml:space="preserve">61. It is not contested that informal exchanges may have taken place between doctors from Perceval and the CRRO before the appointment of this representative. Thus, in an exchange of individual messages in May 2020, Dr. Z... suggested to Dr. E..., a partner of Perceval, to consider the possibility of joining the CRRO. Furthermore, Dr. K..., also a partner of Perceval, indicated in December 2020 that she had had discussions with the CRRO regarding the terms of a contract. Additionally, during their hearing by the investigating services, the applicants mentioned a dinner between members of Perceval and the CRRO that allegedly took place on September 15, 2020, a dinner also mentioned during the session and whose existence was not denied by the opposing parties. Nevertheless, these exchanges, primarily occurring after the termination of the agreement between the CRRO and the applicants, are not sufficient to demonstrate the existence of a meeting of wills between Perceval and the CRRO aimed at evicting the applicants from the technical platform of Ris-Orangis.  </w:t>
        <w:br/>
        <w:t xml:space="preserve">62. Finally, even assuming that the exchanges between Dr. C... and the CRRO during the aforementioned audit favored the latter's choice to establish an agreement with Perceval for the replacement of the applicants, this circumstance would not further demonstrate the existence of a concerted action plan established between Perceval and the CRRO with the aim of evicting the applicants.  </w:t>
        <w:br/>
        <w:t xml:space="preserve">63. During their hearing on September 7, 2022, when questioned about the existence of material elements demonstrating the alleged concertation, the applicants stated: "Before July 31, 2020, there was the audit. For the rest, we have no proof, we did not attend any of the discussions that may have taken place."  </w:t>
        <w:br/>
        <w:t xml:space="preserve">64. It is therefore appropriate to reject the allegation of concerted practice for lack of sufficiently probative elements.  </w:t>
        <w:br/>
        <w:t xml:space="preserve">III. Conclusion  </w:t>
        <w:br/>
        <w:t>65. In light of the above, it should be noted that the facts denounced in referral 22/0039 F are not supported by sufficiently probative elements. It is therefore appropriate to reject it in application of the second paragraph of Article L. 462-8 of the Commercial Code. This rejection of the referral on the merits consequently leads to the rejection of the request for interim measures registered under number 22/0040 M.</w:t>
      </w:r>
    </w:p>
    <w:p>
      <w:r>
        <w:t xml:space="preserve">DECISION  </w:t>
        <w:br/>
        <w:t xml:space="preserve">Article 1: The referral from SCP Crome, Doctors X..., Y..., Z..., A..., and SCM Centre d’oncologie registered under number 22/0039 F is rejected.  </w:t>
        <w:br/>
        <w:t xml:space="preserve">Article 2: The request for interim measures from SCP Crome, Doctors X..., Y..., Z..., A..., and SCM Centre d’oncologie registered under number 22/0040 M is rejected.  </w:t>
        <w:br/>
        <w:t xml:space="preserve">Deliberated on the oral report of Ms. Manon Durand and Ms. Aurélie Jean, rapporteurs, and the intervention of Ms. Gwenaëlle Nouët, deputy general rapporteur, by Mr. Henri Piffaut, vice-president, president of the session.  </w:t>
        <w:br/>
        <w:t xml:space="preserve">The secretary of the session, The president of the session,  </w:t>
        <w:br/>
        <w:t xml:space="preserve">Claire Villeval 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