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https://www.autoritedelaconcurrence.fr/fr/decision/relative-des-pratiques-mises-en-oeuvre-dans-le-secteur-de-la-reparation-de-vehicules</w:t>
      </w:r>
    </w:p>
    <w:p>
      <w:r>
        <w:t>Pages translated : 8</w:t>
      </w:r>
    </w:p>
    <w:p/>
    <w:p>
      <w:r>
        <w:rPr>
          <w:b/>
        </w:rPr>
        <w:t>[Pages 1–3]</w:t>
      </w:r>
    </w:p>
    <w:p>
      <w:r>
        <w:t xml:space="preserve">FRENCH REPUBLIC  </w:t>
        <w:br/>
        <w:t xml:space="preserve">Decision No. 09-D-37 of December 10, 2009  </w:t>
        <w:br/>
        <w:t xml:space="preserve">regarding practices implemented in the sector of  </w:t>
        <w:br/>
        <w:t xml:space="preserve">repair of industrial vehicles, boat engines, and  </w:t>
        <w:br/>
        <w:t xml:space="preserve">public works machinery  </w:t>
        <w:br/>
        <w:t xml:space="preserve">The Competition Authority,  </w:t>
        <w:br/>
        <w:t xml:space="preserve">Having regard to the letter of April 3, 2009, registered under numbers 09/0056 F and 09/0057 M, by which the company Grafeuille referred to the Competition Authority practices implemented by the companies Volvo Trucks France and Volvo Construction Equipment Europe in the sector of repair of industrial vehicles, boat engines, and public works machinery;  </w:t>
        <w:br/>
        <w:t xml:space="preserve">Having regard to Decision No. 09-C-10 of September 15, 2009, by which the President of the Competition Authority acknowledged the withdrawal of Grafeuille's request for interim measures and closed the file registered under number 09/0057 M;  </w:t>
        <w:br/>
        <w:t xml:space="preserve">Having regard to Articles 81 and 82 of the Treaty establishing the European Community, which became Articles 101 and 102 of the TFEU as of December 1, 2009;  </w:t>
        <w:br/>
        <w:t xml:space="preserve">Having regard to Article L. 461-3, paragraph 4 of the Commercial Code;  </w:t>
        <w:br/>
        <w:t xml:space="preserve">Having regard to Book IV of the Commercial Code;  </w:t>
        <w:br/>
        <w:t xml:space="preserve">Having regard to the other documents in the file;  </w:t>
        <w:br/>
        <w:t xml:space="preserve">The rapporteur, the deputy general rapporteur, and the Government Commissioner heard during the session of November 17, 2009, the company Grafeuille having been duly summoned;  </w:t>
        <w:br/>
        <w:t>Adopts the following decision:</w:t>
      </w:r>
    </w:p>
    <w:p>
      <w:r>
        <w:t xml:space="preserve">I. Findings1  </w:t>
        <w:br/>
        <w:t xml:space="preserve">A. THE REFERRAL  </w:t>
        <w:br/>
        <w:t xml:space="preserve">1. The company Grafeuille (hereinafter "Grafeuille") believes that the company Volvo Trucks France (hereinafter "Volvo Trucks") is engaging in anti-competitive practices in the market for access to technical information enabling the repair of industrial vehicles and boat engines of the Volvo brand.  </w:t>
        <w:br/>
        <w:t xml:space="preserve">2. Grafeuille also believes that the company Volvo Construction Equipment Europe is engaging in anti-competitive practices in the market for technical information on construction equipment engines.  </w:t>
        <w:br/>
        <w:t xml:space="preserve">3. Grafeuille argues that the technical information provided by Volvo Trucks France is, on the one hand, incomplete and does not allow independent repairers to perform certain repairs and updates and that they are, on the other hand, too expensive compared to that from other car manufacturers for equivalent licenses.  </w:t>
        <w:br/>
        <w:t xml:space="preserve">4. This situation would reveal the existence of characterized restrictions within the meaning of Article 4, paragraph 2, of Commission Regulation No. 1400/2002 of July 31, 2002, concerning the application of Article 81, paragraph 3, EC (now Article 101, paragraph 3, TFEU) to categories of vertical agreements and concerted practices in the automotive sector (OJEC L 203, p. 30).  </w:t>
        <w:br/>
        <w:t xml:space="preserve">5. Furthermore, Grafeuille believes that "since Volvo holds the intellectual property rights to technical information relating to its vehicles, (...) this company is in a dominant position in the markets for technical information relating to its vehicles for publishers and for repairers."  </w:t>
        <w:br/>
        <w:t xml:space="preserve">6. Ultimately, Grafeuille considers that the practices denounced are likely to be contrary to Articles L. 420-1 and L. 420-2 of the Commercial Code and to Article 82 EC (now Article 102, TFEU).  </w:t>
        <w:br/>
        <w:t xml:space="preserve">B. THE COMPANIES CONCERNED  </w:t>
        <w:br/>
        <w:t xml:space="preserve">1. GRAFEUILLE  </w:t>
        <w:br/>
        <w:t xml:space="preserve">7. The company Grafeuille is a company specialized in multi-brand repair of industrial vehicles ("trucks"), coaches, and engines of public works machinery and boats, having achieved a turnover of approximately 17 million euros in 2008. The company consists of two establishments.  </w:t>
        <w:br/>
        <w:t xml:space="preserve">8. It carries out, for almost all of its activity, operations of rebuilding engines, gearboxes, and axle noses of industrial vehicles and coaches. The rebuilding involves replacing all wear parts and visibly worn parts with adaptable parts, the latter of which may come from suppliers other than the original manufacturer.  </w:t>
        <w:br/>
        <w:t xml:space="preserve">9. Grafeuille's clients are specialized garages, road hauliers, and brand dealers.  </w:t>
        <w:br/>
        <w:t xml:space="preserve">10. Grafeuille's suppliers are either industrial vehicle manufacturers (Volvo, Scania, and Mercedes) or the supplier ZF who produces the various gearboxes for four manufacturers represented in the French market (Man, IVECO, Renault, and Daf).  </w:t>
        <w:br/>
        <w:t xml:space="preserve">11. Grafeuille generates less than 2.5% of its turnover from Volvo brand components during the period 2005-2008 (references 121 to 174).  </w:t>
        <w:br/>
        <w:t xml:space="preserve">2. VOLVO TRUCKS FRANCE AND VOLVO CONSTRUCTION EQUIPMENT EUROPE  </w:t>
        <w:br/>
        <w:t xml:space="preserve">12. Volvo Trucks France is a commercial agent for the sale of new industrial vehicles of the Volvo brand in France. Its turnover is approximately 220 million euros in 2008.  </w:t>
        <w:br/>
        <w:t xml:space="preserve">13. Volvo Construction Equipment Europe is responsible for the sale of public works equipment manufactured by the Volvo group. Its turnover is approximately 338 million euros in 2008.  </w:t>
        <w:br/>
        <w:t xml:space="preserve">C. THE DENOUNCED PRACTICES  </w:t>
        <w:br/>
        <w:t xml:space="preserve">1. AN ACCESS DESCRIBED AS INCOMPLETE TO TECHNICAL INFORMATION ON VOLVO TRUCKS INDUSTRIAL VEHICLES  </w:t>
        <w:br/>
        <w:t xml:space="preserve">14. In order to carry out repairs on Volvo Trucks industrial vehicles, Grafeuille signed on February 28, 2005, a "impact on line" license agreement with Volvo Trucks. This contract specifies: "The Licensor provides a computer-type spare parts management tool (software), which gives access to the latest information regarding spare parts and maintenance, as well as information about special tools. The software is called Impact Online" (reference 29).  </w:t>
        <w:br/>
        <w:t xml:space="preserve">15. Article 6 of the contract provides that "the licensee shall pay the licensor, in advance, a license fee for the contractual period, amounting to €4000 per workshop + €115 per user" (reference 30).  </w:t>
        <w:br/>
        <w:t xml:space="preserve">16. Article 7.1 states: "this contract shall take effect for a period of 12 months from the date on which the licensee is authorized by the licensor to access (...) the software" (reference 31).  </w:t>
        <w:br/>
        <w:t>3</w:t>
      </w:r>
    </w:p>
    <w:p>
      <w:r>
        <w:rPr>
          <w:b/>
        </w:rPr>
        <w:t>[Pages 4–6]</w:t>
      </w:r>
    </w:p>
    <w:p>
      <w:r>
        <w:t xml:space="preserve">17. Article 8.1 specifies that "upon termination of this contract, access to the software will be interrupted and the licensee's right to use the software will end with immediate effect" (reference 31).  </w:t>
        <w:br/>
        <w:t xml:space="preserve">18. Grafeuille specified that: "the software [installed in July 2005] has never provided sufficiently precise information since the beginning of the contract. The chassis number [of each vehicle] provides access to the spare parts references in an imprecise manner: the same number can correspond to several spare parts. This is not the case for the identification software provided by other manufacturers. To access the spare parts numbers, I had to contact a Volvo dealer. This prevents me from responding quickly to customer requests on the availability of parts. I also know that dealers or authorized repairers have another version of the identification software called 'Volvo Vision' which allows for precise identification of each part: one chassis number corresponds to a single spare part" (reference 105 of file 09/0057 M).  </w:t>
        <w:br/>
        <w:t xml:space="preserve">19. In order to justify that the impact on line software did not provide access to technical information completely since 2005, Grafeuille presented screenshots made during the use of the software (references 51 to 57).  </w:t>
        <w:br/>
        <w:t xml:space="preserve">20. The chassis number of a vehicle, the identity number, references for spare parts "rear wheel brake RSS, RADT-AR, RACAS-CA", a diagram titled "rear wheel brake RSS-LEAF, RADT-AR, RACAS-CA", and various descriptions appear on these screenshots, all dated December 18, 2008.  </w:t>
        <w:br/>
        <w:t xml:space="preserve">21. Thus, in order to demonstrate the completeness of the information provided by the software of other automobile manufacturers, Grafeuille attached screenshots of spare parts identification software from Renault and Mercedes showing diagrams concerning pneumatic main brake valves with the titles "product type", "standard cutting", and "variant", two tables titled "mounting variants" (for the manufacturer Renault, references 58-62), a data sheet, a list of parts, as well as a document titled "image" (for the manufacturer Mercedes, references 63-65).  </w:t>
        <w:br/>
        <w:t xml:space="preserve">22. The screenshots from Renault's software are not dated, while those from Mercedes' software are dated December 18, 2008, like those from Volvo Trucks.  </w:t>
        <w:br/>
        <w:t xml:space="preserve">2. INFORMATION CONSIDERED TOO COSTLY  </w:t>
        <w:br/>
        <w:t xml:space="preserve">23. Grafeuille considers that the price for accessing technical information from Volvo Trucks is too high compared to what other automobile manufacturers offer, making it inaccessible to independent repairers.  </w:t>
        <w:br/>
        <w:t>24. Grafeuille communicated in this regard invoices issued at the end of 2008 for the manufacturer Man (reference 182), at the end of 2009 for the manufacturers Mercedes (reference 180), Scania (reference 177), Renault Trucks (reference 181), and IVECO (reference 183). However, the nature of the technical information provided and the duration of the subscriptions are not specified.</w:t>
      </w:r>
    </w:p>
    <w:p>
      <w:r>
        <w:t xml:space="preserve">II. Discussion  </w:t>
        <w:br/>
        <w:t xml:space="preserve">25. Article L. 462-8, paragraph 2 of the Commercial Code states: "The Competition Authority may (...) reject the referral by reasoned decision when it considers that the facts invoked are not supported by sufficiently probative elements."  </w:t>
        <w:br/>
        <w:t xml:space="preserve">A. ON THE CONTENT OF THE TECHNICAL INFORMATION OF VOLVO TRUCKS INDUSTRIAL VEHICLES PROVIDED  </w:t>
        <w:br/>
        <w:t xml:space="preserve">26. Grafeuille essentially argues that the lack of proper access to technical information from Volvo Trucks violates the provisions of Article 4 of Regulation No. 1400/2002. Consequently, the contracts of Volvo Trucks with its distributors would no longer be covered by the category exemption established by this regulation.  </w:t>
        <w:br/>
        <w:t xml:space="preserve">27. In this regard, Grafeuille provided the Competition Authority with a license agreement allowing it to access a spare parts management software "impact on line" for a period of 12 months from the installation of the software, namely July 2005.  </w:t>
        <w:br/>
        <w:t xml:space="preserve">28. Grafeuille did not present any other contractual documents extending the effects of this contract. Nevertheless, access to the software was in fact extended.  </w:t>
        <w:br/>
        <w:t xml:space="preserve">29. Grafeuille has contested, from the outset, the application of the contract and the payment of the fee.  </w:t>
        <w:br/>
        <w:t xml:space="preserve">30. Upon receiving an invoice related to the use of the software for the period September 2007–June 2008 (reference 39), Grafeuille contested the implementation of the contract in a letter dated May 14, 2008, sent by its lawyer to Volvo Trucks: "my client quickly encountered difficulties regarding the use of your software since she only has access to general information that does not allow her to repair the vehicles entrusted to her by her clients under good conditions. That is why my client did not pay the invoice recently sent to her by your company (Volvo) in the amount of 3,986.27 Euros including tax, which is due on April 29, 2008" (references 45-46).  </w:t>
        <w:br/>
        <w:t xml:space="preserve">31. During a hearing, Grafeuille specified: "I summoned the company Volvo Trucks France before the Commercial Court of Pontoise on June 20, 2008, so that the company Volvo would provide its electronic spare parts catalog in accordance with the 'impact on line' contract and the exemption regulation in the automotive sector of the Commission of July 31, 2002. On June 30, 2009, the company argued on the issue of the court's jurisdiction" (reference 106 of file 09/0057 M). The case is still pending on this point before the Court of Appeal.  </w:t>
        <w:br/>
        <w:t xml:space="preserve">32. For its part, Volvo Trucks indicated: "access to the software was interrupted at the beginning of the 2nd semester of 2008 due to the failure to pay invoices by the company Grafeuille, which has never honored its invoices since July 2005, the date of installation of the software" (reference 114).  </w:t>
        <w:br/>
        <w:t xml:space="preserve">33. Nevertheless, Grafeuille produced on September 8, 2009, a report of a bailiff's observation from the same day in which the appointed bailiff indicates that he carried out observations on the impact on line software: "OBSERVATIONS – being present with Mr. Alain Grafeuille, I carried out observations on the 'impact on line' software provided by the company Volvo. I then follow the following tree structure: 1- the homepage of the software offers me to enter a password specific to each client. 2- I enter the chassis number of a Mercedes vehicle WDB9501421K4830470 3- the software outputs the list of all compatible parts in the form of a data sheet. Subsequently, I perform the same manipulations for a Volvo vehicle 1- the homepage of the software offers me to enter a password specific to each client. 2- I enter the chassis number of a Volvo vehicle B 302304 3 – an error message then appears, namely 'description not available'... This software anomaly only occurs when it is a Volvo vehicle in disregard of the Community Regulation EC No. 1400-2002" (reference 209).  </w:t>
        <w:br/>
        <w:t xml:space="preserve">34. Grafeuille confirmed that she had ultimately gained access to the software by specifying the username and password and invited the reporter to note "that it is radically impossible to obtain with this software, precise information on the parts that may be necessary for independent repairers." According to the applicant, "these elements seem to contradict the position defended by the company Volvo which,..., claims that there is no longer any contractual link, nor any possible access by the company Grafeuille to the Impact on line software."  </w:t>
        <w:br/>
        <w:t xml:space="preserve">35. Ultimately, Volvo Trucks indicated that the software was functioning for the benefit of Grafeuille (reference 395).  </w:t>
        <w:br/>
        <w:t xml:space="preserve">36. That being said, Grafeuille does not provide sufficient material elements that could suggest that the information provided by the impact on line software is incomplete for carrying out repairs on Volvo Trucks industrial vehicles.  </w:t>
        <w:br/>
        <w:t xml:space="preserve">37. Indeed, Grafeuille, to justify that the software does not provide complete access to technical information, limits itself to presenting screenshots (diagrams of components, lists of references,...) without any further explanations than those indicated in the referral and recalled during the hearing: "The chassis number [of each vehicle] provides access to the spare parts references in an imprecise manner: the same number can correspond to several spare parts. This is not the case for the identification software provided by other manufacturers. To access the spare parts numbers, I had to contact a Volvo dealer" (reference 105 of file 09/0057 M).  </w:t>
        <w:br/>
        <w:t xml:space="preserve">38. In this regard, during the examination of the request for interim measures, to the question "a chassis number can refer to several references for the same part. Do you confirm this information?", Volvo Trucks replied: "this can occasionally be the case and may originate from the possibility of having the same part produced by different suppliers, hence different references. This case may exist marginally for older vehicles (pre-2004) and is no longer encountered for recent vehicles as the software has evolved and now provides more precise information. Furthermore, the difficulty encountered can be resolved at no additional cost by calling Volvo Action Service (VAS), a company located in Belgium, reachable at all times. The interlocutors are French-speaking. The response arrives quickly (within the day). This service is open to authorized or independent repairers who have concluded a contract for the use of the impact software" (reference 113 of file 09/0057 M).  </w:t>
        <w:br/>
        <w:t>39. These elements, brought to Grafeuille's attention, have not been refuted or commented upon by her, particularly during the session of November 17, 2009, which she chose not to attend.</w:t>
      </w:r>
    </w:p>
    <w:p>
      <w:r>
        <w:rPr>
          <w:b/>
        </w:rPr>
        <w:t>[Pages 7–8]</w:t>
      </w:r>
    </w:p>
    <w:p>
      <w:r>
        <w:t xml:space="preserve">40. Consequently, the potential abnormality of the described situation has not been justified.  </w:t>
        <w:br/>
        <w:t xml:space="preserve">41. Furthermore, Grafeuille does not explain how the software of other manufacturers allows for more comprehensive access to technical information compared to the impact on line software. The screenshots presented for the manufacturers Renault and Mercedes appear to provide technical information similar to that of the impact on line software (diagram of a component breakdown and spare parts numbers).  </w:t>
        <w:br/>
        <w:t xml:space="preserve">42. Finally, the wording of the bailiff's report presented is insufficiently precise to establish that the impact on line software provides non-exhaustive technical information: the description of the procedure for accessing the software is incomplete (it is not specified whether the password requested from Grafeuille to access the impact on line software was actually entered); it seems that the same software is used for Volvo and Mercedes, which would contradict the statements made during the hearing: "this [identification] software is acquired from each manufacturer brand" (hearing of September 1, 2009, reference 104 of file 09/0057 M); the path allowing access to the presented screens is not sufficiently described (notably the link between page 1 and page 2 – references 226, 227); the screenshots are not commented on and cannot illustrate the alleged practice as such.  </w:t>
        <w:br/>
        <w:t xml:space="preserve">43. Consequently, the factual elements presented are not sufficiently convincing to pursue an investigation into the possibility of a restriction of competition regarding access to technical information of vehicles of the Volvo Trucks brand, which could, if necessary, be analyzed in light of Regulation No. 1400/2002.  </w:t>
        <w:br/>
        <w:t xml:space="preserve">44. It is indeed the responsibility of the company that refers the matter to the Competition Authority regarding practices it deems anti-competitive by another company to provide a minimum of credible and verifiable information and explanations so that an investigation can be pursued appropriately.  </w:t>
        <w:br/>
        <w:t xml:space="preserve">B. ON THE PRICE OF TECHNICAL INFORMATION OF VOLVO TRUCKS INDUSTRIAL VEHICLES PROVIDED  </w:t>
        <w:br/>
        <w:t xml:space="preserve">45. In order to demonstrate the excessive cost of the technical information provided by Volvo Trucks, Grafeuille has provided elements from other manufacturers, which, however, do not specify the nature of the service provided and the type of information communicated.  </w:t>
        <w:br/>
        <w:t xml:space="preserve">46. Consequently, the factual elements presented are also not sufficiently convincing on this aspect to pursue an investigation into the possibility of a restriction of competition regarding the price of technical information requested by Volvo Trucks from independent repairers for the repair of industrial vehicles, which could, if necessary, be analyzed in light of Regulation No. 1400/2002.  </w:t>
        <w:br/>
        <w:t xml:space="preserve">C. ON ACCESS TO TECHNICAL INFORMATION OF VOLVO BOAT ENGINES AND CONSTRUCTION EQUIPMENT  </w:t>
        <w:br/>
        <w:t xml:space="preserve">47. Grafeuille does not provide any material element in support of its referral regarding access to technical information related to Volvo brand boat engines and construction equipment (Volvo Trucks for boat engines and Volvo Construction Equipment Europe for construction equipment engines).  </w:t>
        <w:br/>
        <w:t xml:space="preserve">48. The absence of material elements also does not allow for a substantive investigation to be pursued.  </w:t>
        <w:br/>
        <w:t xml:space="preserve">D. ON THE EXISTENCE OF ABUSE OF DOMINANT POSITION  </w:t>
        <w:br/>
        <w:t xml:space="preserve">49. Grafeuille believes that Volvo, solely by virtue of holding intellectual property rights over technical information related to its brand vehicles, is in a dominant position in the technical information markets. Grafeuille considers that this situation can be sanctioned based on Articles L. 420-2 of the Commercial Code and 82 EC (now 102 TFEU) given the difficulties in accessing Volvo's technical information that it reports.  </w:t>
        <w:br/>
        <w:t xml:space="preserve">50. However, holding a dominant position in a market is not in itself prohibited by the provisions invoked by Grafeuille, and it has not subsequently provided any other elements beyond those previously mentioned in support of its allegation of abuse. Consequently, the elements put forward are not sufficiently convincing to pursue an investigation into a potential abuse of dominant position by Volvo.  </w:t>
        <w:br/>
        <w:t xml:space="preserve">DECISION  </w:t>
        <w:br/>
        <w:t xml:space="preserve">Sole Article: The referral by the company Grafeuille is rejected.  </w:t>
        <w:br/>
        <w:t xml:space="preserve">Deliberated on the oral report of Mr. Philippe Couton and the intervention of Mr. Jean-Marc Belorgey, deputy general rapporteur, by Mr. Patrick Spilliaert, vice-president, president of the session, in accordance with the provisions of Article L. 461-3, paragraph 4 of the Commercial Code.  </w:t>
        <w:br/>
        <w:t xml:space="preserve">The session secretary, The vice-president,  </w:t>
        <w:br/>
        <w:t xml:space="preserve">Marie-Anselme Lienafa 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