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https://www.autoritedelaconcurrence.fr/fr/decision/relative-des-pratiques-mises-en-oeuvre-dans-le-secteur-de-la-television-payante</w:t>
      </w:r>
    </w:p>
    <w:p>
      <w:r>
        <w:t>Pages translated : 9</w:t>
      </w:r>
    </w:p>
    <w:p/>
    <w:p>
      <w:r>
        <w:rPr>
          <w:b/>
        </w:rPr>
        <w:t>[Pages 1–3]</w:t>
      </w:r>
    </w:p>
    <w:p>
      <w:r>
        <w:t xml:space="preserve">FRENCH REPUBLIC  </w:t>
        <w:br/>
        <w:t xml:space="preserve">Decision No. 23-D-10 of October 4, 2023  </w:t>
        <w:br/>
        <w:t xml:space="preserve">regarding practices implemented in the pay television sector*  </w:t>
        <w:br/>
        <w:t xml:space="preserve">The Competition Authority (permanent commission),  </w:t>
        <w:br/>
        <w:t xml:space="preserve">Having regard to the letter registered on November 26, 2020, under number 20/0106 F accompanied by a request for interim measures, by which the company Mediapro Sport France referred to the Competition Authority practices implemented by the companies of the Canal Plus Group in the pay television distribution market;  </w:t>
        <w:br/>
        <w:t xml:space="preserve">Having regard to Book IV of the Commercial Code, and in particular its Article L. 462-8;  </w:t>
        <w:br/>
        <w:t xml:space="preserve">Having regard to Decision No. 21-C-02 of February 11, 2021, regarding the withdrawal of the company Mediapro Sport France from its request for interim measures;  </w:t>
        <w:br/>
        <w:t xml:space="preserve">Having regard to Opinion No. 2021-17 of the Superior Council of Audiovisual Media of October 14, 2021, issued on the basis of Article R. 463-9 of the Commercial Code;  </w:t>
        <w:br/>
        <w:t xml:space="preserve">Having regard to the decision of September 4, 2023, by which the President of the Competition Authority appointed Mr. Savinien Grignon-Dumoulin, member, to complete the quorum and examine the case registered under number 20/0106 F during the permanent commission of September 21, 2023;  </w:t>
        <w:br/>
        <w:t xml:space="preserve">Having regard to the other documents in the file;  </w:t>
        <w:br/>
        <w:t xml:space="preserve">The rapporteur and the deputy general rapporteur, the representative of the judicial agents of the company Mediapro Sport France heard during the session of the Competition Authority on September 21, 2023, the Government Commissioner having been regularly summoned;  </w:t>
        <w:br/>
        <w:t xml:space="preserve">Adopts the following decision:  </w:t>
        <w:br/>
        <w:t>* public version</w:t>
      </w:r>
    </w:p>
    <w:p>
      <w:r>
        <w:t xml:space="preserve">SUMMARY  </w:t>
        <w:br/>
        <w:t xml:space="preserve">I. FINDINGS ................................................................................ 3  </w:t>
        <w:br/>
        <w:t xml:space="preserve">A. THE PROCEDURE ...........................................................................................................3  </w:t>
        <w:br/>
        <w:t xml:space="preserve">B. THE SECTOR OF ACTIVITY AND THE COMPANIES CONCERNED BY THE REFERRAL ...........................................................................................................................3  </w:t>
        <w:br/>
        <w:t xml:space="preserve">C. THE RAPID FAILURE OF THE TELEFOOT CHANNEL AND THE DISPUTES BETWEEN MEDIAPRO AND GCP BEFORE THE COMMERCIAL COURT ............................................................................................................4  </w:t>
        <w:br/>
        <w:t xml:space="preserve">1. THE CREATION OF THE TELEFOOT CHANNEL AND THE FAILURE OF MEDIAPRO .....4  </w:t>
        <w:br/>
        <w:t xml:space="preserve">2. THE PROCEEDINGS INITIATED BY MEDIAPRO AND GCP BEFORE THE COMMERCIAL COURT ................................................................................................................5  </w:t>
        <w:br/>
        <w:t xml:space="preserve">D. THE PRACTICES DENOUNCED .................................................................................6  </w:t>
        <w:br/>
        <w:t xml:space="preserve">II. DISCUSSION .......................................................................................... 7  </w:t>
        <w:br/>
        <w:t xml:space="preserve">A. THE APPLICABLE PROVISIONS .........................................................................7  </w:t>
        <w:br/>
        <w:t xml:space="preserve">B. APPLICATION TO THE CASE AT HAND ..........................................................................7  </w:t>
        <w:br/>
        <w:t>DECISION ....................................................................................................... 9</w:t>
      </w:r>
    </w:p>
    <w:p>
      <w:r>
        <w:t xml:space="preserve">I. Findings  </w:t>
        <w:br/>
        <w:t xml:space="preserve">A. THE PROCEDURE  </w:t>
        <w:br/>
        <w:t xml:space="preserve">1. By letter of November 26, 2020, registered under number 20/0106 F, the company Mediapro Sport France (hereinafter "Mediapro" or "the complainant") referred to the Competition Authority (hereinafter "the Authority"), on the basis of Articles L. 420-2 of the Commercial Code and 102 of the Treaty on the Functioning of the European Union, a complaint, accompanied by a request for interim measures, denouncing a set of practices implemented by the companies of the Canal Plus Group (hereinafter "GCP"), which according to Mediapro constitute an abuse of dominant position in the pay television distribution market1.  </w:t>
        <w:br/>
        <w:t xml:space="preserve">2. Mediapro withdrew its request for interim measures on February 5, 20212.  </w:t>
        <w:br/>
        <w:t xml:space="preserve">3. Consulted in the context of this case on the basis of the provisions of Article R 463-9 of the Commercial Code, the Superior Council of Audiovisual Media issued its opinion on October 14, 20213.  </w:t>
        <w:br/>
        <w:t xml:space="preserve">B. THE SECTOR OF ACTIVITY AND THE COMPANIES CONCERNED BY THE REFERRAL  </w:t>
        <w:br/>
        <w:t xml:space="preserve">4. The practices denounced by Mediapro occurred in the pay television sector.  </w:t>
        <w:br/>
        <w:t xml:space="preserve">5. For an analysis of the organization of the audiovisual sector and its factors of evolution, the Authority refers to its Opinion No. 19-A-04 of February 21, 20194, as well as to its Decision No. 21-D-12 of June 11, 20215.  </w:t>
        <w:br/>
        <w:t xml:space="preserve">6. It is only necessary to recall here that television channels can, to fill their program schedules, either produce their own programs or acquire from third parties broadcasting rights for content chosen according to their theme and editorial line. The bulk of their revenue comes, when they are paid, from subscriptions, as well as from advertising revenues and any payments made by the distributors of the channels6.  </w:t>
        <w:br/>
        <w:t xml:space="preserve">1 Reference 6.  </w:t>
        <w:br/>
        <w:t xml:space="preserve">2 Reference 1 380, file 20/0107 M.  </w:t>
        <w:br/>
        <w:t xml:space="preserve">3 References 10 531 to 10 537.  </w:t>
        <w:br/>
        <w:t xml:space="preserve">4 Opinion No. 19-A-04 of February 21, 2019, regarding a request for an opinion from the Cultural Affairs and Education Committee of the National Assembly in the audiovisual sector.  </w:t>
        <w:br/>
        <w:t xml:space="preserve">5 Decision No. 21-D-12 of June 11, 2021, regarding practices implemented by the Professional Football League in the sector of the sale of broadcasting rights for sports competitions (confirmed by the Paris Court of Appeal – RG No. 21/13216 – appeal pending).  </w:t>
        <w:br/>
        <w:t>6 Decision No. 22-D-22 of November 30, 2022, regarding practices implemented by the Professional Football League in the sector of the sale of broadcasting rights for sports competitions, point 6.</w:t>
      </w:r>
    </w:p>
    <w:p>
      <w:r>
        <w:rPr>
          <w:b/>
        </w:rPr>
        <w:t>[Pages 4–6]</w:t>
      </w:r>
    </w:p>
    <w:p>
      <w:r>
        <w:t>7. Recent technological developments, notably the advancement of IPTV (Internet Protocol Television) and high-speed Internet, have allowed the emergence of new players, including operators offering subscription video-on-demand services (hereinafter "SVOD"), such as Netflix, Prime Video, or Disney+. While the activity of these new players was initially focused on cinema films and series, some of them, like Amazon, have begun to offer their customers an increasing share of sports content. Finally, OTT (for "over the top") broadcasting now allows operators to distribute their content directly to consumers with a high-speed internet connection.</w:t>
      </w:r>
    </w:p>
    <w:p>
      <w:r>
        <w:t>8. At the time of the referral, Mediapro was a company active in the sector of purchasing sports rights and the publishing of thematic channels, part of the eponymous group and wholly owned by the Spanish company Mediapro Internacional S.L.U.</w:t>
      </w:r>
    </w:p>
    <w:p>
      <w:r>
        <w:t>9. The company GCP, controlled by the Vivendi group, is active in the publishing, aggregation, and distribution of pay television channels and services through all broadcasting platforms (DTT, ADSL/Fiber, satellite, mobile, and Internet). At the intermediate level of channel publishing, GCP publishes so-called "premium" channels and thematic channels, as well as free channels. At the downstream level, GCP distributes pay television offers, structured around the Canal+ channel, which can be supplemented by variations of this channel (for example, Canal+ Sport) published by GCP or by channels published by third parties. GCP also distributes SVOD services published by itself or by third parties.</w:t>
      </w:r>
    </w:p>
    <w:p>
      <w:r>
        <w:t>C. THE RAPID FAILURE OF THE TELEFOOT CHANNEL AND THE DISPUTES BETWEEN MEDIAPRO AND GCP BEFORE THE COMMERCIAL COURT</w:t>
      </w:r>
    </w:p>
    <w:p>
      <w:r>
        <w:t>1. THE CREATION OF THE TELEFOOT CHANNEL AND THE FAILURE OF MEDIAPRO</w:t>
      </w:r>
    </w:p>
    <w:p>
      <w:r>
        <w:t>10. At the end of April 2018, the Ligue de Football Professionnel (hereinafter "LFP") launched a call for applications regarding the rights to Ligue 1 and Ligue 2 for the period 2020-2024, rights divided into different lots. Mediapro won lots 1, 2, and 4, and was subsequently awarded lots 5 and 7 following a negotiated agreement.</w:t>
      </w:r>
    </w:p>
    <w:p>
      <w:r>
        <w:t>11. To exploit these rights, Mediapro created in August 2020 a pay television channel named "TELEFOOT la chaîne du foot" (hereinafter "Téléfoot"), which was associated with a multichannel service allowing the live broadcasting of matches occurring simultaneously and/or additional match sequences, as well as an OTT digital service, which included among other things the linear television channel and its multichannel service. Except for DTT, Téléfoot was available on all transmission networks via xDSL and fiber, mobile, and on the Internet in OTT. It was distributed by the main ISPs (Internet Service Providers), but not by GCP.</w:t>
      </w:r>
    </w:p>
    <w:p>
      <w:r>
        <w:t>12. However, Mediapro quickly encountered payment difficulties. After paying the first installment to the LFP in August 2020, Mediapro, as early as mid-September 2020, requested a reduction in the amount of the rights and/or new payment schedules from the LFP, which the LFP refused. Mediapro did not pay the next installment due on October 5, 2020. On October 19, 2020, a conciliation procedure between Mediapro and the LFP was opened by the Commercial Court of Nanterre. Mediapro did not honor the installment due on December 5, 2020. The Commercial Court of Nanterre ultimately approved an agreement on December 22, 2020, whereby the LFP and Mediapro agreed "to terminate the contract concluded between the LFP and Mediapro early," in exchange for the payment of a final settlement by Mediapro. As a result, the LFP "regained full ownership of the rights that had been granted to Mediapro."</w:t>
      </w:r>
    </w:p>
    <w:p>
      <w:r>
        <w:t>13. The Commercial Court of Bobigny ordered the immediate judicial liquidation of Mediapro Sport France SARL, the company publishing the Téléfoot channel, on October 20, 2021.</w:t>
      </w:r>
    </w:p>
    <w:p>
      <w:r>
        <w:t>2. THE PROCEEDINGS INITIATED BY MEDIAPRO AND GCP BEFORE THE COMMERCIAL COURT</w:t>
      </w:r>
    </w:p>
    <w:p>
      <w:r>
        <w:t>14. In parallel to the present referral, Mediapro and GCP brought before the commercial court claims for damages concerning the same facts, namely the negotiations for the distribution of Téléfoot.</w:t>
      </w:r>
    </w:p>
    <w:p>
      <w:r>
        <w:t>15. On the one hand, GCP summoned Mediapro on short notice before the president of the Commercial Court of Nanterre on September 18, 2020, for abuse of dominant position by Mediapro. GCP notably requested the court to order Mediapro France and Mediapro Sport France to present Canal+ with a non-discriminatory commercial proposal for the distribution of Téléfoot, including the version of the Téléfoot channel featuring the broadcast of the UEFA Champions League and the UEFA Europa League, as well as to condemn Mediapro to compensate "for the damage suffered due to the abuse of dominant position and restrictive competition practices." The court of Nanterre declared itself incompetent, and the case was referred to that of Paris. In its conclusions of March 22, 2021, GCP withdrew its request for injunction and revised the amount of its claims for damages.</w:t>
      </w:r>
    </w:p>
    <w:p>
      <w:r>
        <w:t>16. On the other hand, Mediapro summoned GCP before the Commercial Court of Paris on November 21, 2020, for abuse of dominant position, attempted submission to a significant imbalance, and unfair and abusive practices. Mediapro requested the court to order GCP to cease these practices and to condemn it to compensate for its damage, which it estimated the portion related to the refusal to distribute Téléfoot at [Confidential]. Mediapro then revised this amount.</w:t>
      </w:r>
    </w:p>
    <w:p>
      <w:r>
        <w:t>17. These two cases were joined by judgment of March 2, 2021, of the Commercial Court of Paris.</w:t>
      </w:r>
    </w:p>
    <w:p>
      <w:r>
        <w:t>18. By judgment of January 31, 2023, the Commercial Court of Paris dismissed both parties' claims in their entirety. Specifically regarding the alleged abuses of dominant position, the court, after noting that the relevant market was that of "the publishing and marketing of pay television channels broadcasting live Ligue 1 football matches," determined that neither Mediapro nor GCP "demonstrate that the other party would have had the possibility of independent behavior from its competitors, its suppliers, or its customers allowing it to further distort competition in the relevant market to its advantage and to the detriment of viewers."</w:t>
      </w:r>
    </w:p>
    <w:p>
      <w:r>
        <w:t>D. THE PRACTICES DENOUNCED</w:t>
      </w:r>
    </w:p>
    <w:p>
      <w:r>
        <w:t>19. In its referral, Mediapro, after asserting that GCP held a dominant position in the market for the distribution of pay television, claims that GCP would have abused this position by implementing various practices aimed at ousting it from the market for publishing pay sports channels.</w:t>
      </w:r>
    </w:p>
    <w:p>
      <w:r>
        <w:t>20. Firstly, Mediapro, after noting that all attempts to negotiate a distribution or partnership agreement around Mediapro's future channel with GCP were unsuccessful, as the latter proposed unacceptable financial and commercial conditions, claims that GCP imposed unfair transaction conditions on it, particularly for the distribution of its channel Téléfoot. In this regard, Mediapro specifically reproaches GCP for having, during their negotiations, estimated the potential subscribers to Téléfoot at 200,000 to 300,000, which were not guaranteed, while Mediapro requested GCP an agreement with a guaranteed minimum based on a number of 1.5 million residential subscribers to Téléfoot from the first year.</w:t>
      </w:r>
    </w:p>
    <w:p>
      <w:r>
        <w:t>21. Secondly, Mediapro claims that GCP made misleading public announcements ahead of the launch of Téléfoot and that GCP representatives made statements.</w:t>
      </w:r>
    </w:p>
    <w:p>
      <w:r>
        <w:rPr>
          <w:b/>
        </w:rPr>
        <w:t>[Pages 7–9]</w:t>
      </w:r>
    </w:p>
    <w:p>
      <w:r>
        <w:t>derogatory remarks regarding its services28 and conducted a press campaign on its difficulties29.</w:t>
      </w:r>
    </w:p>
    <w:p>
      <w:r>
        <w:t>22. Thirdly, Mediapro believes it has suffered discrimination from GCP, as the latter, almost concurrently with the launch of the Téléfoot channel, marketed bundled offers of several pay sports channels with competitors, under conditions that Mediapro considers similar to those that GCP had denied it30.</w:t>
      </w:r>
    </w:p>
    <w:p>
      <w:r>
        <w:t>23. Finally, fourthly, Mediapro argues that GCP offered during negotiations loyalty offers at very low prices that locked consumers in for an extremely long duration, which can only be explained by the intention to eliminate Mediapro, an operator then in the launch phase31.</w:t>
      </w:r>
    </w:p>
    <w:p>
      <w:r>
        <w:t>II. DISCUSSION</w:t>
      </w:r>
    </w:p>
    <w:p>
      <w:r>
        <w:t>A. APPLICABLE PROVISIONS</w:t>
      </w:r>
    </w:p>
    <w:p>
      <w:r>
        <w:t>24. Since Ordinance No. 2021-649 of May 26, 2021, which transposes into French law Directive (EU) 2019/1 of the European Parliament and of the Council of December 11, 2018, known as the "ECN+ Directive," the Authority may, pursuant to the second paragraph of Article L. 462-8 of the Commercial Code, "reject the referral by reasoned decision [...] for referrals received under II and IV of Article L. 462-5, when it does not consider them a priority."</w:t>
      </w:r>
    </w:p>
    <w:p>
      <w:r>
        <w:t>B. APPLICATION TO THE CASE AT HAND</w:t>
      </w:r>
    </w:p>
    <w:p>
      <w:r>
        <w:t>25. According to Recital 23 of the aforementioned directive, "national competition authorities should have the ability to establish priorities for their procedures... in order to use their resources effectively and focus on preventing and ending anti-competitive behavior..."</w:t>
      </w:r>
    </w:p>
    <w:p>
      <w:r>
        <w:t>26. The Authority's press release of October 20, 2022, regarding the implementation of rejection for lack of priority specifies, non-exhaustively, the factors that may be taken into account in decisions to reject for lack of priority, such as the potential severity of the reported practices, the scale of the case, the necessity to clarify a legal or economic issue to inform stakeholders, or the strategic nature of the Authority's intervention in a given case32.</w:t>
      </w:r>
    </w:p>
    <w:p>
      <w:r>
        <w:t>27. To assess this strategic nature, the Authority may, in particular, analyze whether it is "best positioned to intervene with the aim of protecting the competitive functioning of markets. This factor is assessed particularly in light of the possibility that other bodies, especially commercial or administrative courts, may be better placed to address the identified issue"33.</w:t>
      </w:r>
    </w:p>
    <w:p>
      <w:r>
        <w:t>28. In this case, it appears, first of all, that Mediapro chose, to assert its rights, and specifically to have the existence of practices constituting an abuse of dominant position by GCP recognized, to resort to several procedural avenues.</w:t>
      </w:r>
    </w:p>
    <w:p>
      <w:r>
        <w:t>29. As previously stated (see paragraph 16), the litigation initiated by Mediapro on November 21, 2020, before the commercial court, subsequently joined with that initiated by GCP, with both parties having been dismissed from all their claims, targeted the same abusive dominant position practices as those outlined in this referral.</w:t>
      </w:r>
    </w:p>
    <w:p>
      <w:r>
        <w:t>30. Furthermore, during the examination of the referral by the Authority initiated by Mediapro, two new circumstances arose. On the one hand, the Téléfoot channel definitively ceased broadcasting on February 7, 2021; on the other hand, as indicated above (see paragraph 13), the Bobigny Commercial Court ordered the judicial liquidation of Mediapro Sport France SARL on October 20, 2021.</w:t>
      </w:r>
    </w:p>
    <w:p>
      <w:r>
        <w:t>31. As a result, the main subject of Mediapro's complaint, namely the request to the Authority to put an end to GCP's practices34, has become moot, and the allegations of abuse of dominant position made by Mediapro against GCP now essentially follow a compensatory logic.</w:t>
      </w:r>
    </w:p>
    <w:p>
      <w:r>
        <w:t>32. Finally, the referral concerns practices whose impact on the consumer or on the competitive functioning of the market appears relative. On the one hand, the alleged practices clearly did not prevent, following Mediapro's failure, the entry of a new economic operator for the exploitation of the rights to Ligue 1 and Ligue 2 initially held by the referrer. On the other hand, it is not claimed by the referrer that the reported practices had an impact on the cost of the Téléfoot subscription, which remained accessible, including for GCP subscribers, through other channels (OTT, ISPs). All the rights formerly held by Téléfoot are, moreover, currently broadcast by another operator at a competitive price.</w:t>
      </w:r>
    </w:p>
    <w:p>
      <w:r>
        <w:t>33. In light of all these elements, it appears that the mobilization by the Authority of significant internal resources to examine Mediapro's complaint is not justified, and it is therefore appropriate to reject this referral pursuant to the second paragraph of Article L. 462-8 of the Commercial Code.</w:t>
      </w:r>
    </w:p>
    <w:p>
      <w:r>
        <w:t>DECISION</w:t>
      </w:r>
    </w:p>
    <w:p>
      <w:r>
        <w:t>Sole Article: The referral registered under number 20/0106 F is rejected for lack of priority.</w:t>
      </w:r>
    </w:p>
    <w:p>
      <w:r>
        <w:t>Deliberated on the oral report of Ms. Coline Panhaleux, rapporteur, and the intervention of Ms. Lauriane Lépine, deputy general rapporteur, by Ms. Fabienne Siredey-Garnier, vice-president, chairing the session, Mr. Thibaud Vergé, vice-president, and Mr. Savinien Grignon-Dumoulin, member.</w:t>
      </w:r>
    </w:p>
    <w:p>
      <w:r>
        <w:t>The session officer, The chair of the session,</w:t>
      </w:r>
    </w:p>
    <w:p>
      <w:r>
        <w:t>Claire Villeval Fabienne Siredey-Garnier</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