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https://www.autoritedelaconcurrence.fr/fr/decision/relative-des-pratiques-mises-en-oeuvre-dans-le-secteur-de-la-vente-dabonnements-des</w:t>
      </w:r>
    </w:p>
    <w:p>
      <w:r>
        <w:t>Pages translated : 37</w:t>
      </w:r>
    </w:p>
    <w:p/>
    <w:p>
      <w:r>
        <w:rPr>
          <w:b/>
        </w:rPr>
        <w:t>[Pages 1–3]</w:t>
      </w:r>
    </w:p>
    <w:p>
      <w:r>
        <w:t>FRENCH REPUBLIC</w:t>
        <w:br/>
        <w:t>Decision No. 23-D-04 of April 12, 2023</w:t>
        <w:br/>
        <w:t>regarding practices implemented in the sector of sales</w:t>
        <w:br/>
        <w:t>of subscriptions to business intelligence products and corporate information*</w:t>
        <w:br/>
        <w:t>The Competition Authority (section II),</w:t>
        <w:br/>
        <w:t>Considering the request from Moody’s Corporation and its subsidiaries and the company belonging to the same group, Bureau van Dijk Editions Electroniques S.A.S, submitted to the General Rapporteur of the Competition Authority on July 11, 2019, supplemented on January 27, 2021, and registered under number 21/0009 AC, seeking to benefit from the provisions of IV of Article L. 464-2 of the Commercial Code;</w:t>
        <w:br/>
        <w:t>Considering the letter of May 5, 2021, from the General Rapporteur recognizing the eligibility of the aforementioned companies for the conditional benefit of the provisions of IV of Article L. 464-2 of the Commercial Code;</w:t>
        <w:br/>
        <w:t>Considering decision No. 22-SO-01 of February 3, 2022, registered under number 22/0010 F, by which the Competition Authority initiated proceedings ex officio regarding practices implemented in the sector of sales of subscriptions to business intelligence products and corporate information;</w:t>
        <w:br/>
        <w:t>Considering the Treaty on the Functioning of the European Union, and in particular the first paragraph of Article 101;</w:t>
        <w:br/>
        <w:t>Considering Book IV of the Commercial Code, and in particular Article L. 420-1;</w:t>
        <w:br/>
        <w:t>Considering the settlement report of October 27, 2022, signed by the Deputy General Rapporteur and the companies Arthemis and Ellisphere in application of the provisions of III of Article L. 464-2 of the Commercial Code;</w:t>
        <w:br/>
        <w:t>Considering the observations presented by the companies Moody’s Corporation, Bureau van Dijk Editions Electroniques S.A.S, Bureau van Dijk Editions Electroniques SRL, Bureau van Dijk Editions Electroniques SARL, and Bureau van Dijk Electronic Publishing B.V. as well as by the Government Commissioner;</w:t>
        <w:br/>
        <w:t>Considering the other documents in the file;</w:t>
        <w:br/>
        <w:t>The rapporteurs, the Deputy General Rapporteur, the representatives of the companies Moody’s Corporation, Bureau van Dijk Editions Electroniques S.A.S, Bureau van Dijk Editions Electroniques SRL, Bureau van Dijk Editions Electroniques SARL, and Bureau van Dijk Electronic Publishing B.V., Arthemis, Ellisphere, and the Government Commissioner heard during the session of the Competition Authority on January 24, 2023;</w:t>
        <w:br/>
        <w:t>Adopts the following decision:</w:t>
        <w:br/>
        <w:t>*public version</w:t>
      </w:r>
    </w:p>
    <w:p>
      <w:r>
        <w:t>Summary1</w:t>
        <w:br/>
        <w:t>By this decision, the Competition Authority (hereinafter "the Authority") sanctions several companies of the Bureau van Dijk group (hereinafter "BvD"), which has been part of Moody’s Corporation since 2017, and the company Ellisphere (previously "SCRL" then "Coface SCRL" then "Coface Services") for having, through the conclusion of price-fixing and customer allocation agreements in the sector of sales of subscriptions to business intelligence products, violated the provisions of Articles 101 (1) TFEU and L. 420-1 of the Commercial Code.</w:t>
        <w:br/>
        <w:t>Since 1989, BvD and Ellisphere have cooperated, respectively as a software solutions developer and information provider, for the publication of several databases on companies, such as Diane, Astrée, Orbis, and Amadeus. Their co-publishing agreements have included, from the outset, clauses for joint price-setting and customer allocation in the marketing of these products.</w:t>
        <w:br/>
        <w:t>These practices, which lead to the elimination of two essential parameters of competition, were revealed to the Authority by a leniency request submitted in July 2019 by Moody’s Corporation to the European Commission and [CONFIDENTIAL] France. The leniency procedure allows companies that participated in a cartel to disclose its existence and obtain, under certain conditions, the benefit of a total or partial exemption from monetary sanctions in accordance with IV of Article L. 464-2 of the Commercial Code.</w:t>
        <w:br/>
        <w:t>Ellisphere requested from the Authority the benefit of the settlement procedure in accordance with the provisions of III of Article L. 464-2 of the Commercial Code. Its implementation led to the establishment of a settlement report setting the minimum and maximum amounts of the monetary sanction that could be imposed by the Authority.</w:t>
        <w:br/>
        <w:t>In light of these elements, the Authority has:</w:t>
        <w:br/>
        <w:t>− granted a total exemption from monetary sanctions to BvD and Moody’s Corporation, considering their role in revealing the concerned practices as well as their cooperation; and</w:t>
        <w:br/>
        <w:t>− imposed a sanction of 3,500,000 euros on Ellisphere, jointly with Arthemis in its capacity as parent company, this amount being included in the range specified in the settlement report.</w:t>
        <w:br/>
        <w:t>This decision constitutes the first implementation of the new leniency procedure resulting from Law No. 2020-1508 of December 3, 2020 (known as the "DDADUE Law") and Decree No. 2021-568 of May 10, 2021, relating to the procedure for total or partial exemption from monetary sanctions provided for in IV of Article L. 464-2 of the Commercial Code.</w:t>
        <w:br/>
        <w:t>1 This summary is strictly informative. Only the reasons for the decision numbered below are authoritative.</w:t>
      </w:r>
    </w:p>
    <w:p>
      <w:r>
        <w:t>TABLE OF CONTENTS</w:t>
        <w:br/>
        <w:t>I. FINDINGS ................................................................................ 5</w:t>
        <w:br/>
        <w:t>A. REMINDER OF THE PROCEDURE ...................................................................................5</w:t>
        <w:br/>
        <w:t>B. THE ENTITIES CONCERNED ....................................................................................6</w:t>
        <w:br/>
        <w:t>1. BVD .............................................................................................................................6</w:t>
        <w:br/>
        <w:t>2. ELLISPHERE ...............................................................................................................7</w:t>
        <w:br/>
        <w:t>C. THE SECTOR AND THE PRODUCTS CONCERNED ...................................................7</w:t>
        <w:br/>
        <w:t>1. THE PRODUCTS CONCERNED .......................................................................................7</w:t>
        <w:br/>
        <w:t>a) National and regional products ....................................................... 8</w:t>
        <w:br/>
        <w:t>b) International products ..................................................................... 8</w:t>
        <w:br/>
        <w:t>c) Specialized products ............................................................................. 9</w:t>
        <w:br/>
        <w:t>2. THE FUNCTIONING OF THE SECTOR .........................................................................9</w:t>
        <w:br/>
        <w:t>a) The establishment of business databases ............................. 10</w:t>
        <w:br/>
        <w:t>b) The marketing of databases ......................................................... 10</w:t>
        <w:br/>
        <w:t>3. THE RELATIONS BETWEEN BVD AND ELLISPHERE ........................................................10</w:t>
        <w:br/>
        <w:t>D. THE PRACTICES OBSERVED .............................................................................12</w:t>
        <w:br/>
        <w:t>1. JOINT PRICE SETTING OF PRODUCTS .................................................................12</w:t>
        <w:br/>
        <w:t>a) The contractual rules regarding the determination of product prices .................................................................................................... 12</w:t>
        <w:br/>
        <w:t>b) The implementation of the product pricing rules ........... 14</w:t>
        <w:br/>
        <w:t>2. CUSTOMER ALLOCATION BETWEEN BVD AND ELLISPHERE .........................16</w:t>
        <w:br/>
        <w:t>a) The contractual provisions regarding customer allocation .. 16</w:t>
        <w:br/>
        <w:t>b) The implementation of the rules regarding customer allocation between BvD and Ellisphere ..................................................................................... 18</w:t>
        <w:br/>
        <w:t>3. CONCLUSION ON THE OBSERVED PRACTICES....................................................21</w:t>
        <w:br/>
        <w:t>E. THE NOTIFIED GRIEVANCE ....................................................................................................21</w:t>
        <w:br/>
        <w:t>II. DISCUSSION ........................................................................................ 23</w:t>
        <w:br/>
        <w:t>A. ON THE IMPLEMENTATION OF THE LENIENCY AND SETTLEMENT PROCEDURES ...........................................................................................................23</w:t>
        <w:br/>
        <w:t>B. ON THE APPLICABILITY OF UNION LAW ...............................................................23</w:t>
        <w:br/>
        <w:t>C. ON THE DELIMITATION OF THE RELEVANT MARKET ........................................24</w:t>
        <w:br/>
        <w:t>D. ON THE MERITS OF THE GRIEVANCE ............................................................................25</w:t>
        <w:br/>
        <w:t>1. ON THE EXISTENCE OF A CONCERTED PRACTICE ....................................................25</w:t>
        <w:br/>
        <w:t>2. ON THE ANTI-COMPETITIVE NATURE OF THE PRACTICES ................................26</w:t>
        <w:br/>
        <w:t>E. ON THE DURATION OF THE PRACTICES ..........................................................................28</w:t>
        <w:br/>
        <w:t>F. ON THE ATTRIBUTION OF THE PRACTICES .............................................................28</w:t>
      </w:r>
    </w:p>
    <w:p>
      <w:r>
        <w:rPr>
          <w:b/>
        </w:rPr>
        <w:t>[Pages 4–6]</w:t>
      </w:r>
    </w:p>
    <w:p>
      <w:r>
        <w:t xml:space="preserve">1. CONCERNING BVD ................................................................................................29  </w:t>
        <w:br/>
        <w:t xml:space="preserve">2. CONCERNING ELLISPHERE .....................................................................................31  </w:t>
        <w:br/>
        <w:t xml:space="preserve">G. ON SANCTIONS ....................................................................................................31  </w:t>
        <w:br/>
        <w:t xml:space="preserve">1. ON THE SEVERITY OF THE INFRINGEMENT .......................................................32  </w:t>
        <w:br/>
        <w:t xml:space="preserve">2. ON THE DURATION OF THE INFRINGEMENT ......................................................34  </w:t>
        <w:br/>
        <w:t xml:space="preserve">3. ON THE INDIVIDUALIZATION OF THE SANCTION ...............................................34  </w:t>
        <w:br/>
        <w:t xml:space="preserve">4. ON ELLISPHERE'S CONTRIBUTIVE CAPACITY ....................................................34  </w:t>
        <w:br/>
        <w:t xml:space="preserve">5. ON THE REQUEST FOR LENIENCY ......................................................................35  </w:t>
        <w:br/>
        <w:t xml:space="preserve">6. CONCLUSION ON THE AMOUNT OF SANCTIONS ................................................36  </w:t>
        <w:br/>
        <w:t>DECISION ........................................................................................................... 37</w:t>
      </w:r>
    </w:p>
    <w:p>
      <w:r>
        <w:t xml:space="preserve">I. Findings  </w:t>
        <w:br/>
        <w:t xml:space="preserve">A. REMINDER OF THE PROCEDURE  </w:t>
        <w:br/>
        <w:t xml:space="preserve">1. On July 11, 2019, the general rapporteur and the leniency advisor of the Competition Authority (hereinafter "the Authority") registered a summary request, within the meaning of Article R. 464-5-5 of the Commercial Code, made by Moody's Corporation as well as its subsidiaries and companies belonging to the same group (hereinafter "Moody's"), including Bureau van Dijk Editions Electroniques S.A.S (hereinafter "BvD France"), a 100% subsidiary of Bureau van Dijk Publishing B.V. (hereinafter "BvD Netherlands") (hereinafter collectively referred to as "BvD") in the sector of sales of subscriptions to business intelligence and corporate information products.  </w:t>
        <w:br/>
        <w:t xml:space="preserve">2. On January 12, 2021, the European Commission adopted a non-processing letter in response to a marker request that had been submitted by Moody's on July 10, 2019.  </w:t>
        <w:br/>
        <w:t xml:space="preserve">3. On January 27, 2021, Moody's supplemented the aforementioned summary request by making a request for the implementation of IV of Article L. 464-2 of the Commercial Code before the deputy general rapporteur of the Authority. These statements were supplemented by the submission of numerous documents recorded in a report dated March 12, 2021, as well as by subsequent productions.  </w:t>
        <w:br/>
        <w:t xml:space="preserve">4. On May 5, 2021, the general rapporteur established a letter of eligibility for the leniency applicant, which the latter was able to consult at the Authority's premises. In this letter, the general rapporteur considered that the leniency request was "eligible for the conditional benefit of a total exemption from any sanctions that may be incurred in France for the practices described by the Applicant" and reminded Moody's of the cooperation conditions.  </w:t>
        <w:br/>
        <w:t xml:space="preserve">5. By decision No. 22-SO-01 of February 3, 2022, the Competition Authority initiated proceedings ex officio regarding practices implemented in the sector of sales of subscriptions to business intelligence and corporate information.  </w:t>
        <w:br/>
        <w:t xml:space="preserve">6. On August 30, 2022, the investigation services sent a statement of objections to Moody's and its subsidiaries, including BvD, on one hand, and to Ellisphere and its parent company Arthemis, on the other hand, concerning practices prohibited by Article 101 of the Treaty on the Functioning of the European Union (hereinafter "TFEU") and Article L. 420-1 of the Commercial Code.  </w:t>
        <w:br/>
        <w:t xml:space="preserve">7. By a report dated October 27, 2022, the companies Ellisphere and Arthemis committed not to contest the objection that was notified to them. During the session of January 24, 2023, their representative solemnly and knowingly confirmed his full agreement with the terms of the settlement.  </w:t>
        <w:br/>
        <w:t xml:space="preserve">B. THE ENTITIES CONCERNED  </w:t>
        <w:br/>
        <w:t xml:space="preserve">1. BVD  </w:t>
        <w:br/>
        <w:t xml:space="preserve">8. The Bureau Marcel van Dijk group was established in the 1970s in Belgium.  </w:t>
        <w:br/>
        <w:t xml:space="preserve">9. BvD France, Bureau van Dijk Editions Electroniques SRL (hereinafter "BvD Belgium") and Bureau van Dijk Editions Electroniques SARL (hereinafter "BvD Switzerland") are 100% subsidiaries of BvD Netherlands.  </w:t>
        <w:br/>
        <w:t xml:space="preserve">10. BvD Netherlands was established in 1991, following the division of activities within the former Bureau Marcel van Dijk group.  </w:t>
        <w:br/>
        <w:t xml:space="preserve">11. BvD Netherlands was acquired by Moody's Corporation in August 2017. The Moody's group offers software, consulting services, and research for credit analysis and economic analysis for financial risk management.  </w:t>
        <w:br/>
        <w:t>12. BvD France is a simplified joint-stock company with a single partner registered in the Paris Trade and Companies Register (hereinafter "RCS") under number 352 147 755. It has 38 employees, including 30 salespeople.</w:t>
      </w:r>
    </w:p>
    <w:p>
      <w:r>
        <w:rPr>
          <w:b/>
        </w:rPr>
        <w:t>[Pages 7–9]</w:t>
      </w:r>
    </w:p>
    <w:p>
      <w:r>
        <w:t xml:space="preserve">2. ELLISPHERE  </w:t>
        <w:br/>
        <w:t xml:space="preserve">13. Ellisphere is a simplified joint-stock company registered with the Paris Trade and Companies Register under number 482 755 741.  </w:t>
        <w:br/>
        <w:t xml:space="preserve">14. Ellisphere is a specialized player in business information. According to its website, the company is active in the collection and management of BtoB data in France and internationally. Ellisphere generated a revenue of approximately 52 million euros in 2019 and 49 million euros in 2020. It has 300 employees located in France.  </w:t>
        <w:br/>
        <w:t xml:space="preserve">15. Previously named "SCRL" (until the end of 2002), "Coface SCRL" (from 2003 to 2006) and then "Coface Services," the company adopted the name Ellisphere in 2014.  </w:t>
        <w:br/>
        <w:t xml:space="preserve">16. Since July 27, 2020, Ellisphere has been 99.50% owned by the company Arthemis, which is registered with the Nanterre Trade and Companies Register under number 851 889 063. Ellisphere is an indirect subsidiary of Andera Partners, Tikehau Capital, and Bpifrance.  </w:t>
        <w:br/>
        <w:t xml:space="preserve">C. THE SECTOR AND THE PRODUCTS CONCERNED  </w:t>
        <w:br/>
        <w:t xml:space="preserve">17. The relevant sector is that of selling subscriptions to economic intelligence products and more specifically to business information products in France.  </w:t>
        <w:br/>
        <w:t xml:space="preserve">1. THE PRODUCTS CONCERNED  </w:t>
        <w:br/>
        <w:t xml:space="preserve">18. The companies involved market access to databases containing information about businesses, including financial data and information regarding the identity of directors and executives. BvD and Ellisphere offer online access to these databases, along with data research and analysis tools.  </w:t>
        <w:br/>
        <w:t xml:space="preserve">19. The databases contain information collected from various data providers and standardized before being integrated.  </w:t>
        <w:br/>
        <w:t xml:space="preserve">20. Each of the databases allows users to perform the following tasks:  </w:t>
        <w:br/>
        <w:t xml:space="preserve">(i) search for information related to companies based on hundreds of criteria;  </w:t>
        <w:br/>
        <w:t xml:space="preserve">(ii) compare and filter companies in the search results;  </w:t>
        <w:br/>
        <w:t xml:space="preserve">(iii) export and download information; and  </w:t>
        <w:br/>
        <w:t xml:space="preserve">(iv) integrate data and functionalities into their own systems.  </w:t>
        <w:br/>
        <w:t xml:space="preserve">21. The information accessible via these databases is used in three main areas:  </w:t>
        <w:br/>
        <w:t xml:space="preserve">(i) marketing, for targeting and commercial prospecting;  </w:t>
        <w:br/>
        <w:t xml:space="preserve">(ii) risk, for assessing the creditworthiness of third parties; and finally,  </w:t>
        <w:br/>
        <w:t xml:space="preserve">(iii) compliance with regulatory requirements, enabling necessary checks for establishing and maintaining business relationships.  </w:t>
        <w:br/>
        <w:t xml:space="preserve">22. The products concerned by this procedure can be classified into three categories:  </w:t>
        <w:br/>
        <w:t xml:space="preserve">(i) national and regional products;  </w:t>
        <w:br/>
        <w:t xml:space="preserve">(ii) international products; and  </w:t>
        <w:br/>
        <w:t xml:space="preserve">(iii) specialized products. Each of these categories is described in more detail below.  </w:t>
        <w:br/>
        <w:t xml:space="preserve">a) National and regional products  </w:t>
        <w:br/>
        <w:t xml:space="preserve">23. These are databases containing information about companies from one (or several) specific country(ies).  </w:t>
        <w:br/>
        <w:t xml:space="preserve">24. BvD markets two national products in France named:  </w:t>
        <w:br/>
        <w:t xml:space="preserve">− Astrée, launched in 1993, which provides access to financial summaries on approximately 10 million French companies, as well as information regarding the structure of companies and their shareholders and directors; and  </w:t>
        <w:br/>
        <w:t xml:space="preserve">− Diane, launched in 1989, which offers more detailed data (financial strength indicators, details on the structure and shareholding of companies, or market information) but on a smaller number of companies (approximately 1.4 million).  </w:t>
        <w:br/>
        <w:t xml:space="preserve">25. Since 2014, Ellisphere has marketed a national product named Ellipro, allowing access to information reports, creditworthiness assessments, and financial analysis related to 8 million French companies, featuring scores and opinions calculated by Ellisphere. Ellipro offers optional services, including the possibility to order creditworthiness surveys, official documents from Infogreffe, and specific financial ratios, scores, or tailored credit opinions.  </w:t>
        <w:br/>
        <w:t xml:space="preserve">b) International products  </w:t>
        <w:br/>
        <w:t xml:space="preserve">26. These are databases containing information about companies worldwide or in a broad geographical region.  </w:t>
        <w:br/>
        <w:t xml:space="preserve">27. BvD has been marketing three international products in France since 2005:  </w:t>
        <w:br/>
        <w:t xml:space="preserve">− Orbis, BvD's flagship product, provides detailed information – on financial health, company structure, and broader market information – concerning approximately 310 million companies worldwide. BvD also markets thematic subsets of Orbis: Osiris, concerning listed companies, and Oriana, focusing on companies in the Asia-Pacific region;  </w:t>
        <w:br/>
        <w:t xml:space="preserve">− Amadeus contains standardized financial data on approximately 21 million companies in Europe, allowing for easy comparisons. This tool also provides access to financial strength indicators, as well as other market-related information;  </w:t>
        <w:br/>
        <w:t xml:space="preserve">− Mint Global is a similar offering to the previous two that aggregates national data from several countries via a simplified interface.  </w:t>
        <w:br/>
        <w:t xml:space="preserve">28. Since 2014, Ellisphere has marketed an international product named Elliworld, allowing access to creditworthiness information reports on 225 million companies outside of France. The nature of the data that users can access is similar to that of the data accessible via Ellipro.  </w:t>
        <w:br/>
        <w:t xml:space="preserve">c) Specialized products  </w:t>
        <w:br/>
        <w:t xml:space="preserve">29. Some operators offer solutions or databases designed to meet specific needs in the field of marketing or compliance, for example.  </w:t>
        <w:br/>
        <w:t xml:space="preserve">30. BvD markets the Catalyst product suite, which includes modules that add to other BvD databases, such as Orbis, and offers specific functionalities for verifying company compliance and organizing sales and marketing operations.  </w:t>
        <w:br/>
        <w:t xml:space="preserve">31. Since 2019, Ellisphere has offered a solution called "Compliance for Business," which allows the user to perform the necessary checks for third-party compliance with applicable regulations and their own internal rules when establishing a relationship with a third party (supplier or client).  </w:t>
        <w:br/>
        <w:t xml:space="preserve">2. THE OPERATION OF THE SECTOR  </w:t>
        <w:br/>
        <w:t>32. The databases are constituted and enriched with information about companies provided by various "information providers," as well as software tools and functionalities for research and analysis that are constantly being developed. They are then marketed in the form of subscriptions or on a pay-per-use basis.</w:t>
      </w:r>
    </w:p>
    <w:p>
      <w:r>
        <w:rPr>
          <w:b/>
        </w:rPr>
        <w:t>[Pages 10–12]</w:t>
      </w:r>
    </w:p>
    <w:p>
      <w:r>
        <w:t>a) The establishment of business databases</w:t>
        <w:br/>
        <w:t>33. At the upstream level, the establishment of business databases includes two sub-activities: (i) the compilation of data collected directly or from third parties, generally from public sources (in France, the RCS (Infogreffe), the SIRENE directory of Insee, the directory of French companies, or the commercial court registries) or private sources, and (ii) the development of software tools for analyzing this data.</w:t>
        <w:br/>
        <w:t>34. BvD indicates that it sources from more than 160 information providers worldwide, including Ellisphere, which is its main supplier of financial information specific to French companies.</w:t>
        <w:br/>
        <w:t>b) The marketing of databases</w:t>
        <w:br/>
        <w:t>35. Clients can access the databases in various ways: (i) via an internet interface, accessible to users through a personal login ID and password; (ii) via an application programming interface (API), which allows users, through their internal systems, to connect directly to the databases; or, increasingly less, (iii) via physical media (CD or DVD).</w:t>
        <w:br/>
        <w:t>36. BvD's databases are accessible either through a subscription that grants access, for a certain duration, to all or part of a specific database, or through "credits," which allow access to a database on a pay-per-use basis. Pricing generally reflects the amount of data available to the client.</w:t>
        <w:br/>
        <w:t>37. Database providers such as BvD offer their services to all types of entities such as financial institutions, commercial companies, or public actors.</w:t>
        <w:br/>
        <w:t>38. The main competitors of BvD and Ellisphere are Altares D&amp;B, Creditsafe, and Infolegale.</w:t>
        <w:br/>
        <w:t>3. THE RELATIONS BETWEEN BVD AND ELLISPHERE</w:t>
        <w:br/>
        <w:t>39. In 1989, BvD and Ellisphere decided to combine their respective expertise, namely, on one hand, the development of software solutions for the collection and exploitation of data (at the time, CD-ROMs) and, on the other hand, the collection of information on companies, to develop new products. The first cooperation agreement was concluded for the development of the national database Diane, and then, starting in 1992, for Astrée (hereinafter the "historical contracts").</w:t>
        <w:br/>
        <w:t>40. On December 20, 2004, Ellisphere and BvD renewed their partnership under new contracts concerning Diane and Astrée (hereinafter the "initial contracts").</w:t>
        <w:br/>
        <w:t>41. On May 12, 2005, the parties extended their cooperation to the development of the international products Orbis and Amadeus, and then, by amendment of March 26, 2010, to the Mint Global product (together, hereinafter the "international contract").</w:t>
        <w:br/>
        <w:t>42. Finally, on March 26, 2010, Ellisphere and BvD entered into a commercial cooperation agreement for all products developed jointly.</w:t>
        <w:br/>
        <w:t>43. These contracts provide for cooperation at two levels:</w:t>
        <w:br/>
        <w:t>− in the development of products through a co-publishing agreement for the databases: Ellisphere is responsible for providing and updating the information, and BvD is responsible for the creation and maintenance of the indexing and querying software, the development and maintenance of the products, as well as providing the infrastructure allowing Ellisphere to manage its clients. Ellisphere holds the intellectual property rights to the data, and BvD holds those to the software; and</w:t>
        <w:br/>
        <w:t>− in the marketing of the products: the products are marketed under the name of both companies. Regarding international products, BvD reserves the right to market them in all countries, while Ellisphere, as an information provider, can only market them in France.</w:t>
        <w:br/>
        <w:t>44. The initial contracts provide for the establishment of a steering committee (also referred to as "COPIL" or "Editorial Committee") to ensure the management of the contract, composed of two representatives from each party. As of 2010, this committee was also established under the international contract. The frequency of the steering committee meetings has fluctuated according to the various amendments to the contracts, shifting from a quarterly basis to a semi-annual basis.</w:t>
        <w:br/>
        <w:t>45. All of these agreements provide for a remuneration mechanism based on the revenue generated by the sale of the relevant products, the distribution of which between the parties has evolved over the course of their contractual relationship.</w:t>
        <w:br/>
        <w:t>46. The initial and international contracts do not create any exclusivity obligation for the parties. Thus, BvD can engage other information providers, and Ellisphere can sell data provided for the co-published products to third parties or market it itself.</w:t>
        <w:br/>
        <w:t>47. As will be analyzed below, these contracts provide for the joint setting of product prices and the allocation of customers between each party.</w:t>
        <w:br/>
        <w:t>48. By letter dated September 22, 2022, BvD formally terminated "all the stipulations contained in the contracts currently in force between our companies relating to pricing mechanisms and customer sharing."</w:t>
        <w:br/>
        <w:t>49. On January 13 and 16, 2023, BvD and Ellisphere concluded two new partnerships: an agreement for the provision of information by Ellisphere to BvD and a commercial agreement.</w:t>
        <w:br/>
        <w:t>D. OBSERVED PRACTICES</w:t>
        <w:br/>
        <w:t>50. In the context of their contractual relationship, BvD and Ellisphere defined and implemented rules for the joint setting of prices for national and international products (1.) as well as rules for customer allocation and distribution (2.).</w:t>
        <w:br/>
        <w:t>1. JOINT SETTING OF PRODUCT PRICES</w:t>
        <w:br/>
        <w:t>a) Contractual rules regarding the determination of product prices</w:t>
        <w:br/>
        <w:t>51. Both the historical contracts, the initial contracts, and the international contract provide for a system of joint price setting for the products. These rules have been maintained and specified over the course of the various amendments. The main provisions are summarized in the table below:</w:t>
      </w:r>
    </w:p>
    <w:p>
      <w:r>
        <w:rPr>
          <w:b/>
        </w:rPr>
        <w:t>[Pages 13–15]</w:t>
      </w:r>
    </w:p>
    <w:p>
      <w:r>
        <w:t>Clauses relating to joint price setting</w:t>
        <w:br/>
        <w:t>Contract Date Clause Reference</w:t>
        <w:br/>
        <w:t>Article 3.4.</w:t>
        <w:br/>
        <w:t>332</w:t>
        <w:br/>
        <w:t>"The sale price excluding tax for the CD-ROM shall not be less than 50,000 FF per year, subject to what is specified in Article 9.6 below. The price of the financial analysis software is included in the aforementioned sum of 50,000 FF; it shall not exceed 5,000 FF per year, or a maximum of 10% of the sale price."</w:t>
        <w:br/>
        <w:t>24/02/1989 Historical Contract Amendments Article 9.6</w:t>
        <w:br/>
        <w:t>337</w:t>
        <w:br/>
        <w:t>Diane 20/07/1991</w:t>
        <w:br/>
        <w:t>"The two sales forces commit to respect the price of 50,000 F defined in Article 3 and shall refrain from granting the clientele either directly or indirectly any discounts. The parties agree that the price of 50,000 F will be adjusted if it appears that this is necessary to face the penetration of a competing CD-ROM."</w:t>
        <w:br/>
        <w:t>Article 6</w:t>
        <w:br/>
        <w:t>"The sale price of the CD-ROM and the pricing of its outputs (notably labels for mailings) will be the subject of a separate exchange of letters. They may be adjusted by mutual agreement during the course of the contract."</w:t>
        <w:br/>
        <w:t>21/07/1992 Historical Contract</w:t>
        <w:br/>
        <w:t>355</w:t>
        <w:br/>
        <w:t>Astrée</w:t>
        <w:br/>
        <w:t>Article II.4</w:t>
        <w:br/>
        <w:t>"4.1 Coface Scrl [now Ellisphere] and BVD commit to respect the price set in Annex 2 and shall refrain from granting the clientele either directly or indirectly any discounts except with the agreement of the other party. However, the declining formula provided in Annex 264 may be agreed upon for clients subscribing to more than one subscription."</w:t>
        <w:br/>
        <w:t>Contracts Initials 20/12/2004 Diane and Astrée</w:t>
        <w:br/>
        <w:t>Clause V a)</w:t>
        <w:br/>
        <w:t>"The parties commit to sell Amadeus and Orbis at the prices defined in Annexes 2 and 3. Any price modification will be made by an addendum to this contract or by exchanges of letters validated by the parties."</w:t>
        <w:br/>
        <w:t>12/05/2005 International Contract</w:t>
        <w:br/>
        <w:t>518</w:t>
        <w:br/>
        <w:t>As an example, Annex 2 of the contract concerning Astrée defines the prices of annual subscriptions to Astrée including a certain number of credits (one credit corresponding to a series of data on a company) and the unit price of each additional credit. It also defines the price of certain additional options as well as the level of discounts applicable to subscriptions (references 269 to 271).</w:t>
        <w:br/>
        <w:t>Translation of "The parties undertake to sell Amadeus and Orbis at the prices defined in annex 2 and 3. Any revision of the price will be done by an addendum to this contract or by exchange of mails accepted by the parties."</w:t>
      </w:r>
    </w:p>
    <w:p>
      <w:r>
        <w:t>Clause 2</w:t>
        <w:br/>
        <w:t>Amendment No. 3 to "As of the effective date of this Amendment No. 3, the contracting parties agree to modify Article V – (Price Provisions) of the international Contract and decide that any changes to the Amadeus and Orbis pricing grid of the Products will henceforth be discussed within the Steering Committee."</w:t>
        <w:br/>
        <w:t>52. It follows from these contractual provisions that Ellisphere and BvD jointly set the prices of the products they co-published, either by determining the prices in the contract or in lists annexed to this contract, or through meetings within the steering committee.</w:t>
        <w:br/>
        <w:t>b) The implementation of the product pricing rules</w:t>
        <w:br/>
        <w:t>53. Several documents collected during the investigation illustrate the implementation of the contractual clauses relating to joint price setting. They have been listed in Annex II to the statement of objections.</w:t>
        <w:br/>
        <w:t>54. The parties exchanged views on pricing during the Steering Committee meetings as demonstrated by the minutes of the meetings of May 25, 2012, September 27, 2009, and October 22, 2013. According to a representative of BvD, this committee served as a forum to review prices and to resolve any conflicts regarding the allocation of certain clients between BvD and Ellisphere. Subsequently, according to statements from BvD, the usefulness of the steering committee diminished, with the parties primarily exchanging informal emails.</w:t>
        <w:br/>
        <w:t>55. The excerpts of exchanges between BvD and Ellisphere cited in the table below illustrate that the parties continuously discussed the prices of national and international products. These excerpts also demonstrate that the parties ensured compliance with the agreed pricing guidelines and reported any potential discrepancies.</w:t>
      </w:r>
    </w:p>
    <w:p>
      <w:r>
        <w:t>Examples of exchanges between BvD and Ellisphere regarding product prices</w:t>
        <w:br/>
        <w:t>Date Document Summaries/excerpts of relevant elements References</w:t>
        <w:br/>
        <w:t>"A. DIANE and ASTREE</w:t>
        <w:br/>
        <w:t>19/03/2008 Letter from BvD to 382-383</w:t>
        <w:br/>
        <w:t>1. […] we reviewed the prices of these two products as well as the discount structure. Our conclusion is that they are in line with the market and that there is no need to question them.</w:t>
        <w:br/>
        <w:t>2. For your reference, you will find attached our price lists for DIANE and ASTREE.</w:t>
        <w:br/>
        <w:t>3. Our standard discounts are as follows:</w:t>
        <w:br/>
        <w:t>[list]</w:t>
        <w:br/>
        <w:t>[…]</w:t>
        <w:br/>
        <w:t>7. Any offer that does not comply with the pricing structure must be approved by the partners, that is to say […] for offers from Bureau van Dijk and […] for offers from Coface."</w:t>
        <w:br/>
        <w:t>01/03/2013- Exchange of "2.2. Pricing and ASTREE credits: pricing proposal from 412</w:t>
        <w:br/>
        <w:t>20/03/2013 emails between BvD limiting the credit export to 1 credit for any export of Siret over the past 12 months to simplify client understanding. CS indicates that the export price is justified and does not wish to question the current terms."</w:t>
        <w:br/>
        <w:t>"e) Disputes:</w:t>
        <w:br/>
        <w:t>14/03/2013 Minutes of COPIL 174</w:t>
        <w:br/>
        <w:t>Fiducial: there was an old offer from CS that had not been followed up by CS. BVD offered ASTREE credits below the price. VlY will inform the client that the price of credits is too low and will not be renewed.</w:t>
        <w:br/>
        <w:t>[…]"</w:t>
        <w:br/>
        <w:t>08/07/2014 Minutes of COPIL "WL will report the names of prospects where BvD made offers without informing Ellisphere."</w:t>
        <w:br/>
        <w:t>"4. Pricing grid for large volume sales of ASTREE credits: awaiting confirmation by […]</w:t>
        <w:br/>
        <w:t>telephone conversation between BvD and Ellisphere 9. Review of the % commission on international product sales: 40% instead of 30%, but the most important thing is to generate more contacts, especially at the major accounts level."</w:t>
        <w:br/>
        <w:t>"The price proposed in the pricing grid poses no problem for me. The essential thing is that our (Ellisphere and BvD) teams practice the same prices actually proposed and with a minimum floor price that will be the limit for all."</w:t>
        <w:br/>
        <w:t>11/10/2016 Exchange of emails between BvD and Ellisphere 509</w:t>
        <w:br/>
        <w:t>"[…]</w:t>
        <w:br/>
        <w:t>03/02/2017 Exchange of 211</w:t>
        <w:br/>
        <w:t>Moreover, Daniel traced the history for me, namely in 2015, Ellisphere had to lower its price from […] to […] KE following a proposal from BvD at […] KE. Then in 2016, Daniel had to lower it again following the same proposal from BvD again. And now he has just lost the budget. For me, we are very far from a 'gentlemen's agreement', what do you think?"</w:t>
      </w:r>
    </w:p>
    <w:p>
      <w:r>
        <w:rPr>
          <w:b/>
        </w:rPr>
        <w:t>[Pages 16–18]</w:t>
      </w:r>
    </w:p>
    <w:p>
      <w:r>
        <w:t>Exchange of "We propose to maintain the DIANE pricing grid</w:t>
        <w:br/>
        <w:t>23/10/2017 emails between identical and slightly revise that of ASTREE as follows 509</w:t>
        <w:br/>
        <w:t>BvD and Ellisphere (±3%) for 2018."</w:t>
        <w:br/>
        <w:t>Exchange of</w:t>
        <w:br/>
        <w:t>07/04/2019 "At this stage, we will not open additional access 221, 957</w:t>
        <w:br/>
        <w:t>emails between</w:t>
        <w:br/>
        <w:t>without additional cost; as a reminder, the 'pseudo-official'</w:t>
        <w:br/>
        <w:t>BvD and Ellisphere</w:t>
        <w:br/>
        <w:t>agreement is a minimum of 30K euros for AMADEUS access. We</w:t>
        <w:br/>
        <w:t>are in discussion with other services on this basis, so we would lose credibility if through Ellisphere, they obtain it for free..."</w:t>
        <w:br/>
        <w:t>Exchange of</w:t>
        <w:br/>
        <w:t>09/04/2019 "The communication of the International Products pricing 219, 956</w:t>
        <w:br/>
        <w:t>emails between</w:t>
        <w:br/>
        <w:t>Products/national Products is a necessary prerequisite</w:t>
        <w:br/>
        <w:t>BvD and Ellisphere</w:t>
        <w:br/>
        <w:t>for this meeting."</w:t>
        <w:br/>
        <w:t>Exchange of "[...] sent me your email regarding the proposed rate.</w:t>
        <w:br/>
        <w:t>14/05/2020 1040-1042</w:t>
        <w:br/>
        <w:t>emails between I had the opportunity to discuss this topic off the record with a few</w:t>
        <w:br/>
        <w:t>BvD and Ellisphere people involved in this project (personally)</w:t>
        <w:br/>
        <w:t>The proposed offer at [...]KE will be impossible to defend, it is</w:t>
        <w:br/>
        <w:t>imperative to drastically revise this proposal downwards, I think we need to approach [...]KE</w:t>
        <w:br/>
        <w:t>Can you get back to us after you have rethought this topic?"</w:t>
        <w:br/>
        <w:t>56. It follows from the above that BvD and Ellisphere implemented the contractual clauses</w:t>
        <w:br/>
        <w:t>for jointly setting the prices of co-published products and ensured compliance with them.</w:t>
        <w:br/>
        <w:t>2. THE ALLOCATION OF CLIENTELE BETWEEN BVD AND ELLISPHERE</w:t>
        <w:br/>
        <w:t>a) The contractual provisions regarding clientele allocation</w:t>
        <w:br/>
        <w:t>57. The historical contracts, the initial contracts, as well as the international contract also provided</w:t>
        <w:br/>
        <w:t>for a mechanism for allocating clientele between the parties involved in favor of the party that made the first contact with the potential client, outlined in the table below.</w:t>
        <w:br/>
        <w:t>Clauses regarding clientele allocation</w:t>
        <w:br/>
        <w:t>Contract Date Clause reference</w:t>
        <w:br/>
        <w:t>"Article 9.8</w:t>
        <w:br/>
        <w:t>A client will be allocated to one or the other company according to the</w:t>
        <w:br/>
        <w:t>following criteria:</w:t>
        <w:br/>
        <w:t>- in the event that a system has been placed on demonstration</w:t>
        <w:br/>
        <w:t>prior to the subscription of the subscription: the company</w:t>
        <w:br/>
        <w:t>338</w:t>
        <w:br/>
        <w:t>that made the placement;</w:t>
        <w:br/>
        <w:t>Contract</w:t>
        <w:br/>
        <w:t>24/02/1989</w:t>
        <w:br/>
        <w:t>historical Diane - in the event that a subscription is taken out directly without</w:t>
        <w:br/>
        <w:t>demonstration: the company that obtained the signed order form.</w:t>
        <w:br/>
        <w:t>Article 9.9</w:t>
        <w:br/>
        <w:t>Each company will provide support to users for the</w:t>
        <w:br/>
        <w:t>clients it has acquired."</w:t>
        <w:br/>
        <w:t>16</w:t>
      </w:r>
    </w:p>
    <w:p>
      <w:r>
        <w:t>"Article 7 - Distribution</w:t>
        <w:br/>
        <w:t>A client will be allocated to one or the other company according to the</w:t>
        <w:br/>
        <w:t>following criteria:</w:t>
        <w:br/>
        <w:t>- in the event that a system has been placed on demonstration</w:t>
        <w:br/>
        <w:t>Contract</w:t>
        <w:br/>
        <w:t>21/07/1992 prior to the subscription of the subscription: the company 355</w:t>
        <w:br/>
        <w:t>historical Astrée</w:t>
        <w:br/>
        <w:t>that made the placement;</w:t>
        <w:br/>
        <w:t>- in the event that a subscription is taken out directly without</w:t>
        <w:br/>
        <w:t>demonstration: the company that obtained the signed order form."</w:t>
        <w:br/>
        <w:t>"4.2 A client will be allocated to one or the other company according to</w:t>
        <w:br/>
        <w:t>the following criteria:</w:t>
        <w:br/>
        <w:t>- in the event that a system has been placed on demonstration</w:t>
        <w:br/>
        <w:t>prior to the subscription of the subscription, to the 255 (Astrée)</w:t>
        <w:br/>
        <w:t>company that made the demonstration.</w:t>
        <w:br/>
        <w:t>Initial contracts</w:t>
        <w:br/>
        <w:t>20/12/2004</w:t>
        <w:br/>
        <w:t>Diane and Astrée - in the event that a subscription is taken out directly without 294 (Diane)</w:t>
        <w:br/>
        <w:t>demonstration, to the company that obtained the signed order form.</w:t>
        <w:br/>
        <w:t>Each company will provide support to users for the</w:t>
        <w:br/>
        <w:t>clients it has acquired."</w:t>
        <w:br/>
        <w:t>"2. Commercial approach</w:t>
        <w:br/>
        <w:t>As part of its prospecting actions or solicited contacts, each of the two partners will transmit to</w:t>
        <w:br/>
        <w:t>the responsible person of the other partner any expression of interest</w:t>
        <w:br/>
        <w:t>received for the Astrée product from one of the clients or prospects</w:t>
        <w:br/>
        <w:t>of the other partner. […]</w:t>
        <w:br/>
        <w:t>If the prospect of Coface Services is an existing client of</w:t>
        <w:br/>
        <w:t>BVD under the National Products or has already been the subject 276 and 277</w:t>
        <w:br/>
        <w:t>of a commercial offer issued by BVD in the previous 12 months (Astrée)</w:t>
        <w:br/>
        <w:t>BVD will indicate it to Coface Services specifying</w:t>
        <w:br/>
        <w:t>Amendments to the date of signature of the contract or commercial offer;</w:t>
        <w:br/>
        <w:t>the client will then be deemed acquired by BVD. If it is not an existing client</w:t>
        <w:br/>
        <w:t>and has not been the subject of a commercial offer, the</w:t>
        <w:br/>
        <w:t>client will be deemed acquired by Coface Services.</w:t>
        <w:br/>
        <w:t>315 and 316</w:t>
        <w:br/>
        <w:t>If the prospect of BVD is an existing client of Coface</w:t>
        <w:br/>
        <w:t>(Diane)</w:t>
        <w:br/>
        <w:t>Services under the National Products or has already been</w:t>
        <w:br/>
        <w:t>the subject of a commercial offer issued by Coface Services</w:t>
        <w:br/>
        <w:t>in the previous 12 months, Coface Services will indicate it to</w:t>
        <w:br/>
        <w:t>BVD specifying the date of signature of the contract or</w:t>
        <w:br/>
        <w:t>the commercial offer; the client will then be deemed acquired by</w:t>
        <w:br/>
        <w:t>Coface Services. If it is not an existing client and has not been</w:t>
        <w:br/>
        <w:t>the subject of a commercial offer, the client will be deemed acquired</w:t>
        <w:br/>
        <w:t>by BVD."</w:t>
        <w:br/>
        <w:t>Clause V b)</w:t>
        <w:br/>
        <w:t>"in each country, a client will be allocated to the concerned information provider or BvD based on the following criteria:</w:t>
        <w:br/>
        <w:t>- if the contract is subscribed following a demonstration, to the company that made the demonstration.</w:t>
        <w:br/>
        <w:t>17</w:t>
      </w:r>
    </w:p>
    <w:p>
      <w:r>
        <w:t>- if the contract is subscribed without a demonstration, to the company that obtained the contract."</w:t>
        <w:br/>
        <w:t>" A customer/prospect database (hereinafter the</w:t>
        <w:br/>
        <w:t>'Database') will be established and maintained by the BVD manager who records, for each client or</w:t>
        <w:br/>
        <w:t>prospect of Coface, the evolution of the relationship. This database is continuously accessible by the Coface manager. Each contact between the BVD manager and the</w:t>
        <w:br/>
        <w:t>Coface clients or prospects will be recorded there.</w:t>
        <w:br/>
        <w:t>The Coface manager will transmit to the BVD manager</w:t>
        <w:br/>
        <w:t>any expression of interest from one of the clients or prospects of</w:t>
        <w:br/>
        <w:t>Coface Services, for one of the International Products.</w:t>
        <w:br/>
        <w:t>The identity of the Coface prospect will be entered into the Database to determine if the prospect is a new 602 (products</w:t>
        <w:br/>
        <w:t>client or an existing client. international)</w:t>
        <w:br/>
        <w:t>Cooperation agreement 26/03/2010 If the prospect of Coface is an existing client of BVD under</w:t>
        <w:br/>
        <w:t>commercial the AMADEUS, ORBIS or MINTGLOBAL products,</w:t>
        <w:br/>
        <w:t>605 (national products)</w:t>
        <w:br/>
        <w:t>BVD will indicate it to Coface Services specifying the date of</w:t>
        <w:br/>
        <w:t>signature of the contract; the client will then be deemed acquired by</w:t>
        <w:br/>
        <w:t>BVD.</w:t>
        <w:br/>
        <w:t>If the prospect of Coface has not yet signed a contract</w:t>
        <w:br/>
        <w:t>with BVD but has already been the subject of a commercial offer</w:t>
        <w:br/>
        <w:t>issued by BVD in the previous 12 months prior to the contact with</w:t>
        <w:br/>
        <w:t>Coface, BVD will indicate it to Coface Services specifying the</w:t>
        <w:br/>
        <w:t>date of the offer; the client will also be deemed acquired by</w:t>
        <w:br/>
        <w:t>BVD;</w:t>
        <w:br/>
        <w:t>If the prospect does not fall into either of the two categories above,</w:t>
        <w:br/>
        <w:t>the client will be deemed acquired by Coface and will be integrated</w:t>
        <w:br/>
        <w:t>as such into the Database."</w:t>
        <w:br/>
        <w:t>Amendment to Adds: "3.5. In the presence of a client deemed acquired by</w:t>
        <w:br/>
        <w:t>contract of 14/02/2018 Ellisphere, Ellisphere will lead the commercial approach, 560</w:t>
        <w:br/>
        <w:t>partnership accompanied by BvD if Ellisphere deems it useful."</w:t>
        <w:br/>
        <w:t>Amadeus-Orbis</w:t>
        <w:br/>
        <w:t>b) The implementation of the rules regarding the allocation of clients between BvD and</w:t>
        <w:br/>
        <w:t>Ellisphere</w:t>
        <w:br/>
        <w:t>58. Several documents collected during the investigation illustrate the implementation, by BvD</w:t>
        <w:br/>
        <w:t>and Ellisphere, of the contractual clauses regarding clientele allocation. They have been</w:t>
        <w:br/>
        <w:t>listed in Annex III to the statement of objections.</w:t>
        <w:br/>
        <w:t>59. An email dated December 17, 2018, from BvD to Ellisphere explains the functioning of the</w:t>
        <w:br/>
        <w:t>clientele allocation mechanism "[t]he salespeople have access to the list of your clients</w:t>
        <w:br/>
        <w:t>Diane and Astrée in order to pay specific attention to any requests that</w:t>
        <w:br/>
        <w:t>would lead to proposing an identical license to the client department at a degraded rate.</w:t>
      </w:r>
    </w:p>
    <w:p>
      <w:r>
        <w:rPr>
          <w:b/>
        </w:rPr>
        <w:t>[Pages 19–21]</w:t>
      </w:r>
    </w:p>
    <w:p>
      <w:r>
        <w:t>This is the spirit of the clause intended by X… and included in the agreement solely for the obvious purpose of protecting our respective interests. This instruction seems to have been rather well respected insofar as we have, it seems to me, lamented only a few problematic cases in recent years.</w:t>
      </w:r>
    </w:p>
    <w:p>
      <w:r>
        <w:t>60. The documents in the file reveal exchanges regarding the identity of the national and international clients of each party which, over the past few years, have been systematically shared on a monthly basis between the financial departments of each party, through lists of clients from BvD and Ellisphere. These exchanges also occurred via an "administration site" or "admin site" allowing BvD to access the list of current clients of Ellisphere. This site was also used by both parties to manage client accounts.</w:t>
      </w:r>
    </w:p>
    <w:p>
      <w:r>
        <w:t>61. Several exchanges, some of which are transcribed in the table below, demonstrate that the parties monitored compliance with the client allocation rules and reported any potential deviations:</w:t>
        <w:br/>
        <w:t>Examples of exchanges between BvD and Ellisphere regarding client allocation</w:t>
        <w:br/>
        <w:t>Date Document Summaries/excerpts of relevant elements References</w:t>
        <w:br/>
        <w:t>Email</w:t>
        <w:br/>
        <w:t>22/05/2012 "AS24: Client CS [Coface Services] for which direct negotiations without information from CS [Coface Services] were conducted by a BvD salesperson despite requests for information from CS [Coface Services], BvD indicates that they will reframe this collaborator in accordance with our agreements" (emphasis added).</w:t>
        <w:br/>
        <w:t>14/03/2013 Document titled "e) Disputes: 1. Europcar: CS would have made an offer to the client before BvD made an offer. PhC will send the offer to DC. (14/3/2013) 2. Fiducial: there was an old offer from CS that had not been followed up by CS. BvD offered ASTREE credits below the price. VLY will inform the client that the price of the credits is too low and will not be renewed. 3. Wurth: BvD wants to make an offer for ASTREE at 12,000 EUR. 4. Banque Delubac: BvD is too cheap. 5. AKREA: CS never responded to VLY's email. This blocks a BvD sale of 25,000 EUR. PhC: "it's a Coface client." BvD: "Go get the 24,500 EUR." 6. URIOS: solvency client of CS who made a request for an international offer. BvD made the offer on the pretext that it was a BvD client. BvD wants more contacts for international products."</w:t>
        <w:br/>
        <w:t>Email</w:t>
        <w:br/>
        <w:t>15/02/2016 "I learn incidentally from our client INSEE that you met them on Thursday 11/02 to propose your services. While we can be competitors, we are above all historical partners and as such it is appropriate that we are loyal to each other, you as well as us. In my new role, I will ensure that this is the case, and I expect the same in return from BvD. Thank you in advance for avoiding this type of solicitation without prior exchange, as it concerns the development of our partnership under the best conditions" (emphasis added).</w:t>
        <w:br/>
        <w:t>12/12/2016 Email from BvD to "The CRCI Nouvelle Aquitaine (resulting from the merger of 3 CRCIs, 2 of which are already clients of ours) is launching a consultation. Please inform Ellisphere not to position itself on this consultation in order to respect the rules of good commercial understanding between our two companies."</w:t>
        <w:br/>
        <w:t>Email</w:t>
        <w:br/>
        <w:t>03/02/2017 "We both exchanged on the call for tenders from the CCIR Aquitaine, we made a 'gentlemen's agreement' based on the following [arrow] I will not respond to this call for tenders since BvD was the incumbent in return, the upcoming calls for tenders of the type Aquitaine Region and CCI Aquitaine would not be subject to a BvD offer. I had only understood that it was not just a BvD client but also an Ellisphere client, which you and your teams should have known when responding. It would have been more logical to call me so that we could work together on this file so that there would be no loser. Moreover, Daniel traced the history for me, namely in 2015, Ellisphere as the incumbent had to lower its price from 16 to 12 KE following a proposal from BvD at 10 KE. Then in 2016, Daniel had to lower again following the same proposal from BvD again. And now he has just lost the budget. For me, we are very far from a 'gentlemen's agreement', what do you think?"</w:t>
        <w:br/>
        <w:t>Document titled</w:t>
        <w:br/>
        <w:t>13/07/2018 "C. Marketing &amp; Commercial Cooperation 'STEERING COMMITTEE BvD claims to have been prospecting the Compliance target for 3 years, including on the clients Diane/Astrée or even Orbis of Ellisphere. BvD disapproves and insists that none of its clients 'BvD solution' be prospected by BvD and reaffirms its will, clearly transcribed in the agreement, to promote the listed BvD products to its own clientele. ACTION ELLISPHERE: develop an initial commercial action plan on a selection of clients, which will be led by Ellisphere and shared with BvD [&lt;30/09]. Reciprocally, BvD points out that it may be relevant to propose Ellisphere solutions to BvD clients. ACTION BVD: send Ellisphere a list of accounts or groups that are Orbis/Catalyst targets [30/09]" (emphasis added).</w:t>
        <w:br/>
        <w:t>62. It follows from the above that Ellisphere and BvD implemented the contractual clauses for client allocation and ensured their compliance.</w:t>
      </w:r>
    </w:p>
    <w:p>
      <w:r>
        <w:t>3. CONCLUSION ON THE OBSERVED PRACTICES</w:t>
        <w:br/>
        <w:t>63. It emerges from the preceding elements that, since 1989 and through several contracts, BvD and Ellisphere have adopted and implemented rules regarding the joint determination of prices for certain economic intelligence products and the allocation of clients between them.</w:t>
        <w:br/>
        <w:t>64. These practices have persisted, at least, until the date of the notification of grievances on August 30, 2022, the contractual clauses presented above having only been formally denounced by BvD on September 22, 2022.</w:t>
        <w:br/>
        <w:t>E. THE NOTIFIED GRIEVANCE</w:t>
        <w:br/>
        <w:t>65. On August 30, 2022, the investigation services notified the following grievance: "The grievance is made against: − the company Bureau van Dijk Editions Electroniques Srl (BvD Belgium), as author and successor of Bureau Marcel van Dijk, − the company Bureau van Dijk Editions Electroniques Sàrl (BvD Switzerland), as author, − the company Bureau van Dijk Editions Electroniques S.A.S. (BvD France), as author, − the company Bureau van Dijk Electronic Publishing B.V. (BvD Netherlands), as parent company of the companies Bureau van Dijk Editions Electroniques Srl, Bureau van Dijk Editions Electroniques Sàrl and Bureau van Dijk Editions Electroniques S.A.S., − to [sic] the company Moody’s Corporation, as ultimate parent company of the companies Bureau van Dijk Electronic Publishing B.V., Bureau van Dijk Editions Electroniques Srl, Bureau van Dijk Editions Electroniques Sàrl and Bureau van Dijk Editions Electroniques S.A.S., − the company Ellisphere, as author and successor of the companies SCRL and Coface SCRL, − the company Arthemis, as parent company of the company Ellisphere, for having participated in an agreement in the sector of the sale of subscriptions to economic intelligence products. The participants in this agreement implemented practices.</w:t>
      </w:r>
    </w:p>
    <w:p>
      <w:r>
        <w:rPr>
          <w:b/>
        </w:rPr>
        <w:t>[Pages 22–24]</w:t>
      </w:r>
    </w:p>
    <w:p>
      <w:r>
        <w:t>aimed at jointly setting the prices of certain products and allocating customers among themselves. Such behavior has an anti-competitive object and is prohibited by Article L. 420-1 of the Commercial Code and by Article 101 of the TFEU.</w:t>
      </w:r>
    </w:p>
    <w:p>
      <w:r>
        <w:t>The grievance is notified to the aforementioned companies, considering the extent of their individual responsibility for the entire single, complex, and continuous infringement and for the period during which they participated in it.</w:t>
      </w:r>
    </w:p>
    <w:p>
      <w:r>
        <w:t>The grievance is notified to the aforementioned companies:</w:t>
        <w:br/>
        <w:t>− Bureau van Dijk Editions Electroniques Srl for its participation as author and successor of Bureau Marcel van Dijk, from February 24, 1989, to the date of this notification of grievances;</w:t>
        <w:br/>
        <w:t>− Bureau van Dijk Editions Electroniques Sàrl for its participation as author from November 7, 2000, to the date of this notification of grievances;</w:t>
        <w:br/>
        <w:t>− Bureau van Dijk Editions Electroniques S.A.S. for its participation as author from March 19, 2008, to the date of this notification of grievances;</w:t>
        <w:br/>
        <w:t>− Bureau van Dijk Electronic Publishing B.V. for its participation as parent company from 2005 to the date of this notification of grievances;</w:t>
        <w:br/>
        <w:t>− Moody’s Corporation for its participation as parent company from August 10, 2017, to the date of this notification of grievances;</w:t>
        <w:br/>
        <w:t>− Ellisphere for its participation as author and successor of SCRL and Coface SCRL from February 24, 1989, to the date of this notification of grievances;</w:t>
        <w:br/>
        <w:t>− Arthemis for its participation as parent company from July 27, 2020, to the date of this notification of grievances."</w:t>
      </w:r>
    </w:p>
    <w:p>
      <w:r>
        <w:t>II. Discussion</w:t>
        <w:br/>
        <w:t>A. ON THE IMPLEMENTATION OF THE LENIENCY AND SETTLEMENT PROCEDURES</w:t>
        <w:br/>
        <w:t>66. III of Article L. 464-2 of the Commercial Code states that: "[When a] company does not contest the reality of the grievances notified to it, the general rapporteur may submit to it a settlement proposal setting the minimum and maximum amount of the envisaged financial penalty. When the company (...) commits to modifying its behavior, the general rapporteur may take this into account in his settlement proposal. If, within a period set by the general rapporteur, (...) the company agrees to the settlement proposal, the general rapporteur proposes to the Competition Authority, which hears the company or the organization and the Government Commissioner without prior establishment of a report, to impose the financial penalty (...) within the limits set by the settlement."</w:t>
      </w:r>
    </w:p>
    <w:p>
      <w:r>
        <w:t>67. IV of Article L. 464-2 of the Commercial Code provides that "[a] total or partial exemption from financial penalties may be granted to a company or an association of companies that has, with others, implemented a practice prohibited by the provisions of Article L. 420-1 if it has contributed to establishing the reality of the prohibited practice and identifying its authors, by providing information that the Authority or the administration did not previously possess."</w:t>
      </w:r>
    </w:p>
    <w:p>
      <w:r>
        <w:t>68. In this case, first of all, BvD requested, on July 11, 2019, the benefit of the leniency program and participated in revealing the incriminating practices, which allowed it to obtain, on May 5, 2021, a letter of eligibility for a total exemption from any potential penalty (see above, paragraphs 1 to 4).</w:t>
      </w:r>
    </w:p>
    <w:p>
      <w:r>
        <w:t>69. By a report signed on October 27, 2022, Ellisphere committed not to contest the grievance that was notified to it and agreed to a settlement proposal defining the limits of the financial penalty that could be imposed on it. During the session of January 24, 2023, it confirmed its full agreement with the terms of the settlement, of which it accepted, knowingly, the legal consequences, particularly regarding the amount of the financial penalty that could be imposed by the Authority (see above, paragraph 7).</w:t>
      </w:r>
    </w:p>
    <w:p>
      <w:r>
        <w:t>70. The practices not having been contested, the Authority will limit itself to the following developments.</w:t>
        <w:br/>
        <w:t>B. ON THE APPLICABILITY OF UNION LAW</w:t>
        <w:br/>
        <w:t>71. Article 101 of the TFEU prohibits anti-competitive agreements insofar as they "are capable of affecting trade between Member States."</w:t>
      </w:r>
    </w:p>
    <w:p>
      <w:r>
        <w:t>72. In light of the European Commission's communication on guidelines regarding the notion of affecting trade as set out in Articles 81 and 82 of the treaty [now Articles 101 and 102 of the TFEU] (OJCE C 101, April 27, 2004, p. 81) and European and national case law, the Authority consistently considers that three elements must be met for practices to be capable of significantly affecting trade between Member States: the existence of exchanges between Member States concerning the products or services in question, the existence of practices likely to affect those exchanges, and the sensitive nature of this possible effect.</w:t>
      </w:r>
    </w:p>
    <w:p>
      <w:r>
        <w:t>73. According to consistent case law, the fact that agreements or abuses of a dominant position are committed only within the territory of a single Member State does not prevent the first two conditions from being met. Regarding the third element, according to a ruling of January 31, 2012, the Court of Cassation held that "the sensitive nature of the direct or indirect, potential or actual effect on intra-community trade results from a set of criteria, among which are the nature of the practices, the nature of the products concerned, and the market position of the companies involved."</w:t>
      </w:r>
    </w:p>
    <w:p>
      <w:r>
        <w:t>74. In this case, the applicability of Article 101 TFEU results from the significance of the companies involved, the scope of the practices, and the products concerned by them.</w:t>
      </w:r>
    </w:p>
    <w:p>
      <w:r>
        <w:t>75. BvD is a key player in the economic intelligence sector in Europe, which has belonged to Moody's, an international group, since 2017. Ellisphere is a key player in providing information about French companies.</w:t>
      </w:r>
    </w:p>
    <w:p>
      <w:r>
        <w:t>76. The practices were implemented throughout the national territory and concern products marketed primarily in France such as Diane and Astrée, but also products marketed worldwide such as Orbis, Amadeus, Mint Global, and Catalyst.</w:t>
      </w:r>
    </w:p>
    <w:p>
      <w:r>
        <w:t>77. It follows that the practices are likely to have significantly affected trade between Member States. These practices must, therefore, be examined both under Union competition law and national law.</w:t>
        <w:br/>
        <w:t>C. ON THE DELIMITATION OF THE RELEVANT MARKET</w:t>
        <w:br/>
        <w:t>78. It follows from case law that the obligation to delineate the relevant market in a decision adopted pursuant to Article 101 TFEU arises only when, without such delineation, it is not possible to determine whether the agreement, the decision of an association of companies, or the concerted practice in question is likely to affect trade between Member States and has as its object or effect the prevention, restriction, or distortion of competition within the common market.</w:t>
      </w:r>
    </w:p>
    <w:p>
      <w:r>
        <w:rPr>
          <w:b/>
        </w:rPr>
        <w:t>[Pages 25–27]</w:t>
      </w:r>
    </w:p>
    <w:p>
      <w:r>
        <w:t>79. Similarly, under domestic law, when the practices in question are examined under the prohibition of horizontal agreements, as is the case here, it is not necessary to define the market precisely as long as the sector has been sufficiently identified to qualify the observed practices and allow them to be attributed to the operators who implemented them.</w:t>
      </w:r>
    </w:p>
    <w:p>
      <w:r>
        <w:t>80. The sector concerned by the practices noted above is that of the sale of subscriptions to economic intelligence products and, more specifically, to business information products in France.</w:t>
      </w:r>
    </w:p>
    <w:p>
      <w:r>
        <w:t>81. The notified grievance concerning practices of joint price fixing and customer allocation contrary to Articles 101 TFEU and L. 420-1 of the Commercial Code does not require a more precise delineation of the relevant markets.</w:t>
      </w:r>
    </w:p>
    <w:p>
      <w:r>
        <w:t>D. ON THE MERITS OF THE GRIEVANCE</w:t>
      </w:r>
    </w:p>
    <w:p>
      <w:r>
        <w:t>82. Article 101(1) TFEU and Article L. 420-1 of the Commercial Code prohibit, in particular, all agreements between companies that consist of directly or indirectly fixing purchase or sale prices or allocating markets.</w:t>
      </w:r>
    </w:p>
    <w:p>
      <w:r>
        <w:t>1. ON THE EXISTENCE OF AN AGREEMENT OF INTENT</w:t>
      </w:r>
    </w:p>
    <w:p>
      <w:r>
        <w:t>83. The existence of an agreement is established as soon as the companies have expressed their common intention to behave in a certain manner in the market.</w:t>
      </w:r>
    </w:p>
    <w:p>
      <w:r>
        <w:t>84. The evidence of agreements and concerted practices may result either from self-sufficient evidence or from a body of evidence constituted by the convergence of various elements collected during the investigation, which may be drawn from one or more documents or statements and which, taken in isolation, may not have probative value.</w:t>
      </w:r>
    </w:p>
    <w:p>
      <w:r>
        <w:t>85. In this case, it follows from the findings made in paragraphs 39 to 47, 51, and 57 above that Ellisphere and BvD negotiated and signed contracts and amendments containing clauses related to the joint determination of prices and the allocation of customers between them. These contracts and amendments, marked by the signature of each party, constitute direct documentary evidence of their common intention to behave in a certain manner in the market and thus demonstrate the existence of an agreement of intent.</w:t>
      </w:r>
    </w:p>
    <w:p>
      <w:r>
        <w:t>86. Furthermore, the elements in the file, mentioned in paragraphs 55 and 61 above, demonstrate that the parties effectively implemented the disputed clauses.</w:t>
      </w:r>
    </w:p>
    <w:p>
      <w:r>
        <w:t>2. ON THE ANTI-COMPETITIVE NATURE OF THE PRACTICES</w:t>
      </w:r>
    </w:p>
    <w:p>
      <w:r>
        <w:t>87. The Court of Justice has consistently recalled that "certain types of coordination between companies reveal a sufficient degree of harmfulness to competition to be classified as a restriction by object, so that the examination of their effects is not necessary. This case law is due to the fact that certain forms of coordination between companies can be considered, by their very nature, as harmful to the proper functioning of competition."</w:t>
      </w:r>
    </w:p>
    <w:p>
      <w:r>
        <w:t>88. It has also consistently noted that "certain collusive behaviors, such as those leading to horizontal price fixing by cartels, can be considered so likely to have negative effects on, in particular, the price, quantity, or quality of products and services that it may be deemed unnecessary, for the purposes of applying Article 101(1) TFEU, to demonstrate that they have concrete effects on the market. Indeed, experience shows that such behaviors lead to reductions in production and increases in prices, resulting in a misallocation of resources to the detriment, in particular, of consumers."</w:t>
      </w:r>
    </w:p>
    <w:p>
      <w:r>
        <w:t>89. Finally, it has specified that "in order to assess whether an agreement between companies or a decision by an association of companies presents a sufficient degree of harmfulness to competition to be considered a restriction of competition 'by object', within the meaning of Article 101(1)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the structure of the relevant markets."</w:t>
      </w:r>
    </w:p>
    <w:p>
      <w:r>
        <w:t>90. In this case, the anti-competitive object of the analyzed practices relates both to the nature of the agreements observed and to their objectives and the context in which they are situated.</w:t>
      </w:r>
    </w:p>
    <w:p>
      <w:r>
        <w:t>91. Firstly, it should be noted that BvD and Ellisphere are competitors in the marketing of the products co-published by both parties (Diane, Astrée, Orbis, Amadeus, and Mint Global) since they both had the opportunity to market these products, at least, in the French territory. BvD and Ellisphere are also competitors in the publishing and marketing of economic intelligence products in general, as demonstrated by the fact that Ellisphere launched its own products Ellipro and Elliword starting in 2014, which compete with those published jointly with BvD.</w:t>
      </w:r>
    </w:p>
    <w:p>
      <w:r>
        <w:t>92. Secondly, it follows from the very wording of the disputed clauses, as reiterated in paragraphs 51 and 57 above, that, from 1989 until their termination in September 2022, BvD and Ellisphere agreed on the price and customer allocation of the co-published products, eliminating the ability for each of them to freely determine their commercial policy on the two main factors of competition. The disputed clauses thus have an anti-competitive content.</w:t>
      </w:r>
    </w:p>
    <w:p>
      <w:r>
        <w:t>93. Thirdly, the parties explicitly expressed, on several occasions, the anti-competitive objective pursued by the disputed clauses, as demonstrated by various exchanges in the file, reproduced in the table below:</w:t>
      </w:r>
    </w:p>
    <w:p>
      <w:r>
        <w:t>Examples of exchanges between BvD and Ellisphere on the anti-competitive objective of the agreement</w:t>
        <w:br/>
        <w:t>Date Document Summaries/excerpts of relevant elements References</w:t>
        <w:br/>
        <w:t>Email from BvD to Ellisphere 17/12/2018 "The salespeople have access to your client list Diane and Astrée in order to pay specific attention to any requests that would lead to offering an identical license to the client department at a degraded rate. This is the spirit of the clause desired by X... and included in the agreement solely for the obvious purpose of protecting our respective interests. This instruction seems to be rather well respected as we have, it seems to me, lamented very few problematic cases in recent years" (emphasis added).</w:t>
        <w:br/>
        <w:t>Email from Ellisphere to BvD 15/02/2016 "I learn incidentally from our client INSEE that you met them on Thursday 11/02 to offer your services. If we can be competitors, we are above all historical partners and as such it is appropriate that we be loyal to each other, you as well as us. In the context of my new functions, I will ensure that this is the case, and I expect the same in return from BvD. Thank you in the future for avoiding this type of solicitation without us having exchanged beforehand; it is about developing our partnership under the best conditions" (emphasis added).</w:t>
        <w:br/>
        <w:t>Internal email from BvD 12/12/2016 "Thank you for informing Ellisphere not to position itself on this consultation in order to respect the rules of good commercial understanding between our two companies" (emphasis added).</w:t>
      </w:r>
    </w:p>
    <w:p>
      <w:r>
        <w:t>94. Finally, fourthly and lastly, regarding the legal and economic context of the practices, it should be noted that the disputed clauses are part of a cooperation agreement at the stage of developing jointly published products, the essence of which, at the origin of this collaboration in 1989, lay in the complementary roles of the parties (BvD as the developer of IT tools and Ellisphere as the provider of data on companies). Nevertheless, the investigation services have rightly noted, without being contested by the parties, that such collaboration did not require the establishment and application of mechanisms for joint price fixing and customer allocation for the marketing of co-published products.</w:t>
      </w:r>
    </w:p>
    <w:p>
      <w:r>
        <w:t>95. In light of the above, the observed behaviors constitute a practice of horizontal price fixing and customer allocation within the meaning of the aforementioned case law and consequently have an anti-competitive object within the meaning of Articles 101(1) TFEU and L. 420-1 of the Commercial Code.</w:t>
      </w:r>
    </w:p>
    <w:p>
      <w:r>
        <w:rPr>
          <w:b/>
        </w:rPr>
        <w:t>[Pages 28–30]</w:t>
      </w:r>
    </w:p>
    <w:p>
      <w:r>
        <w:t xml:space="preserve">E. ON THE DURATION OF THE PRACTICES  </w:t>
        <w:br/>
        <w:t xml:space="preserve">96. It follows from the case law of the Union that the duration of an infringement of competition rules is determined by the period that elapsed between the date of the conclusion of the agreement and the date on which it was terminated.  </w:t>
        <w:br/>
        <w:t xml:space="preserve">97. In this case, it results from the findings made in paragraphs 39 to 48, 51, and 57, that the first agreement containing the disputed clauses was concluded in February 1989 and that these contractual clauses either remained unchanged or were modified to extend their application to different products, until their formal termination by letter from BvD to Ellisphere dated September 22, 2022.  </w:t>
        <w:br/>
        <w:t xml:space="preserve">98. It should therefore be noted that the disputed practices extended from February 24, 1989, to the date of the statement of objections on August 30, 2022, which preceded the formal termination of the disputed clauses.  </w:t>
        <w:br/>
        <w:t xml:space="preserve">F. ON THE ATTRIBUTION OF THE PRACTICES  </w:t>
        <w:br/>
        <w:t xml:space="preserve">99. It follows from consistent case law that Articles L. 420-1 and L. 420-2 of the Commercial Code and Articles 101 and 102 TFEU target infringements committed by undertakings, understood as entities engaging in economic activity. The Union judge has clarified that the notion of undertaking should be understood as designating an economic unit, even if, from a legal point of view, it consists of several natural or legal persons.  </w:t>
        <w:br/>
        <w:t xml:space="preserve">100. Furthermore, it follows from equally consistent case law that when the undertaking in question ceases to exist due to being absorbed by a purchaser, the latter takes over its assets and liabilities, including its responsibilities for infringement of competition law. In this case, liability for the infringement committed by the absorbed undertaking may be attributed to the purchaser.  </w:t>
        <w:br/>
        <w:t xml:space="preserve">101. Regarding groups of companies, under both domestic law and Union law, the behavior of a subsidiary may be attributed to the parent company, particularly when, despite having a distinct legal personality, the subsidiary does not autonomously determine its behavior in the market but essentially follows the instructions given to it by the parent company, especially considering the economic, organizational, and legal links that unite these two legal entities. These jurisprudential solutions are based on the fact that in the absence of autonomy of the subsidiary in relation to the parent company, these two companies form part of the same economic unit and thus constitute a single undertaking within the meaning of competition law.  </w:t>
        <w:br/>
        <w:t xml:space="preserve">102. In the specific case where a parent company holds, directly or indirectly, all or almost all of the capital of its subsidiary that engages in infringing behavior, there is a rebuttable presumption that this parent company effectively exerts a decisive influence over the behavior of its subsidiary. In this case, the competition authority will be able to consider the parent company jointly liable for the payment of the fine imposed on its subsidiary, unless this parent company, which bears the burden of rebutting this presumption, provides sufficient evidence to demonstrate that its subsidiary behaves autonomously in the market.  </w:t>
        <w:br/>
        <w:t xml:space="preserve">1. REGARDING BVD  </w:t>
        <w:br/>
        <w:t xml:space="preserve">103. The table below summarizes the companies belonging to the BvD group that signed the disputed agreements:  </w:t>
        <w:br/>
        <w:t xml:space="preserve">Company Contracts  </w:t>
        <w:br/>
        <w:t xml:space="preserve">Historical Contract Diane of February 24, 1989  </w:t>
        <w:br/>
        <w:t xml:space="preserve">Bureau Marcel van Dijk  </w:t>
        <w:br/>
        <w:t xml:space="preserve">First amendment of June 20, 1991  </w:t>
        <w:br/>
        <w:t xml:space="preserve">Historical Contract Astrée of July 21, 1992  </w:t>
        <w:br/>
        <w:t xml:space="preserve">Bureau van Dijk Editions Electroniques S.A. became Bureau van Dijk Editions Second amendment to contract 1989 and first amendment  </w:t>
        <w:br/>
        <w:t xml:space="preserve">Electroniques SRL (BvD Belgium) to contract 1992 of November 7, 2000  </w:t>
        <w:br/>
        <w:t xml:space="preserve">Historical Contract Diane of February 24, 1989  </w:t>
        <w:br/>
        <w:t xml:space="preserve">Bureau van Dijk S.A. (Paris) became CD-  </w:t>
        <w:br/>
        <w:t xml:space="preserve">First amendment of June 20, 1991  </w:t>
        <w:br/>
        <w:t xml:space="preserve">ROM Edition and Diffusion  </w:t>
        <w:br/>
        <w:t xml:space="preserve">Historical Contract Astrée of July 21, 1992  </w:t>
        <w:br/>
        <w:t xml:space="preserve">Bureau van Dijk CD-ROM Diffusion  </w:t>
        <w:br/>
        <w:t xml:space="preserve">Second amendment to contract 1989 and first amendment  </w:t>
        <w:br/>
        <w:t xml:space="preserve">corresponding to Bureau van Dijk Editions  </w:t>
        <w:br/>
        <w:t xml:space="preserve">contract 1992 of November 7, 2000  </w:t>
        <w:br/>
        <w:t xml:space="preserve">Electroniques SARL (BvD Switzerland)  </w:t>
        <w:br/>
        <w:t xml:space="preserve">Initial contracts Diane and Astrée of  </w:t>
        <w:br/>
        <w:t xml:space="preserve">Bureau van Dijk Editions Electroniques SARL  </w:t>
        <w:br/>
        <w:t xml:space="preserve">December 20, 2004, and their three amendments of  </w:t>
        <w:br/>
        <w:t xml:space="preserve">(BvD Switzerland)  </w:t>
        <w:br/>
        <w:t xml:space="preserve">March 26, 2010, February 14, 2018, and July 20, 2018  </w:t>
        <w:br/>
        <w:t xml:space="preserve">International contract of May 12, 2005 and its  </w:t>
        <w:br/>
        <w:t xml:space="preserve">four amendments of March 26, 2010, May 25, 2012,  </w:t>
        <w:br/>
        <w:t xml:space="preserve">February 14, 2018, and July 20, 2018  </w:t>
        <w:br/>
        <w:t xml:space="preserve">Commercial cooperation agreement  </w:t>
        <w:br/>
        <w:t xml:space="preserve">March 26, 2010  </w:t>
        <w:br/>
        <w:t xml:space="preserve">104. In a letter dated March 19, 2008, BvD France presented its proposals on the existing commercial agreements, specifically regarding the price levels and customer allocations discussed with Ellisphere (Coface at the time) during a meeting on March 17, 2008. This letter demonstrates its direct participation in the observed practices.  </w:t>
        <w:br/>
        <w:t xml:space="preserve">105. Consequently, the practices will be attributed as authors to:  </w:t>
        <w:br/>
        <w:t xml:space="preserve">− BvD Belgium, from February 24, 1989, as the successor to the activity of collecting and disseminating financial information on companies initiated by Bureau Marcel van Dijk (Brussels), and then, from July 21, 1992, in its capacity as signatory of the historical contract Astrée and the amendments of November 7, 2000, until the date of the notification of grievances;  </w:t>
        <w:br/>
        <w:t xml:space="preserve">− BvD Switzerland, in its capacity as signatory of the amendments of November 7, 2000 (under the name Bureau van Dijk CD ROM Diffusion), of the initial contracts Astrée and Diane of December 20, 2004, and all their amendments, of the international contract of May 12, 2005, and all its amendments, as well as the commercial cooperation agreement of March 26, 2010, from November 7, 2000, until the date of the notification of grievances;  </w:t>
        <w:br/>
        <w:t xml:space="preserve">− BvD France participated in the implementation of the practices through its representatives, as evidenced by the exchanges mentioned above in paragraphs 55 and 61. It follows that its liability should be retained at least from March 19, 2008, until the date of the notification of grievances.  </w:t>
        <w:br/>
        <w:t xml:space="preserve">106. The practices will also be attributed, in their capacity as parent companies, to:  </w:t>
        <w:br/>
        <w:t xml:space="preserve">− BvD Netherlands, which has held 100% of the capital of BvD Belgium, BvD Switzerland, and BvD France since at least 2005 and until the date of the notification of grievances and is, as such, presumed to exert a decisive influence over the latter, no contrary evidence having been provided by the parties; and to  </w:t>
        <w:br/>
        <w:t>− Moody’s Corporation, the ultimate consolidating parent company of the BvD group since its acquisition on August 10, 2017, and presumed to exert a decisive influence over the aforementioned companies, again without the parties contesting this point. The practices are therefore attributed to it in its capacity as parent company from August 10, 2017, to the date of the notification of grievances.</w:t>
      </w:r>
    </w:p>
    <w:p>
      <w:r>
        <w:rPr>
          <w:b/>
        </w:rPr>
        <w:t>[Pages 31–33]</w:t>
      </w:r>
    </w:p>
    <w:p>
      <w:r>
        <w:t>2. CONCERNING ELLISPHERE</w:t>
        <w:br/>
        <w:t>107. The disputed contracts were successively signed by SCRL, Coface SCRL, Coface Services, and finally, Ellisphere. It follows from the elements in the file, uncontested by the parties involved, that Ellisphere can be considered as having succeeded Coface, which itself succeeded SCRL.</w:t>
      </w:r>
    </w:p>
    <w:p>
      <w:r>
        <w:t>108. Ellisphere has been 99.50% owned by the company Arthemis since July 27, 2020. Arthemis is thus presumed to exercise a determining influence over the aforementioned company, without this point being contested, since that date.</w:t>
      </w:r>
    </w:p>
    <w:p>
      <w:r>
        <w:t>109. Consequently, the practices will be attributed to Ellisphere, as the author, from February 24, 1989, to the date of the notification of grievances, and to Arthemis, in its capacity as the parent company of Ellisphere, from July 27, 2020, to the date of the notification of grievances.</w:t>
      </w:r>
    </w:p>
    <w:p>
      <w:r>
        <w:t>G. ON SANCTIONS</w:t>
        <w:br/>
        <w:t>110. Paragraph I of Article L. 464-2 of the Commercial Code empowers the Authority to impose sanctions, particularly financial penalties, on companies and associations of companies implementing anti-competitive practices prohibited by Articles L. 420-1 and L. 420-2 of the Commercial Code. Pursuant to Article 5 of Regulation No. 1/2003, national competition authorities are competent to impose sanctions in cases of infringement of Articles 101 and 102 TFEU.</w:t>
      </w:r>
    </w:p>
    <w:p>
      <w:r>
        <w:t>111. The third paragraph of I of Article L. 464-2 of the same code, in its wording applicable in this case, provides that “[f]inancial penalties are assessed in light of the seriousness and duration of the infringement, the situation of the association of companies or the sanctioned company or the group to which the company belongs, and any possible recurrence of practices prohibited by this title. They are determined individually for each sanctioned company or organization and reasoned for each sanction.”</w:t>
      </w:r>
    </w:p>
    <w:p>
      <w:r>
        <w:t>112. Under the sixth paragraph of I of Article L. 464-2 of the Commercial Code, “[t]he maximum amount of the sanction is, for a company, 10% of the highest amount of global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113. Paragraph III of Article L. 464-2 of the Commercial Code states: “[w]hen an association of companies or a company does not contest the reality of the grievances notified to it, the general rapporteur may submit to it a proposal for a settlement setting the minimum and maximum amount of the contemplated financial penalty. When the company or the association of companies commits to modifying its behavior, the general rapporteur may take this into account in his proposal for a settlement. If, within a time frame set by the general rapporteur, the company or the association of companies agrees to the proposal for a settlement, the general rapporteur proposes to the Competition Authority, which hears the company or the association of companies and the Government Commissioner without prior establishment of a report, to impose the financial penalty provided for in I within the limits set by the settlement.”</w:t>
      </w:r>
    </w:p>
    <w:p>
      <w:r>
        <w:t>114. Paragraph IV of the same article provides that “[a] total or partial exemption from financial penalties may be granted to a company or an association of companies that has, with others, implemented a practice prohibited by the provisions of Article L. 420-1 if it has contributed to establishing the reality of the prohibited practice and identifying its authors, by providing information that the Authority or the administration did not previously possess.”</w:t>
      </w:r>
    </w:p>
    <w:p>
      <w:r>
        <w:t>115. The press release from the Competition Authority regarding the method for determining financial penalties dated July 30, 2021 (hereinafter the “penalties press release”), states in paragraph 5 that the particular circumstances resulting from the implementation of the settlement procedure based on the aforementioned provisions of III of Article L. 464-2 of the Commercial Code justify that the sanctions imposed are not reasoned by reference to the latter.</w:t>
      </w:r>
    </w:p>
    <w:p>
      <w:r>
        <w:t>116. In this case, Ellisphere and Arthemis benefited from the settlement procedure referred to in III of Article L. 464-2 of the Commercial Code, while BvD received a letter of eligibility for the conditional benefit of a total exemption from any penalties that may be incurred under IV of the same article. In the interest of uniformity in the analysis of the determinants of the sanction and considering the particularities related to the use of these two procedures, the Authority believes that there is no need to refer, in this case, to the method for determining financial penalties resulting from the penalties press release.</w:t>
      </w:r>
    </w:p>
    <w:p>
      <w:r>
        <w:t>1. ON THE SEVERITY OF THE INFRINGEMENT</w:t>
        <w:br/>
        <w:t>117. When assessing the severity of an infringement, the Authority takes into account, in particular, the nature of the practices it pursues, the nature of the sectors involved, the persons likely to be affected, and the objective characteristics of the infringement (such as, for example, whether it is secret or not, the degree of sophistication, the existence of policing mechanisms or retaliatory measures, the circumvention of legislation, etc.).</w:t>
      </w:r>
    </w:p>
    <w:p>
      <w:r>
        <w:t>118. Firstly, concerning the nature of the practices implemented by BvD and Ellisphere, these consisted of an agreement aimed at jointly setting the prices of the aforementioned products as well as the allocation of customers in the sector of marketing subscriptions to economic intelligence products. Under a consistent decision-making practice and jurisprudence, price fixing and customer allocation among competitors constitute some of the most serious practices in competition law.</w:t>
      </w:r>
    </w:p>
    <w:p>
      <w:r>
        <w:t>119. In this case, the parties prevented their clients from competing with each other for the marketing of the co-published databases, in order to opt for the cheapest offer. Furthermore, the customer allocation agreement prevented clients from choosing, between BvD and Ellisphere, the company with which they contracted if they had already been in contact with one of them.</w:t>
      </w:r>
    </w:p>
    <w:p>
      <w:r>
        <w:t>120. Secondly, regarding the objective characteristics of the infringement, the practices being precisely contained in a co-publishing agreement, they did not have any secret character. Moreover, this agreement did not contain exclusivity and allowed each party to publish and market competing products. This element is likely to temper the severity of the practices.</w:t>
      </w:r>
    </w:p>
    <w:p>
      <w:r>
        <w:t>121. Nevertheless, the documents in the file, notably cited in paragraphs 55 and 61 above, reveal that the parties closely monitored compliance with the contractual provisions, immediately alerted the other party of any deviation, and resolved any disputes either, initially, within the COPIL, or later, through informal email exchanges.</w:t>
      </w:r>
    </w:p>
    <w:p>
      <w:r>
        <w:t>122. The Authority also notes that numerous internal restructurings and acquisition operations targeting the companies involved took place throughout the duration of the practices in question and that audits were conducted on these occasions, as confirmed by the parties involved during the session. However, it was only following BvD's takeover by the Moody's group in 2017 that the latter revealed the practices in question and submitted a request for leniency in 2019.</w:t>
      </w:r>
    </w:p>
    <w:p>
      <w:r>
        <w:t>123. Furthermore, contrary to what the parties indicate, the fact that they were not aware of the unlawful nature of the practices or that these were not revealed during external audits does not mitigate their severity. On the contrary, it should be emphasized that the parties involved, which notably provide compliance verification services to potential suppliers or clients, should have been particularly vigilant regarding their own compliance with competition rules.</w:t>
      </w:r>
    </w:p>
    <w:p>
      <w:r>
        <w:t>124. Thirdly and finally, concerning the sector involved and the persons likely to have been affected, it should be noted that this sector is essentially characterized by relationships between professionals (B to B services). Nevertheless, the clientele of the parties involved is very diverse, including private companies (large groups or SMEs), financial institutions, public organizations (ministries, chambers of commerce and industry, local authorities), as well as entities from the academic field (research institutes, universities). The additional costs incurred by the incriminated practices may also have affected, in some cases, the end clients of the users of the services in question.</w:t>
      </w:r>
    </w:p>
    <w:p>
      <w:r>
        <w:t>125. In light of the above, the Authority considers that the incriminated practices exhibit an undeniable degree of severity.</w:t>
      </w:r>
    </w:p>
    <w:p>
      <w:r>
        <w:rPr>
          <w:b/>
        </w:rPr>
        <w:t>[Pages 34–36]</w:t>
      </w:r>
    </w:p>
    <w:p>
      <w:r>
        <w:t>2. ON THE DURATION OF THE INFRINGEMENT</w:t>
        <w:br/>
        <w:t>126. As indicated in paragraphs 96 to 98 above, the infringement was implemented from February 24, 1989, to the date of the statement of objections on August 30, 2022, for a duration of 33.5 years.</w:t>
        <w:br/>
        <w:t>127. The infringement was therefore implemented over a particularly long period.</w:t>
      </w:r>
    </w:p>
    <w:p>
      <w:r>
        <w:t>3. ON THE INDIVIDUALIZATION OF THE SANCTION</w:t>
        <w:br/>
        <w:t>128. Ellisphere argues that it should benefit from mitigating circumstances justifying the setting of the sanction at the lower end of the transaction range. To this end, it claims to have been in a position of dependence, both commercially and technically, with respect to BvD, which it considers to be the main instigator of the agreement. This predominant role of BvD would emerge both from the documents in the file demonstrating that BvD was steering the agreement and from the asymmetric performance of BvD and Ellisphere during the period of the facts.</w:t>
        <w:br/>
        <w:t>129. Nevertheless, Ellisphere provides no evidence demonstrating that it was compelled to participate in the agreement. On the contrary, Ellisphere actively adhered to it by signing contracts that it renewed and modified several times, and it duly participated in monitoring compliance with the disputed contractual clauses, as evidenced by the excerpts cited in paragraphs 55 and 61 above. Furthermore, and as a subsidiary point, the fact that BvD achieved better results both in the sale of the concerned products and regarding the performance of its overall activity cannot in any way serve as a basis for mitigating Ellisphere's sanction.</w:t>
        <w:br/>
        <w:t>130. No mitigating or aggravating circumstances will be taken into account in this case.</w:t>
      </w:r>
    </w:p>
    <w:p>
      <w:r>
        <w:t>4. ON ELLISPHERE'S CONTRIBUTIVE CAPACITY</w:t>
        <w:br/>
        <w:t>131. Ellisphere argues that the Authority should take into account its financial situation, particularly marked by its level of debt and the increase in its expenses, to set the amount of the sanction at the lower end of the transaction range.</w:t>
        <w:br/>
        <w:t>132. However, it should first be noted that the elements relating to Ellisphere's financial situation were submitted before the signing of the transaction report to the investigation services, which took them into account during the discussions aimed at determining the range of sanctions that could be imposed against it. Therefore, by accepting the terms of the transaction, Ellisphere necessarily accepted that the range of sanctions defined in the report was compatible with its financial situation. It cannot, therefore, argue that the application of a sanction within the range, including at its upper end, would be incompatible with its financial situation, unless it demonstrates that this situation has deteriorated after the signing of the transaction report.</w:t>
        <w:br/>
        <w:t>133. However, the analysis of the financial and accounting elements provided by Ellisphere leads the Authority to consider that they do not attest to any particular financial difficulties preventing this company from fulfilling the envisaged sanction.</w:t>
        <w:br/>
        <w:t>134. Ellisphere's arguments regarding its contributive capacity will therefore be dismissed.</w:t>
      </w:r>
    </w:p>
    <w:p>
      <w:r>
        <w:t>5. ON THE REQUEST FOR LENIENCY</w:t>
        <w:br/>
        <w:t>135. Article L. 464-2, paragraph IV of the Commercial Code, in its version resulting from Ordinance No. 2021-649 of May 26, 2021, provides that, in order to obtain a total or partial exemption from sanction, "the general rapporteur informs the Government Commissioner of the approach taken by the company. He informs the company in writing, where applicable, of its eligibility for a total or partial exemption from the financial sanctions incurred and indicates the conditions of cooperation defined by the Competition Authority. When making the decision under paragraph I of this article, the Authority may, if these conditions have been met, grant an exemption from financial sanctions proportionate to the contribution made to the establishment of the infringement."</w:t>
        <w:br/>
        <w:t xml:space="preserve">136. By letter dated May 5, 2021, the general rapporteur recognized BvD's eligibility for the conditional benefit of a total exemption from financial sanction under paragraph IV of Article L. 464-2 of the Commercial Code, subject to the following conditions: "The Applicant must, in principle, have ceased its participation in the alleged illegal activities without delay. However, in the present situation, in order to maintain the confidentiality of the approach and preserve the effectiveness of the investigative measures, the investigation services could not consider that the company would have failed to meet its obligations as a leniency applicant for having maintained its participation in the agreement according to the terms prior to the leniency request, and this until the completion of the visits and seizures or other indications by the general rapporteur. This participation, in whatever form, must naturally cease after the completion of such operations or indications. The Applicant must provide the Competition Authority with genuine, total, ongoing, and prompt cooperation from the time of its request and throughout the investigation procedure, which means in particular: </w:t>
        <w:br/>
        <w:t xml:space="preserve">− providing the Authority without delay with all information and evidence that may come into its possession or that it may have regarding the alleged agreement; </w:t>
        <w:br/>
        <w:t xml:space="preserve">− not contesting at any time before the Authority, and this until the end of the procedure, the factual elements it has revealed to the Authority in the context of the leniency procedure that underpin the materiality of the facts it has reported or the very existence of the practices; </w:t>
        <w:br/>
        <w:t xml:space="preserve">− being available to the Authority to respond quickly to any request aimed at contributing to the establishment of the facts in question; </w:t>
        <w:br/>
        <w:t xml:space="preserve">− making available to the Authority, for questioning, its legal representatives and current employees, as well as, to the extent possible, its former legal representatives and employees; </w:t>
        <w:br/>
        <w:t xml:space="preserve">− refraining from destroying, falsifying, or concealing information or evidence useful relating to the alleged agreement, and </w:t>
        <w:br/>
        <w:t xml:space="preserve">− refraining from disclosing the existence or content of its leniency request before the Authority has communicated its grievances to the other parties, unless the Authority gives its consent. </w:t>
        <w:br/>
        <w:t xml:space="preserve">At the time of its request, the Applicant must not have destroyed or falsified evidence of the alleged agreement, nor disclosed its intention to submit a request or the content of such request, except to other competition authorities. </w:t>
        <w:br/>
        <w:t>The Applicant must not have taken measures to compel other companies to participate in the infringements."</w:t>
        <w:br/>
        <w:t>137. The first condition was modified by the general rapporteur by a letter dated June 7, 2021, requiring BvD to cease ongoing practices. On July 2, 2021, BvD informed the Authority that it had taken initiatives to comply with its obligations as a leniency applicant.</w:t>
        <w:br/>
        <w:t>138. On January 16, 2023, BvD spontaneously communicated to the Authority an email dated November 30, 2022, in which a salesperson from the Moody's group asked his contact at Ellisphere to discuss the pricing of international products. Moody's indicated, without being contradicted on this point, that it was an isolated initiative, not followed by effects, and that all necessary measures had been taken to prevent such actions from recurring.</w:t>
        <w:br/>
        <w:t>139. In light of all the elements in the file, as well as the course of the procedure, it appears that BvD, notwithstanding the email mentioned in paragraph 138, fully and diligently complied with the aforementioned conditions set by the general rapporteur.</w:t>
      </w:r>
    </w:p>
    <w:p>
      <w:r>
        <w:t>6. CONCLUSION ON THE AMOUNT OF SANCTIONS</w:t>
        <w:br/>
        <w:t>140. In view of all these elements and in accordance with the terms of the transaction, the amount of the sanction imposed on Ellisphere, jointly and severally with its parent company Arthemis, is set at 3,500,000 euros.</w:t>
        <w:br/>
        <w:t>141. This amount is below the legal ceiling for sanctions provided for in paragraph I of Article L. 464-2 of the Commercial Code.</w:t>
        <w:br/>
        <w:t>142. Furthermore, in light of the elements mentioned in paragraphs 135 to 139 above, it is appropriate to exempt BvD from any financial sanction, in accordance with paragraph IV of Article L. 464-2 of the Commercial Code.</w:t>
      </w:r>
    </w:p>
    <w:p>
      <w:r>
        <w:rPr>
          <w:b/>
        </w:rPr>
        <w:t>[Pages 37–37]</w:t>
      </w:r>
    </w:p>
    <w:p>
      <w:r>
        <w:t xml:space="preserve">DECISION  </w:t>
        <w:br/>
        <w:t xml:space="preserve">Article 1: It is established that the companies Bureau van Dijk Editions Electroniques SRL, Bureau van Dijk Editions Electroniques SARL, Bureau van Dijk Editions Electroniques S.A.S, Bureau van Dijk Electronic Publishing B.V., Moody’s Corporation, Ellisphere, and Arthemis have violated the provisions of Articles L. 420-1 of the Commercial Code and 101 (1) TFEU by agreeing on the joint setting of prices and the allocation of customers in the context of the marketing of certain co-published economic intelligence products.  </w:t>
        <w:br/>
        <w:t xml:space="preserve">Article 2: A fine of 3,500,000 euros is imposed on the company Ellisphere as the author, jointly and severally with its parent company Arthemis, for the practice referred to in Article 1.  </w:t>
        <w:br/>
        <w:t xml:space="preserve">Article 3: The companies Bureau van Dijk Editions Electroniques SRL, Bureau van Dijk Editions Electroniques SARL, Bureau van Dijk Editions Electroniques S.A.S, Bureau van Dijk Electronic Publishing B.V., and Moody’s Corporation are exempt from monetary sanction pursuant to IV of Article L. 464-2 of the Commercial Code.  </w:t>
        <w:br/>
        <w:t xml:space="preserve">Deliberated on the oral report of Ms. Anne Krenzer and Mr. Benjamin Record, rapporteurs, and the intervention of Ms. Lauriane Lépine, deputy general rapporteur, by Ms. Fabienne Siredey-Garnier, vice-president, chair of the session, Ms. Laurence Borrel-Prat, Ms. Valérie Bros, Mr. Jean-Yves Mano, and Mr. Alexandre Menais, members.  </w:t>
        <w:br/>
        <w:t xml:space="preserve">The session officer, The chair of the session,  </w:t>
        <w:br/>
        <w:t xml:space="preserve">Caroline Orsel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