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https://www.autoritedelaconcurrence.fr/fr/decision/relative-des-pratiques-mises-en-oeuvre-dans-le-secteur-de-lalimentation-pour-chiens-et</w:t>
      </w:r>
    </w:p>
    <w:p>
      <w:r>
        <w:t>Pages translated : 61</w:t>
      </w:r>
    </w:p>
    <w:p/>
    <w:p>
      <w:r>
        <w:rPr>
          <w:b/>
        </w:rPr>
        <w:t>[Pages 1–3]</w:t>
      </w:r>
    </w:p>
    <w:p>
      <w:r>
        <w:t xml:space="preserve">FRENCH REPUBLIC  </w:t>
        <w:br/>
        <w:t xml:space="preserve">Decision No. 12-D-10 of March 20, 2012  </w:t>
        <w:br/>
        <w:t xml:space="preserve">regarding practices implemented in the sector  </w:t>
        <w:br/>
        <w:t xml:space="preserve">of dog and cat food  </w:t>
        <w:br/>
        <w:t xml:space="preserve">The Competition Authority (section III)  </w:t>
        <w:br/>
        <w:t xml:space="preserve">Considering the letter registered on October 10, 2007 under number 07/0071 F by which the  </w:t>
        <w:br/>
        <w:t xml:space="preserve">Minister of Economy, Finance and Employment referred to the Competition Council practices  </w:t>
        <w:br/>
        <w:t xml:space="preserve">implemented by the company Purina Petcare France;  </w:t>
        <w:br/>
        <w:t xml:space="preserve">Considering Articles 101 and 102 of the Treaty on the Functioning of the European Union;  </w:t>
        <w:br/>
        <w:t xml:space="preserve">Considering Book IV of the Commercial Code;  </w:t>
        <w:br/>
        <w:t xml:space="preserve">Considering the business secrecy decisions No. 09-DSA-162 to 09-DSA-177 of September 7,  </w:t>
        <w:br/>
        <w:t xml:space="preserve">2009, No. 09-DSA-178 of September 10, 2009, No. 09-DSA-226 and No. 09-DSA-228 of  </w:t>
        <w:br/>
        <w:t xml:space="preserve">October 1, 2009, No. 09-DSA-236 to 09-DSA-240 of October 26, 2009, No. 10-DSA-17 of  </w:t>
        <w:br/>
        <w:t xml:space="preserve">January 19, 2010, No. 10-DSA-27 of January 27, 2010, No. 10-DSA-111 of June 16, 2010,  </w:t>
        <w:br/>
        <w:t xml:space="preserve">No. 10-DSA-130 of July 6, 2010, No. 10-DSA-172, 10-DSA-173 and 10-DSA-178 of  </w:t>
        <w:br/>
        <w:t xml:space="preserve">September 1, 2010, No. 10-DSA-250 and 10-DSA-251 of November 18, 2010, No. 11-DSA-152  </w:t>
        <w:br/>
        <w:t xml:space="preserve">and 11-DSA-153 of May 4, 2011, No. 11-DSA-203 to 11-DSA-205 of June 15, 2011,  </w:t>
        <w:br/>
        <w:t xml:space="preserve">No. 11-DSA-213 and 11-DSA-214 of July 4, 2011, No. 11-DSA-215 of July 6, 2011,  </w:t>
        <w:br/>
        <w:t xml:space="preserve">No. 11-DSA-323 to 11-DSA-325 of October 26, 2011 and No. 11-DECR-38 of November 10,  </w:t>
        <w:br/>
        <w:t xml:space="preserve">2011;  </w:t>
        <w:br/>
        <w:t xml:space="preserve">Considering the minutes of May 7, 2010 and May 18, 2010 by which the companies Royal  </w:t>
        <w:br/>
        <w:t xml:space="preserve">Canin and Mars Incorporated, on the one hand, and Nestlé Purina Petcare France and Nestlé  </w:t>
        <w:br/>
        <w:t xml:space="preserve">SA, on the other hand, declared that they did not contest the grievances that had been notified  </w:t>
        <w:br/>
        <w:t xml:space="preserve">to them and requested the benefit of the provisions of III of Article L. 464-2 of the Commercial  </w:t>
        <w:br/>
        <w:t xml:space="preserve">Code;  </w:t>
        <w:br/>
        <w:t xml:space="preserve">Considering the observations presented by the companies Hill’s Pet Nutrition SNC, Colgate-  </w:t>
        <w:br/>
        <w:t xml:space="preserve">Palmolive Company, Nestlé Purina Petcare France SAS, Nestlé SA, Royal Canin SAS, Mars  </w:t>
        <w:br/>
        <w:t xml:space="preserve">Incorporated and the Government Commissioner;  </w:t>
        <w:br/>
        <w:t xml:space="preserve">Considering the other documents in the file;  </w:t>
        <w:br/>
        <w:t xml:space="preserve">The rapporteur, the deputy general rapporteur, the Government Commissioner and the  </w:t>
        <w:br/>
        <w:t xml:space="preserve">representatives of the companies Hill’s Pet Nutrition SNC, Colgate-Palmolive Company,  </w:t>
        <w:br/>
        <w:t xml:space="preserve">Nestlé Purina Petcare France SAS, Nestlé SA, Royal Canin SAS, Mars Incorporated heard  </w:t>
        <w:br/>
        <w:t xml:space="preserve">during the session of the Competition Authority on November 16, 2011;  </w:t>
        <w:br/>
        <w:t xml:space="preserve">Adopts the following decision:  </w:t>
        <w:br/>
        <w:t>(Public version)</w:t>
      </w:r>
    </w:p>
    <w:p>
      <w:r>
        <w:t xml:space="preserve">I. Findings .................................................................................... 5  </w:t>
        <w:br/>
        <w:t xml:space="preserve">A. THE PRODUCTS IN QUESTION ........................................................................................................... 5  </w:t>
        <w:br/>
        <w:t xml:space="preserve">B. RETAIL DISTRIBUTION .................................................................................................................. 5  </w:t>
        <w:br/>
        <w:t xml:space="preserve">C. THE COMPANIES IN QUESTION ................................................................................................... 6  </w:t>
        <w:br/>
        <w:t xml:space="preserve">1. ROYAL CANIN ....................................................................................................................... 6  </w:t>
        <w:br/>
        <w:t xml:space="preserve">2. NESTLÉ PURINA PET CARE ................................................................................................. 7  </w:t>
        <w:br/>
        <w:t xml:space="preserve">3. HILL’S PET NUTRITION ........................................................................................................ 7  </w:t>
        <w:br/>
        <w:t xml:space="preserve">D. THE PRACTICES IDENTIFIED ....................................................................................................... 7  </w:t>
        <w:br/>
        <w:t xml:space="preserve">1. REGARDING NPPF AND ITS DISTRIBUTORS .............................................................. 7  </w:t>
        <w:br/>
        <w:t xml:space="preserve">a) The customer restrictions agreed upon by NPPF and its distribution platforms ............................................................................................................... 7  </w:t>
        <w:br/>
        <w:t xml:space="preserve">b) The single-brand distribution of NPPF products ..................................................... 8  </w:t>
        <w:br/>
        <w:t xml:space="preserve">c) The establishment of territorial exclusivities ......................................................... 10  </w:t>
        <w:br/>
        <w:t xml:space="preserve">d) The prohibition of passive sales by platforms to retail distributors in the segments of specialized stores and breeders .................................................. 13  </w:t>
        <w:br/>
        <w:t xml:space="preserve">e) NPPF's pricing policy ............................................................................................. 15  </w:t>
        <w:br/>
        <w:t xml:space="preserve">NPPF's pricing policy towards referencing or purchasing centers .......................... 15  </w:t>
        <w:br/>
        <w:t xml:space="preserve">The definition of the pricing policy towards independent stores ............................ 17  </w:t>
        <w:br/>
        <w:t xml:space="preserve">The communication of prices by NPPF and its application by distributors ............. 18  </w:t>
        <w:br/>
        <w:t xml:space="preserve">2. REGARDING ROYAL CANIN AND ITS DISTRIBUTORS .................................................. 18  </w:t>
        <w:br/>
        <w:t xml:space="preserve">a) The customer restrictions agreed upon by Royal Canin and its distributors .......................................................................................................................... 18  </w:t>
        <w:br/>
        <w:t xml:space="preserve">b) The single-brand distribution of Royal Canin products ......................................... 19  </w:t>
        <w:br/>
        <w:t xml:space="preserve">c) The establishment of territorial exclusivities ......................................................... 20  </w:t>
        <w:br/>
        <w:t xml:space="preserve">d) The prohibition of passive sales by wholesalers to retailers ............................... 21  </w:t>
        <w:br/>
        <w:t xml:space="preserve">e) Royal Canin's pricing policy .................................................................................. 22  </w:t>
        <w:br/>
        <w:t xml:space="preserve">The establishment of retail prices and their communication to wholesalers ........... 22  </w:t>
        <w:br/>
        <w:t xml:space="preserve">The prices charged by wholesalers ......................................................................... 23  </w:t>
        <w:br/>
        <w:t xml:space="preserve">3. REGARDING HILL’S AND ITS DISTRIBUTORS ................................................................. 25  </w:t>
        <w:br/>
        <w:t xml:space="preserve">a) The customer exclusivity agreed upon by Hill’s and Oxadis ............................... 25  </w:t>
        <w:br/>
        <w:t xml:space="preserve">b) The establishment of supply exclusivities ............................................................. 26  </w:t>
        <w:br/>
        <w:t>c) The establishment of a territorial exclusivity for distribution to specialized stores and a prohibition of passive sales imposed on veterinary wholesalers ........................................................................................................................... 26</w:t>
      </w:r>
    </w:p>
    <w:p>
      <w:r>
        <w:t xml:space="preserve">E. THE NOTIFIED GRIEVANCES ............................................................................................................... 27  </w:t>
        <w:br/>
        <w:t xml:space="preserve">F. THE IMPLEMENTATION OF III OF ARTICLE L. 464-2 OF THE COMMERCIAL CODE ....... 29  </w:t>
        <w:br/>
        <w:t xml:space="preserve">II. Discussion ..................................................................................... 29  </w:t>
        <w:br/>
        <w:t xml:space="preserve">A. ON THE PROCEDURE .................................................................................................................. 30  </w:t>
        <w:br/>
        <w:t xml:space="preserve">B. ON THE MERITS ................................................................................................................................ 31  </w:t>
        <w:br/>
        <w:t xml:space="preserve">1. ON THE APPLICABILITY OF UNION LAW ........................................................................... 31  </w:t>
        <w:br/>
        <w:t xml:space="preserve">2. ON THE DEFINITION OF RELEVANT MARKETS .................................................................... 32  </w:t>
        <w:br/>
        <w:t xml:space="preserve">3. ON THE MERITS OF THE GRIEVANCES .................................................................................. 33  </w:t>
        <w:br/>
        <w:t xml:space="preserve">a) On the existence of an agreement of wills between suppliers and their respective distributors .......................................................................................... 33  </w:t>
        <w:br/>
        <w:t xml:space="preserve">b) On the object and anti-competitive effects of the practices implemented by suppliers and their respective distributors .................................................. 34  </w:t>
        <w:br/>
        <w:t xml:space="preserve">On the practices implemented by NPPF and its distributors ................................... 34  </w:t>
        <w:br/>
        <w:t xml:space="preserve">On the practices implemented by Royal Canin and its distributors ....................... 38  </w:t>
        <w:br/>
        <w:t xml:space="preserve">On the practice of export prohibition implemented by Hill’s and its veterinary wholesalers .......................................................................................... 40  </w:t>
        <w:br/>
        <w:t xml:space="preserve">On the contractual exclusivities conferred by Hill’s to Oxadis in the segment of specialized stores and breeders ............................................................ 42  </w:t>
        <w:br/>
        <w:t xml:space="preserve">4. ON THE ATTRIBUTION OF THE PRACTICES IN QUESTION .................................................. 44  </w:t>
        <w:br/>
        <w:t xml:space="preserve">a) Reminder of the principles ......................................................................................... 44  </w:t>
        <w:br/>
        <w:t xml:space="preserve">b) Assessment by the Authority .................................................................................. 45  </w:t>
        <w:br/>
        <w:t xml:space="preserve">On the attribution of the practices to the companies Hill’s and Colgate Palmolive ....... 45  </w:t>
        <w:br/>
        <w:t xml:space="preserve">C. ON THE SANCTIONS .................................................................................................................. 47  </w:t>
        <w:br/>
        <w:t xml:space="preserve">1. ON THE VALUE OF SALES ..................................................................................................... 47  </w:t>
        <w:br/>
        <w:t xml:space="preserve">2. ON THE DETERMINATION OF THE BASE AMOUNT ............................................................ 49  </w:t>
        <w:br/>
        <w:t xml:space="preserve">a) On the proportion of the value of sales ................................................................. 49  </w:t>
        <w:br/>
        <w:t xml:space="preserve">On the severity of the facts ...................................................................................... 49  </w:t>
        <w:br/>
        <w:t xml:space="preserve">On the significance of the damage caused to the economy .................................. 50  </w:t>
        <w:br/>
        <w:t xml:space="preserve">Conclusion on the proportion of the value of sales ................................................ 52  </w:t>
        <w:br/>
        <w:t xml:space="preserve">b) On the duration of the practices .............................................................................. 53  </w:t>
        <w:br/>
        <w:t xml:space="preserve">c) Conclusion on the determination of the base amount .......................................... 53  </w:t>
        <w:br/>
        <w:t xml:space="preserve">3. ON THE CONSIDERATION OF CIRCUMSTANCES PARTICULAR TO EACH COMPANY ............................................................................................................................ 54  </w:t>
        <w:br/>
        <w:t xml:space="preserve">a) On the individual situation of NPPF ....................................................................... 54  </w:t>
        <w:br/>
        <w:t xml:space="preserve">On the size, economic power, and overall resources of NPPF and its parent company .................................................................................................... 54  </w:t>
        <w:br/>
        <w:t xml:space="preserve">On the verification of the applicable legal maximum ............................................. 55  </w:t>
        <w:br/>
        <w:t>b) On the individual situation of Royal Canin ............................................................. 55</w:t>
      </w:r>
    </w:p>
    <w:p>
      <w:r>
        <w:rPr>
          <w:b/>
        </w:rPr>
        <w:t>[Pages 4–6]</w:t>
      </w:r>
    </w:p>
    <w:p>
      <w:r>
        <w:t xml:space="preserve">Sur la taille, la puissance économique et les ressources globales de Royal Canin et de sa société mère ................................................................................ 55  </w:t>
        <w:br/>
        <w:t xml:space="preserve">Sur la réitération ................................................................................................. 56  </w:t>
        <w:br/>
        <w:t xml:space="preserve">Sur la vérification du maximum légal applicable ............................................. 57  </w:t>
        <w:br/>
        <w:t xml:space="preserve">c) Sur la situation individuelle de Hill’s .............................................................. 57  </w:t>
        <w:br/>
        <w:t xml:space="preserve">Sur la taille, la puissance économique et les ressources globales de Hill’s et de sa société mère .................................................................................................... 57  </w:t>
        <w:br/>
        <w:t xml:space="preserve">Sur la vérification du maximum légal applicable ............................................. 58  </w:t>
        <w:br/>
        <w:t xml:space="preserve">4. ON THE IMPLEMENTATION OF III OF ARTICLE L. 464-2 OF THE COMMERCIAL CODE ......... 58  </w:t>
        <w:br/>
        <w:t xml:space="preserve">a) On the commitments proposed by the companies NPPF and Nestlé SA ............... 58  </w:t>
        <w:br/>
        <w:t xml:space="preserve">b) On the commitments proposed by the companies Royal Canin and Mars Incorporated .......................................................................................................... 59  </w:t>
        <w:br/>
        <w:t xml:space="preserve">5. ON THE SANCTIONS OF THE COMPANIES NESTLÉ SA, MARS INCORPORATED, COLGATE PALMOLIVE COMPANY, AS PARENT COMPANIES ..................................................... 60  </w:t>
        <w:br/>
        <w:t xml:space="preserve">6. ON THE FINAL AMOUNT OF SANCTIONS .......................................................................... 60  </w:t>
        <w:br/>
        <w:t>DECISION ......................................................................................................................... 61</w:t>
      </w:r>
    </w:p>
    <w:p>
      <w:r>
        <w:t xml:space="preserve">I. Findings  </w:t>
        <w:br/>
        <w:t xml:space="preserve">1. By letter registered on October 10, 2007, under number 07/0071 F, the Minister of Economy, Finance and Industry referred to the Competition Council practices implemented in the sector of marketing dog and cat food through specialized circuits, which may be classified as anti-competitive practices under the provisions of Title II of Book IV of the Commercial Code.  </w:t>
        <w:br/>
        <w:t xml:space="preserve">A. THE PRODUCTS IN QUESTION  </w:t>
        <w:br/>
        <w:t xml:space="preserve">2. In France, the population of pets is estimated at eight million dogs and ten million cats. These animals are fed either by table scraps or by industrial food. In 2006, industrial food represented 50% of the meals given to dogs and cats.  </w:t>
        <w:br/>
        <w:t xml:space="preserve">3. Within industrial food, dog food is distinguished, on the one hand, from cat food, on the other hand, as both species have specific nutritional needs. However, regardless of the species concerned, there are two main categories of industrial food defined by European regulation: wet food, which contains at least 70% water, such as canned food and pâtés, on the one hand, and dry food, which contains less than 14% water, such as kibble or biscuits, on the other hand.  </w:t>
        <w:br/>
        <w:t xml:space="preserve">4. In recent years, manufacturers of pet food have developed a diversified offer of high-end dry food, referred to as "premium" or "super premium," aimed at facilitating the prevention of certain minor pathologies of the animal or addressing physiological needs specific to each stage of its life. These products are sold at retail at a price 20 to 30% higher on average than that of standard pet food.  </w:t>
        <w:br/>
        <w:t xml:space="preserve">B. RETAIL DISTRIBUTION  </w:t>
        <w:br/>
        <w:t xml:space="preserve">5. The sale of dry food represents nearly 70% of total sales of dog and cat food in France. It uses two main channels: large food stores, on the one hand, and specialized shops, on the other hand (pet stores, garden centers, agricultural self-service stores, DIY stores, veterinarians, and breeders). Standard products are primarily distributed in large food stores, while premium and super premium foods are sold exclusively in specialized networks as well as with breeders and veterinarians.  </w:t>
        <w:br/>
        <w:t xml:space="preserve">6. The distribution of dog and cat food in France is characterized by a great diversity of sales points (large food stores, pet stores, garden centers, DIY stores, etc.), unlike most other European countries where these products are primarily offered for sale in dedicated stores.  </w:t>
        <w:br/>
        <w:t xml:space="preserve">7. The specialized distribution sector itself is particularly diverse. It relies on three categories of retail distributors: specialized stores, breeders, and veterinarians.  </w:t>
        <w:br/>
        <w:t xml:space="preserve">8. France has approximately 8,200 specialized stores (4,500 branded stores and 3,700 independent stores). The two main categories of specialized stores are franchised or affiliated stores to a purchasing center or a referencing center, which represent 70% of this distribution channel, and independent retail stores not affiliated with a purchasing or referencing center, which occupy the remaining 30%. The most significant brands are Truffaut/Animalis, Gamm Vert, Botanic, Jardiland, and Apex.  </w:t>
        <w:br/>
        <w:t xml:space="preserve">9. Additionally, there are 10,000 breeders and 5,000 veterinarians operating in France. Veterinarians and breeders represent 10% and 25% of specialized distribution, respectively. Unlike specialized stores, they operate in this market as prescribers and not as mere resellers. Breeders sell the same products as specialized stores, but these are presented in different packaging (larger bags). Veterinarians, for their part, have specific products intended to meet particular medical needs, which are not sold in specialized stores or by breeders.  </w:t>
        <w:br/>
        <w:t xml:space="preserve">C. THE COMPANIES IN QUESTION  </w:t>
        <w:br/>
        <w:t xml:space="preserve">10. The bulk of industrial dog and cat food production comes from companies active on a global scale. In a document titled "Channel Plan 2007," the sales director within the specialized division of Nestlé Petcare France emphasizes that in 2007, the subsidiaries of the Mars, Nestlé, Colgate-Palmolive, Procter and Gamble groups represented 75 to 85% of the market for dog and cat food in specialized distribution, with Royal Canin and Nestlé Purina Petcare France (hereinafter "NPPF") alone representing 70% of this same market (reference 26 385). Companies such as Affinity Care or Néodis, as well as distributor brands like Nutrivia, developed by the Truffaut brand, are also present in the market, but in a residual manner.  </w:t>
        <w:br/>
        <w:t xml:space="preserve">1. ROYAL CANIN  </w:t>
        <w:br/>
        <w:t>11. In 2002, the European Commission conditionally authorized the acquisition of Royal Canin SA (hereinafter "Royal Canin") by Masterfoods Holding, the French subsidiary of the American group Mars Incorporated, in decision No. COMP/M.2544 (OJ C 79 of April 3, 2002). Royal Canin owns Royal Canin Distribution SA, which distributes pet food throughout France. Royal Canin has four factories in Europe, two of which are in France. Royal Canin has not sold its products in large food stores since 2002.</w:t>
      </w:r>
    </w:p>
    <w:p>
      <w:r>
        <w:rPr>
          <w:b/>
        </w:rPr>
        <w:t>[Pages 7–9]</w:t>
      </w:r>
    </w:p>
    <w:p>
      <w:r>
        <w:t>distribution d'autres marques. Nous avons déjà un large éventail de références à gérer » (cote 6894).</w:t>
      </w:r>
    </w:p>
    <w:p>
      <w:r>
        <w:t>33. En conséquence, la stratégie de distribution mise en place par NPPF, fondée sur l'exclusivité d'achat et la mono-marque, a eu pour effet de restreindre la concurrence sur le marché des aliments pour animaux de compagnie, en limitant les possibilités pour les distributeurs de proposer des produits concurrents et en les incitant à se concentrer uniquement sur les produits de NPPF.</w:t>
      </w:r>
    </w:p>
    <w:p>
      <w:r>
        <w:rPr>
          <w:b/>
        </w:rPr>
        <w:t>[Pages 10–12]</w:t>
      </w:r>
    </w:p>
    <w:p>
      <w:r>
        <w:t>disposition, je n’ai pas d’autres informations sur les plateformes » (cote 10045).</w:t>
      </w:r>
    </w:p>
    <w:p>
      <w:r>
        <w:t>53. Enfin, le directeur de la société Ets. Haudecoeur a précisé, lors de son audition le 17 juillet 2006 : « Nous avons un contact direct avec NPPF qui nous indique les plateformes à contacter. Nous ne nous adressons qu’à Barralon pour la distribution des produits Purina » (cote 5083).</w:t>
      </w:r>
    </w:p>
    <w:p>
      <w:r>
        <w:rPr>
          <w:b/>
        </w:rPr>
        <w:t>[Pages 13–15]</w:t>
      </w:r>
    </w:p>
    <w:p>
      <w:r>
        <w:t>conform to the geographical competence of the platforms" (reference 6148).</w:t>
      </w:r>
    </w:p>
    <w:p>
      <w:r>
        <w:t>53. Retailers have also emphasized that they cannot obtain from the platforms the centralization of all their purchases with just one of them. Thus, the product manager for plant-based pet supplies at Districo stated on September 5, 2006: "Our supply is from the regional platforms approved by Nestlé Purina. Therefore, for departments 14, 50, and 61, we turn to Le Capitaine SA (...); for department 35, to Cany Ouest (...); and for department 53, to Agri Pasquier" (references 8108–8109).</w:t>
      </w:r>
    </w:p>
    <w:p>
      <w:r>
        <w:t>d) The prohibition of passive sales by the platforms to retail distributors in the segments of specialized stores and breeders</w:t>
      </w:r>
    </w:p>
    <w:p>
      <w:r>
        <w:t>54. Several statements from retailers operating in the specialized store segment reported the impossibility of requesting delivery from a wholesaler different from the one previously indicated to them by NPPF or by the wholesalers themselves. On this point, the director of the client SARL Jardi-Fleurs specified in his response to a questionnaire on December 5, 2008: "We do not contact other intermediaries because they refuse to sell in a sector other than their own. Yes, we have already faced refusals for delivery from an intermediary because they do not deliver in the region. In case of supply shortages, we wait for the next order to receive the missing products" (reference 16645).</w:t>
      </w:r>
    </w:p>
    <w:p>
      <w:r>
        <w:t>55. Similarly, the manager of the company Nature et Plein Air stated on June 28, 2006: "Nature &amp; Plein Air sends orders for these products either to the company Huro’agri located in Remilly Aillicourt (08), or to the company La Bonbonnière located in Sainte Croix en Plaine (68) depending on the location of the store. Thus, stores located in department 55 source from Huro’agri, while stores located in departments 52, 54, and 57 turn to La Bonbonnière. We cannot concentrate all our purchases with just one of these wholesalers as each wholesaler has a defined distribution area" (reference 2010).</w:t>
      </w:r>
    </w:p>
    <w:p>
      <w:r>
        <w:t>56. The impossibility of consolidating orders with a single wholesaler, even for geographically close areas, was also highlighted by the manager of the company Animalerie 19 who stated on June 15, 2006: "[The Cani Distribution platform in Aubière is] the regional platform (independent wholesaler) for 'ProPlan' brand products to which we must turn for the Brive store. For Limoges, the 'competent' wholesaler is Ets. Etourneaud (16). We do not have the option to consolidate our orders with a single wholesaler: each has its area" (reference 3679).</w:t>
      </w:r>
    </w:p>
    <w:p>
      <w:r>
        <w:t>57. Likewise, the legal manager of the company Botanic stated in his response to a questionnaire on December 17, 2008: "The supplier (manufacturer) prohibits any delivery outside the territorial exclusivity zone granted to its wholesaler (intermediary). A refusal of delivery has been opposed to us on the grounds that the store requesting delivery is not located in the geographical exclusivity zone of the wholesaler/intermediary to which it may have turned." In response to the question: "What do you do in case of a supply shortage from your reference intermediary?", the manager specified: "We have no possible alternative: we suffer this shortage. It is not possible for us to change intermediaries. Generally, we try to proceed with the retrocession of goods between stores to mitigate the shortage" (reference 19463).</w:t>
      </w:r>
    </w:p>
    <w:p>
      <w:r>
        <w:t>58. Some stores, however, indicated that they do not seek to be supplied by a wholesaler other than the one operating in the geographical area in which they are located, as the prices offered by the different wholesalers would be identical across the territory. On this point, the manager of SARL Nilufar stated on November 24, 2008: "The price comparison for the 3 brands is useless because they all have the same national rate, and if we contact another platform, we are referred back to our platform" (reference 10066).</w:t>
      </w:r>
    </w:p>
    <w:p>
      <w:r>
        <w:t>59. The wholesalers interviewed stated that they do not meet the demand of retailers located outside the geographical area assigned to them by NPPF. Thus, the director of the Emis France platform stated on July 17, 2006: "We do not seek to go beyond department 13 and we do not respond to requests from professionals in other departments. We respect our geographical distribution limited to Bouches du Rhône without seeking to find customers outside of 13. If we have a contact from a requester in another department, we direct them to the competent wholesaler for that geographical sector" (reference 5083).</w:t>
      </w:r>
    </w:p>
    <w:p>
      <w:r>
        <w:t>60. Similarly, the manager of the La Bonbonnière platform, during his hearing on June 12, 2006, stated: "Each platform actually has a marketing area defined by the company NPPF. Therefore, I cannot positively respond to an order from a retailer located in the territory reserved for another wholesaler. In the event that the same company has several stores located in the territory of several different wholesalers, then each store must send its order forms to the geographically competent platform. In any case, it would not be profitable for me to go outside my distribution area, and the store would have no interest in doing so since all platforms practice the same selling prices set by Nestlé Purina" (reference 1636).</w:t>
      </w:r>
    </w:p>
    <w:p>
      <w:r>
        <w:t>61. However, the CEO of the Cany Ouest Distribution platform minimized the absolute nature of territorial exclusivity: "There is no obligation arising from this distribution territory sharing. If a retailer (specialized store) located outside this geographical area turns to Cany Ouest Distribution for supply of NPPF products, I could serve them, but I would rather tend to inform the distributor who supplies this area that a retailer wishes to be supplied, in order to work in good intelligence with the other platforms. However, if I served this retailer, there would be no impact. Retailers turning to us and located outside our area were those who were previously our customers and have moved. To my knowledge, this has happened once, and the cost of transport is such that we then directed them to another platform" (reference 5716).</w:t>
      </w:r>
    </w:p>
    <w:p>
      <w:r>
        <w:t>62. Furthermore, the investigation noted the absence of commercial flows between France and neighboring countries, even though supply prices for NPPF products are sometimes lower there. On this point, representatives of NPPF stated to investigators during their hearing on November 9, 2006: "Nestlé Purina France is also responsible for marketing products in Belgium and Luxembourg. In Belgium, distribution is mainly ensured by two independent wholesalers. In Germany, they are non-exclusive independent wholesalers. The different entities of Nestlé Europe do not practice the same selling prices with respect to their distribution network. Even though price gaps tend to narrow, the specificities of each market do not allow for price alignment. Thus, in Germany, prices are approximately [10-20%] lower than those practiced in France, which remains one of the most expensive countries for Nestlé Purina products" (reference 26369).</w:t>
      </w:r>
    </w:p>
    <w:p>
      <w:r>
        <w:t>63. Despite the price differences between France and neighboring countries, some retailers indicated that they could not source products in Belgium or Germany due to refusals from wholesalers operating in those countries. On this point, the manager of the company Erkani specified in response to the investigation's questionnaire: "Following these delivery refusals, I contacted two platforms in Belgium (proximity and ease of communication), but they refused to sell to me" (reference 10 261). Similarly, the manager of the company Nilufar specified: "The price comparison for the three brands is useless because they all have the same national rate, and if we contact another platform, we are referred back to our platform. However, foreign prices are different, but it is not possible to order for reasons of national protection" (reference 10066).</w:t>
      </w:r>
    </w:p>
    <w:p>
      <w:r>
        <w:t>64. The director of the company Jardi-Fleurs, in his response to the questionnaire on December 8, 2008, specified: "It is impossible for us to order from abroad because according to Nestlé Purina, we have an intermediary in France" (reference 16645). He also stated during his hearing on January 28, 2008: "Yes, we have faced refusals both from Royal Canin Belgium, which distributes Royal Canin products, and from a Belgian intermediary that distributes Nestlé/Purina products. These companies explained to me that as a French company, I had to source in France since the Royal Canin and Purina Nestlé entities were structured by country, and thus my natural contacts were in France, with Belgian intermediaries not operating in French territory" (reference 20404). When asked whether transport costs could, in his opinion, justify the refusal of supply by the Belgian platforms of NPPF and Royal Canin, the director of Jardi Fleurs stated: "That would have no basis, since I am located right at the border with Belgium and the Belgian store supplied by the Belgian intermediaries of both suppliers is less than 15 km from my store. It would not be an obstacle for them to deliver to me" (reference 20405).</w:t>
      </w:r>
    </w:p>
    <w:p>
      <w:r>
        <w:t>65. It emerges from NPPF's responses to the request for additional information from the Competition Authority dated March 18, 2009, that wholesalers located in neighboring countries are not incentivized to deliver to retailers located in France. Thus, regarding Belgium, NPPF stated: "In no case are these sales abroad subject to special verification [by NPPF], as they are not taken into account in the bonuses granted to sales representatives" (reference 25794).</w:t>
      </w:r>
    </w:p>
    <w:p>
      <w:r>
        <w:t>e) NPPF's pricing policy</w:t>
      </w:r>
    </w:p>
    <w:p>
      <w:r>
        <w:t>The pricing policy of NPPF regarding purchasing or referencing centers</w:t>
      </w:r>
    </w:p>
    <w:p>
      <w:r>
        <w:t>66. The pricing and commercial conditions applicable to distributors adhering to a purchasing or referencing center are established directly by NPPF, without intervention from wholesalers. Wholesalers are not free to set the prices at which they resell NPPF products to stores affiliated with a national brand and do not negotiate the commercial conditions either. The director of specialized circuits at NPPF stated on this point during his hearing on October 18, 2008: "National brands ask us to negotiate a single global rate to harmonize their consumer price policy at the national level. Purchasing centers wish to negotiate a global price with us for all of France" (reference 22205). On October 18, 2008, representatives of NPPF clarified to the investigation: "Once a year, there is a negotiation of rates and commercial cooperation, that is to say, all promotional actions between purchasing centers and Nestlé" (reference 25696).</w:t>
      </w:r>
    </w:p>
    <w:p>
      <w:r>
        <w:rPr>
          <w:b/>
        </w:rPr>
        <w:t>[Pages 16–18]</w:t>
      </w:r>
    </w:p>
    <w:p>
      <w:r>
        <w:t>67. Thus, the goods are first sold to the platforms, to which the general terms of sale agreed with NPPF are applied. The platforms then resell to the stores of the brands, at the price that has been negotiated by NPPF and the purchasing or referencing centers, without the platforms themselves participating in this negotiation.</w:t>
      </w:r>
    </w:p>
    <w:p>
      <w:r>
        <w:t>68. The pricing structure practiced by NPPF includes four categories, identified in the company's correspondence by the designations "T0," "T1," "T2," and "T3" (or T1-10%). T0 is the base price offered by NPPF for resale to retailers. T3 designates the lowest price. The other prices, T1 and T2, which are rarely used, correspond to prices between T0 and T3, applied based on the volume ordered. The representatives of Nestlé specified on this point, during their hearing on October 15, 2008: "The general terms of sale specify the legal literature, the prices, and the discounts. The platforms purchase the products. There is a transfer of ownership. The base price T0=100 on which they have a 30% discount, it costs them 70. They resell at T0-10%=90. For breeders, the prices are more variable. So this generates a gross margin of 20 for them. They are billed charges for participation in the sales team's costs (8% of 70) and training (1% on Pro-plan turnover)" (reference 25696).</w:t>
      </w:r>
    </w:p>
    <w:p>
      <w:r>
        <w:t>69. The price negotiated by NPPF with the centers is applied uniformly for each of the stores of the corresponding brands. NPPF justified this choice, at the time of the facts, by compliance with the provisions relating to discrimination stemming from the regime prior to that established by Law No. 2008-776 of August 4, 2008, on the modernization of the economy (hereinafter "LME"). Under this regime, NPPF believed it was required to offer the same price to customers in identical situations. On this point, the representatives of NPPF stated during their hearing on March 23, 2009: "There is no difference in the recommended prices between the centers, due to the prohibition of discrimination provided until the LME law, the difference being made on commercial conditions (...)" (reference 23243). During this same hearing, the representatives of NPPF stated regarding the commercial relationship that binds the company to its platforms: "We are aware of the ambiguity of the relationships between the platforms, Nestlé, and the centers. Nevertheless, the contracts are imposed on us by the centers, particularly in 2008 under the pretext of meeting the requirements of the single convention. This has occurred gradually over time. As long as the national brands were in the minority, we did not have the same level of concern. The weight of the brands has increased in recent years" (reference 2343).</w:t>
      </w:r>
    </w:p>
    <w:p>
      <w:r>
        <w:t>70. NPPF transmits to the platforms the list of product prices as well as the commercial conditions, as they have been negotiated with the centers. NPPF has thus established, for this purpose, sheets titled "summary of commercial conditions" which have been transmitted to the platforms each year by the national Key Accounts manager within NPPF (references 797, 2378–2436, 4264–4270, 6793–6795, 6860, and 23969–23972). These sheets specify, in addition to the references of the different ranges offered, the purchase price (also called "T3 price" or "T0-10%") for all the concerned brands, the delivery and payment conditions, any discounts, the pricing conditions related to the opening or reopening of a store, the year-end rebates paid to the center, and the agreements for commercial cooperation.</w:t>
      </w:r>
    </w:p>
    <w:p>
      <w:r>
        <w:t>71. The platforms interviewed during the procedure confirmed that they do not participate in the commercial negotiation with the retailers. They assert that the prices resulting from these negotiations are communicated to them by NPPF (Agripasquier, reference 20448; Alpadis, reference 20451; Barralon, references 6803 and 20653; Cany Ouest Distribution, reference 5717; Cani Distribution, reference 20533; Distripro, reference 9600; Emis France, references 5084 and 20458; Etournaud, reference 20490; Garibaldi, reference 20407; Haudecoeur, reference 6187; Hugo’Agri, reference 20424; Hura Agri, reference 685; La Bonbonnière, reference 1637; Madelon, reference 20921; Nutridoc, references 4944-4945; Profood, reference 21030; Solignac, reference 10183).</w:t>
      </w:r>
    </w:p>
    <w:p>
      <w:r>
        <w:t>72. Thus, all the pricing and commercial conditions are defined by NPPF and the purchasing and referencing centers of the brands. The platforms are all informed of the content of these negotiations and merely apply the prices communicated to them by NPPF. The referencing centers interviewed during the procedure confirmed negotiating prices directly with NPPF and its representatives and not with the distribution platforms (Botanic, reference 19462; Carré Vert, reference 17922; Gamm Vert, references 16764 and 16834–16908; Jardiland, references 6147–6148; Mr. Bricolage, references 25654 and 25670; Nature et Plein Air, reference 2010; Truffaut, references 7955–7956 and 20079–20080; Vive le Jardin (affiliated with Jardiland), reference 5783).</w:t>
      </w:r>
    </w:p>
    <w:p>
      <w:r>
        <w:t>The definition of the pricing policy regarding independent stores</w:t>
      </w:r>
    </w:p>
    <w:p>
      <w:r>
        <w:t>73. Just as is the case with the pricing policy regarding branded stores, the platforms do not intervene in the pricing negotiations with independent stores, which take place solely between representatives of NPPF and the stores. On this point, the representative of the Madelon platform stated during his hearing on August 4, 2006: "The commercial prospecting for Purina products is carried out in our sector by salespeople from Nestlé Purina, who travel across the 5 departments. The activity of these salespeople is billed by Purina through a "special sales - mad personnel" invoice based on the application of a rate of 8% on the monthly turnover, up to a ceiling of €8083 per salesperson (...). This flat rate covers the salaries and expenses of the Purina salespeople who travel in the departments and conduct the commercial negotiations for Purina products" (reference 6894). The other platforms confirmed that the selling prices of NPPF products were relayed directly in the stores by NPPF (Barralon, reference 9132; Emis France, reference 5084; Garibaldi, reference 9226; Haudecoeur, reference 6187; Huro’agri, reference 685; La Bonbonnière, reference 1637).</w:t>
      </w:r>
    </w:p>
    <w:p>
      <w:r>
        <w:t>74. Thus, in the case of retailers who do not belong to a purchasing or referencing center, the resale prices of NPPF products are relayed directly in the stores by salespeople employed by NPPF. NPPF then re-invoices this service to the platforms (references 26375-26379).</w:t>
      </w:r>
    </w:p>
    <w:p>
      <w:r>
        <w:t>75. The salespeople present themselves as employees of NPPF brands when they approach independent retailers, who perceive them as such. The investigation revealed that during their visits, some salespeople hand out business cards clearly identifying them as "Purina" employees (references 3920 and 5335). On this point, the manager of the store operated by the company Aquamiort in Chauray stated during his hearing on June 23, 2006: "We do not have a purchasing or referencing center. We regularly receive visits from a representative who exclusively handles Proplan. I cannot tell you if it is a Pasquier [platform] representative or Nestlé Purina (...). For us, it is a Proplan representative. This representative negotiates with us the commercial cooperation (...). The representative also negotiates the prices" (reference 3921).</w:t>
      </w:r>
    </w:p>
    <w:p>
      <w:r>
        <w:t>76. The representatives of independent stores interviewed by the Authority during the procedure mentioned receiving price lists from NPPF or its representatives and not from the platforms, which only handle delivery and invoicing. On this point, the director of the Zanimaux store stated to the investigators during his hearing on February 28, 2006: "Regarding Nestlé Purina: I negotiate my purchase prices directly with Nestlé Purina, but I buy the products from a wholesaler (La Bonbonnière) who applies the prices I negotiated with Nestlé Purina" (reference 503). The role of NPPF in communicating prices was also highlighted by the representatives of the stores Animarket (reference 17410), Erkani (reference 20084), Jardi Fleurs (reference 1495), Procanis (reference 867), and Comptoir Animalier (reference 1582). Other stores also provided price lists originating from NPPF (Internat’s, references 7285–7287; Jardinerie Tarnaise, references 10227–10250; Kalou, references 2740–2759; Laleu references 2843–2861; Le Paradis Des Animaux, references 5746–5764; Rapide Croc Distribution, references 6793–6799).</w:t>
      </w:r>
    </w:p>
    <w:p>
      <w:r>
        <w:t>The communication of prices by NPPF and its application by distributors</w:t>
      </w:r>
    </w:p>
    <w:p>
      <w:r>
        <w:t>77. NPPF defines and transmits to its platforms resale price lists for retailers once or twice a year. NPPF provided the investigation services with all the prices communicated to the platforms between 2004 and 2008 (references 25760–25783). These lists are identical to the prices that the platforms communicated to the investigation services.</w:t>
      </w:r>
    </w:p>
    <w:p>
      <w:r>
        <w:t>78. All the platforms interviewed stated that Nestlé provided them with recommended prices based on the order volume. The prices communicated varied from T0 to T3 with a discount of 2 to 10% for T3.</w:t>
      </w:r>
    </w:p>
    <w:p>
      <w:r>
        <w:t>79. Independent stores also stated that they purchased goods at the T3 price according to NPPF's nomenclature. Thus, the independent brand Ma Campagne submitted to the investigation the 2008 prices from Nestlé that were transmitted to it by the Agri Pasquier platform. These prices are a copy of NPPF's prices, without Agri Pasquier affixing its own logo (references 9701–9703). Similarly, the director of the independent store Danimo stated during her hearing on July 11, 2006, that she obtained the T3 price according to NPPF's nomenclature. She attached the Nestlé prices she received, which correspond to a copy of the prices published by NPPF (references 5488–5490). The manager of the L’Aquatile store also indicated purchasing at the T3 price and provided the Nestlé prices, which are a copy of the prices sent by NPPF to Profood (references 16593–16596).</w:t>
      </w:r>
    </w:p>
    <w:p>
      <w:r>
        <w:t>80. Furthermore, the invoices provided by the retailers during the investigation reveal a nearly systematic application of a purchase price corresponding to the T3 price established by NPPF by the platforms, even though some wholesalers give this price a different title (for example, "T14" for the wholesalers Solignac, references 2444-2460 and Nutri d’Oc, references 4985–4986). Regardless of the platform concerned, the price appearing on the invoice is either a net price or a price corresponding to NPPF's T0 price to which a 10% discount is applied on the invoice.</w:t>
      </w:r>
    </w:p>
    <w:p>
      <w:r>
        <w:t>2. REGARDING ROYAL CANIN AND ITS DISTRIBUTORS</w:t>
        <w:br/>
        <w:t>a) The customer restrictions agreed upon by Royal Canin and its distributors</w:t>
      </w:r>
    </w:p>
    <w:p>
      <w:r>
        <w:t>81. Royal Canin has developed product ranges dedicated to veterinarians and others, different ones intended for specialized stores and breeders. The company's Europe and France directors, during their hearing on November 26, 2008, specified: "We have regulated or unregulated dietary ranges intended for sick animals dedicated to veterinarians. These foods have specific characteristics sometimes extending the therapeutic act. The products are typified and focused on prevention and treatment following animal care. For breeders, the ranges are presented in addition.</w:t>
      </w:r>
    </w:p>
    <w:p>
      <w:r>
        <w:rPr>
          <w:b/>
        </w:rPr>
        <w:t>[Pages 19–21]</w:t>
      </w:r>
    </w:p>
    <w:p>
      <w:r>
        <w:t>grand packaging that corresponds to the ranges sold in specialized stores. In addition to these ranges, products specifically adapted to the needs of the breeding activity are added. Depending on customer needs, tailored products are offered. It is an evolving and innovative sector. The breed-specific ranges are sold in retail outlets but are not sold by veterinarians who prefer specific products. This does not align with the wishes of the veterinarian. Furthermore, they have a space issue" (reference 19,840).</w:t>
      </w:r>
    </w:p>
    <w:p>
      <w:r>
        <w:t>82. Royal Canin had a distribution network composed partly of independent distributors until September 2009. Whether independent or integrated, these distribution centers market the products to specialized stores and breeders while veterinary purchasing centers enter into agreements directly with Royal Canin. Royal Canin has thus compartmentalized its distribution network based on the types of retailers involved.</w:t>
      </w:r>
    </w:p>
    <w:p>
      <w:r>
        <w:t>83. All of Royal Canin's distribution centers confirmed that they only distribute Royal Canin products to specialized stores and breeders, excluding veterinarians (Alpadis, reference 18,448; Cazenave Normandie Loir, reference 17,663; Rhonaldis, reference 17,770).</w:t>
      </w:r>
    </w:p>
    <w:p>
      <w:r>
        <w:t>84. However, Royal Canin initiated a gradual integration process of the various wholesalers that deliver its products to retailers, following decision No. 05-D-32 of June 22, 2005, concerning practices implemented by Royal Canin and its distribution network and the ruling of the Paris Court of Appeal of April 4, 2006, Royal Canin. The integration of all wholesale distributors was completed on September 1, 2009.</w:t>
      </w:r>
    </w:p>
    <w:p>
      <w:r>
        <w:t>b) The single-brand distribution of Royal Canin products</w:t>
      </w:r>
    </w:p>
    <w:p>
      <w:r>
        <w:t>85. Wholesalers marketing Royal Canin products do not sell high-end dog and cat products from brands other than Royal Canin. On this point, the representative of Royal Canin, during his hearing on November 26, 2008, regarding whether the distribution centers only sell Royal Canin products, stated: "Yes in pet food, indeed. Because we have a very broad offer. The distribution centers manage over 300 references (pet food) with a multitude of clients (23,000 in total). We do not believe that our competitors are prospecting the distribution centers with which we work" (reference 19,841).</w:t>
      </w:r>
    </w:p>
    <w:p>
      <w:r>
        <w:t>86. As with NPPF (paragraph 24 above), the single-brand distribution of Royal Canin's distributors is based on two foundations: the establishment of an incentive remuneration system, on the one hand, and a strategy of multiplying references leading to a saturation of their logistical capacities, on the other hand.</w:t>
      </w:r>
    </w:p>
    <w:p>
      <w:r>
        <w:t>87. The discount system for Royal Canin distributors is built on achieving objectives for increasing both overall volumes and volumes on certain product references considered priority by Royal Canin. Only this latter objective initially determines the final discount levels that distributors will benefit from. On this point, the general director of Royal Canin stated during his hearing on February 5, 2009: "The objectives are quantitative based on the increase in volume by range from one year to the next, which we discuss every year. The growth rate varies from year to year (about 5 to 6%). It is an end-of-year discount (FA). These discounts depend in particular on the turnover or volume achieved on a range of products. The 'High-end' family corresponds to a set of references. The triggering of the bonus occurs if the 'high-end' objective is achieved. If the high-end objective is achieved, then the calculation base is the entire volume" (reference 20,400).</w:t>
      </w:r>
    </w:p>
    <w:p>
      <w:r>
        <w:t>88. Furthermore, the multiplicity of ranges offered by Royal Canin has led to a saturation of the logistical capacities of wholesalers and limited the possibilities for multi-brand distribution by distributors. The representative of the company Rhonaldis, an independent distributor before its integration by Royal Canin on June 30, 2008, specified in his response to the request for additional information from the reporter on December 11, 2008: "In complete dry food for cats and dogs (kibble), we only resell products from the Royal Canin group. This is explained by the significant and diversified number of Royal Canin product ranges. We already market over 170 types of products with more than 360 references to nearly 2000 clients and therefore do not have the necessary means (commercial, logistical) to market products from other suppliers. Furthermore, as we are not mere wholesalers, promoting competing products would be incompatible with the commercial function (prospecting, promotions, events) that we perform for Royal Canin products" (reference 17,569). The company Normandie Loir provided an identical response, word for word, to the same request (reference 17,632).</w:t>
      </w:r>
    </w:p>
    <w:p>
      <w:r>
        <w:t>89. All the distributors heard confirmed that they only distribute Royal Canin products.</w:t>
      </w:r>
    </w:p>
    <w:p>
      <w:r>
        <w:t>c) The establishment of territorial exclusivities</w:t>
      </w:r>
    </w:p>
    <w:p>
      <w:r>
        <w:t>90. During his hearing on November 26, 2008, the general director of Royal Canin stated: "For logistical reasons, the distribution centers have a catchment area defined by [Royal Canin] which asks these centers to develop their clientele in their catchment area which includes several departments. There are maps of the breakdown. In their catchment area, the distribution centers organize their order-taking, prospecting, delivery work, etc. The sales forces regularly visit retail outlets and breeders and make themselves known. There is so much to do in these areas that they focus on these departments that they want to develop" (reference 19,841).</w:t>
      </w:r>
    </w:p>
    <w:p>
      <w:r>
        <w:t>91. The catchment areas of the different distributors are represented on a map established by Royal Canin, which it transmits to wholesalers. Each distributor has a defined geographical area composed of different departments, covering the entirety of French territory (references 17,573, 17,637, 18,450).</w:t>
      </w:r>
    </w:p>
    <w:p>
      <w:r>
        <w:t>92. This map was transmitted as an annex to their responses to the Authority's questionnaires by all Royal Canin wholesalers. The latter also confirmed that they only operate in a limited geographical area determined by Royal Canin. On this point, the representative of the wholesaler Canidis responded to the questionnaire of December 11, 2008: "Yes, our geographical influence area is generally in the Midi Pyrénées region: departments 09-31-32-12-81-82. No, Royal Canin did not directly provide us with a geographical map determining our influence area, but this is mentioned in certain documents intended for clients" (reference 18,292). The president of the company Favac Tipadis, a wholesaler of Royal Canin products, provided an identical response (reference 18,210). The president of Normandie Loir indicated: "We indeed have a natural geographical influence area in which we develop our efforts. This area includes the following departments: 14, 27, 28, 50, 41, 61, 72, and 76. There is a geographical map established by Royal Canin defining the influence areas of its distribution centers" (reference 17,571).</w:t>
      </w:r>
    </w:p>
    <w:p>
      <w:r>
        <w:t>93. The president of Alpadis confirmed that he only operates in a strictly defined catchment area due to logistical constraints. In his response of December 10, 2008, he stated: "Our geographical influence area is the southeast, within the limits of our transport costs. Our influence departments are 04, 05, 06, 07, 26" (reference 18,448).</w:t>
      </w:r>
    </w:p>
    <w:p>
      <w:r>
        <w:t>d) The prohibition of passive sales by wholesalers to retailers</w:t>
      </w:r>
    </w:p>
    <w:p>
      <w:r>
        <w:t>94. Several retailers heard by the Authority reported the impossibility of requesting a delivery from a wholesaler different from the one previously indicated to them by Royal Canin. On this point, the manager of the company Ocellaris, which negotiates with the distributor wholesalers, specified in response to a request for information on November 24, 2008: "(...) if we contact another platform [than the one indicated to us], we are referred back to our platform. However, foreign prices are different but it is not possible to order for reasons of national protection. For the anecdote regarding Royal Canin, I have a store in Loir and Cher (41) since 2006, this store is supplied by the Normandie Loir platform. This platform is more flexible in terms of quantitative discounts. I received comments from the platform that distributes in Indre and Loire and harmonizations, in the wrong direction, had been applied to me following pressures from Agri Poitou towards Normandie Loir. Moreover, I pointed out to them that nowhere on the highway between Blois and Tours was there a barrier preventing me from importing Royal Canin between 41 and 37. At the beginning of the year, the two directors came to see me together and offered me joint and identical commercial discounts for my two points of sale" (references 20,404-20,405).</w:t>
      </w:r>
    </w:p>
    <w:p>
      <w:r>
        <w:t>95. Similarly, the director of the company Jardi Fleurs stated in his response of December 8, 2008, that he had faced a refusal when he requested to be supplied by foreign wholesalers. On this point, he specified: "Yes, we have already compared prices between Belgium and France because the rates are not the same. We had asked Royal Canin Belgium to purchase the products and we faced a refusal because they do not deliver to France, so we are obliged to buy in France. We obtained the rates through another store because Royal Canin Belgium does not wish to send us its rates. It is therefore impossible to buy from Royal Canin Belgium" (reference 16,646). He specified during his hearing on January 28, 2009: "Yes, we faced refusals both from Royal Canin Belgium, which distributes Royal Canin products, and from a Belgian intermediary who distributes Nestlé/Purina products. These companies explained to me that being French, I had to source in France since the Royal Canin and Purina Nestlé entities were structured by country, and thus my natural interlocutors were in France, with Belgian intermediaries not intervening on French territory." He finally specified that he considered transport costs could not constitute an adequate justification for legitimizing the refusal he faced because: "This would have no basis, since I am located just at the border with Belgium and the Belgian store supplied by the Belgian intermediaries of both suppliers is less than 15 km from my store. It would not be an obstacle for them to deliver to me" (references 20,404-20,405).</w:t>
      </w:r>
    </w:p>
    <w:p>
      <w:r>
        <w:t>96. The situation is identical for the centers integrated by Royal Canin, which do not carry out any cross-border transactions. On this point, Royal Canin specified in its response to a request for documents on February 20, 2009: "Despite this freedom of action, Royal Canin</w:t>
      </w:r>
    </w:p>
    <w:p>
      <w:r>
        <w:rPr>
          <w:b/>
        </w:rPr>
        <w:t>[Pages 22–24]</w:t>
      </w:r>
    </w:p>
    <w:p>
      <w:r>
        <w:t>n'a pas constaté, in the event that the distribution centers are integrated, any flow of exchanges in the border areas regarding the sale of products to specialized stores. This absence of flow is explained by economic reasons" (reference 20 733).</w:t>
      </w:r>
    </w:p>
    <w:p>
      <w:r>
        <w:t>e) The pricing policy of Royal Canin</w:t>
        <w:br/>
        <w:t>The establishment of retail prices and their communication to wholesalers</w:t>
      </w:r>
    </w:p>
    <w:p>
      <w:r>
        <w:t>97. The pricing policy of Royal Canin varies depending on whether the products are intended for stores affiliated with purchasing and referencing centers or for independent stores. In the case of affiliated stores, Royal Canin negotiates pricing conditions and partnership agreements with national purchasing and referencing centers. These negotiations are conducted directly by the distribution centers in the case of independent stores.</w:t>
      </w:r>
    </w:p>
    <w:p>
      <w:r>
        <w:t>98. The General Director of Royal Canin France specified the pricing formation method during his hearing on February 5, 2009: "The base price is T0. It is identical for all. It is applied by the distribution centers. The brands require negotiation with Royal Canin. We negotiate an annual framework agreement. The stores place orders with the distribution centers. The maximum negotiated price must be applied. It is a maximum price that the distribution centers apply. The price negotiated with the purchasing centers is T0-8% (T4). This price is linked to a minimum quantitative discount applied by the distribution centers. We can negotiate commercial cooperation between the brand and RC. Then the stores are delivered and invoiced by the distribution centers. It is common for there to be targeted or promotional actions between a store and a center beyond these conditions. These are promotional actions, including free products (affecting the price). We always have the variations T0, T1, T2, T3, T4. Each reference has a T0. There is a variation of discount based on a business volume with Royal Canin. For some small brands, there may be T1 = T0-2%, T2 = T0-4%, T3 = T0-6%, or T4. Affiliated stores receive the prices negotiated with RC through their purchasing or referencing center" (references 20 400-20 401).</w:t>
      </w:r>
    </w:p>
    <w:p>
      <w:r>
        <w:t>99. During a previous hearing on November 26, 2008, the General Director of Royal Canin stated: "It is Royal Canin [that prepares and signs the commercial negotiations with the referencing and purchasing centers]. Royal Canin signs a national framework agreement that contains the base price as well as certain discounts or rebates granted to the purchasing centers. Then, at the regional level, the distribution centers negotiate with the affiliated stores for commercial and promotional actions" (reference 19 842).</w:t>
      </w:r>
    </w:p>
    <w:p>
      <w:r>
        <w:t>100. Thus, in the context of relations with the national brand centers, wholesalers have no leeway in terms of pricing. They are not free to set prices for the resale of products to stores affiliated with a national brand. They do not negotiate the commercial conditions, which are included in the purchasing conditions of the major brands and signed each year with Royal Canin. Only occasionally are local promotions carried out.</w:t>
      </w:r>
    </w:p>
    <w:p>
      <w:r>
        <w:t>101. The commercial services of Royal Canin designate the resale prices that will be practiced by the wholesaler-distributors under the designation "T0 price," which includes several tiers: the "T0 base price" tier for orders of 300 to 499 kg, the "T1, price T0-2%" tier for orders of 500 to 749 kg, and the "T2, price T0-4%" tier for orders of 750 to 999 kg.</w:t>
      </w:r>
    </w:p>
    <w:p>
      <w:r>
        <w:t>102. Royal Canin publishes, on behalf of its wholesaler-distributors, the price lists for retail sales, known as "T0 prices" intended for purchasing centers (reference 19 843).</w:t>
      </w:r>
    </w:p>
    <w:p>
      <w:r>
        <w:t>The prices practiced by wholesalers</w:t>
      </w:r>
    </w:p>
    <w:p>
      <w:r>
        <w:t>103. The wholesalers heard by the Authority confirmed that they are unable to negotiate the pricing conditions themselves with retailers belonging to brands and thus apply the prices communicated by Royal Canin. On this point, the president of the company Galetou, a wholesaler for Royal Canin, indicated, in response to the Authority's questionnaire on December 12, 2008: "The conditions for stores affiliated with the centers are defined by the commercial management of our supplier responsible for negotiating with the relevant centers" (reference 17449). The prices attached to the response from the company Galetou are published by Royal Canin, with only the address of the distributor added by the latter (references 17452-17558).</w:t>
      </w:r>
    </w:p>
    <w:p>
      <w:r>
        <w:t>104. Similarly, the representative of the company Canidis, a Royal Canin wholesaler, stated in his response to the Authority's questionnaire on December 11, 2008: "The pricing and commercial conditions with the purchasing centers are provided by Royal Canin" (reference 18 294). He specified, in response to a follow-up request from the Authority on February 23, 2009: "The price applied to stores affiliated with national brands is T0, reduced by the discounts corresponding to the Agreements of the Centers negotiated with Royal Canin" and added that the prices are printed by Royal Canin (reference 21028).</w:t>
      </w:r>
    </w:p>
    <w:p>
      <w:r>
        <w:t>105. The representative of the company Rhonaldis specified, in his response to the information requests on February 25, 2009: "The T0 price is the base price from which Royal Canin SA negotiates the referencing of its products with the national purchasing and referencing centers. RC SA communicates to Royal Canin Distribution Rhône Alpes (formerly Rhonaldis) the T0 and informs it of the pricing conditions negotiated with the national centers (discounts granted to stores under the brand based on the T0 price)" (reference 21045). This point is confirmed by the distributor Normandie Loir (reference 21042).</w:t>
      </w:r>
    </w:p>
    <w:p>
      <w:r>
        <w:t>106. The president of the company Ferrat distribution, a Royal Canin distribution center, indicated in his response on December 10, 2008: "Royal Canin sends us a base price concerning the purchasing centers. Royal Canin also sends us a referencing sheet that contains the commercial conditions for which we cannot reasonably apply lesser conditions" (reference 17 685). He later specified, in response to a request for additional information on February 20, 2009: "Stores affiliated with national brands are invoiced based on this T0 to which the discount conditions defined between Royal Canin and the National brand apply" (reference 20521).</w:t>
      </w:r>
    </w:p>
    <w:p>
      <w:r>
        <w:t>107. The president of Fatac Tivadis, a Royal Canin wholesaler, specified, in response to the request for additional information on February 23, 2009: "Royal Canin transmits to us the conditions of each Center. Royal Canin also prints the base prices that we then send to our clients" (reference 21037).</w:t>
      </w:r>
    </w:p>
    <w:p>
      <w:r>
        <w:t>108. The president of the company Cazenave, a Royal Canin wholesaler, also confirmed, in a letter in response to the request for additional information on February 23, 2009: "We apply the price negotiated by Royal Canin with the Center which corresponds to the T0 price with a discount (...). Royal Canin provides us with this price (...). Royal Canin prints the prices" (reference 21 035). This information is confirmed by the wholesaler Alpadis (reference 20451).</w:t>
      </w:r>
    </w:p>
    <w:p>
      <w:r>
        <w:t>109. The lists on which the prices that all wholesalers send to retailers affiliated with a purchasing center are shown and which have been transmitted to the Authority originate from Royal Canin. These prices are identical for a given purchasing center, regardless of the wholesaler concerned, and differ only in terms of certain visual identity elements (logos, name, and address of the wholesaler).</w:t>
      </w:r>
    </w:p>
    <w:p>
      <w:r>
        <w:t>110. The same price lists have been submitted to the Authority by the retailers (references 17750-17846, 18354-18445, 18684-18712).</w:t>
      </w:r>
    </w:p>
    <w:p>
      <w:r>
        <w:t>111. The latter have all stated that they are applied, by the wholesalers, the prices they have negotiated with NPPF, themselves, or through their purchasing or referencing centers. On this point, the deputy director of the Jardiland store in Metz stated during his hearing on February 28, 2006: "The wholesalers apply the prices that the purchasing center has negotiated with Royal Canin and Nestlé Purina. Even if the commercial conditions are negotiated by the purchasing center, the sales representatives of the manufacturers visit us and provide us with the purchase prices and the prices for the consumer" (reference 478).</w:t>
      </w:r>
    </w:p>
    <w:p>
      <w:r>
        <w:t>112. The representatives of the Truffaut brand also indicated in their response to the Authority's questionnaire on December 3, 2008: "Our center negotiates with its contact at Royal Canin. (...) We must negotiate for these three suppliers [Royal Canin, NPPF, Hill’s] the pricing and commercial conditions with the supplier (key account)" (reference 10672).</w:t>
      </w:r>
    </w:p>
    <w:p>
      <w:r>
        <w:t>113. Similarly, the director of the purchasing center of the Truffaut brand stated during his hearing on January 20, 2009, in response to the Authority's question about how negotiations with suppliers take place: "For each of the three brands, the product manager negotiates all the commercial and pricing conditions with the key account directors of each of the companies (...). For Royal Canin and Nestlé, they indicate the reference platforms with which we must place orders. We pay directly the platforms that issue the invoices. We conduct a single negotiation rather than multiplying the counters and negotiations because we arrive with higher volumes. The prices and base rates provided by the suppliers are all-inclusive prices, freight paid (...). We receive the general terms and conditions of sale from the suppliers as well as the prices freight paid for the delivery zones of the suppliers. The logistical costs are included" (references 20 079-20 080). On this point, the commercial agreements concluded by Truffaut and Royal Canin, on the one hand, and Animalis and Royal Canin, on the other hand, attached to Truffaut's response to the information request of November 28, 2008, demonstrate that the pricing conditions are set in contracts concluded between Truffaut and Royal Canin and are thus not freely set by the wholesalers (reference 10720).</w:t>
      </w:r>
    </w:p>
    <w:p>
      <w:r>
        <w:t>114. At the bottom of the price lists transmitted by Royal Canin to the retailers is the mention "[The base price] applies for a minimum unit order of 300 Kg. Prices are freight paid (delivery zone). Payment is made in cash. The general terms and conditions of sale apply. Any order implies that the customer has acknowledged the general terms and conditions of sale and accepts them" (see in particular references 10501-10599 for the prices transmitted by Royal Canin to the Jardiland brand).</w:t>
      </w:r>
    </w:p>
    <w:p>
      <w:r>
        <w:t>115. The framework contracts signed between Royal Canin and the Gamm Vert purchasing center also specify the applicable price in the commercial relationship with wholesalers (references 16912 and 19649). The prices attached to the contracts originate directly from Royal Canin, and the negotiations concerning the base prices occur directly between Gamm Vert and Royal Canin, without the wholesalers being involved. On this point, the director of the Carré Vert brand specified, in his response to the Authority's questionnaire.</w:t>
      </w:r>
    </w:p>
    <w:p>
      <w:r>
        <w:rPr>
          <w:b/>
        </w:rPr>
        <w:t>[Pages 25–27]</w:t>
      </w:r>
    </w:p>
    <w:p>
      <w:r>
        <w:t>the 11th of December 2008: "The information on base prices and promotional plans comes from the suppliers and the information on specific sales conditions comes from the Gamm Vert purchasing center. The company Gamm Vert, as franchisor, negotiates the pricing conditions applicable to its network of franchisees, which are distinct services and services rendered in connection with the resale of products aimed at promoting their marketing and not falling under the obligations of purchase and sale" (reference 17922).</w:t>
      </w:r>
    </w:p>
    <w:p>
      <w:r>
        <w:t>116. Similarly, the legal officer of the Botanic brand stated, in response to the Authority's questionnaire, on December 19, 2008: "Negotiations are conducted directly with the suppliers and for their own products: - for Nestlé Purina products: with Nestlé Purina, 4, rue Jacques Daguerre 92568 Rueil-Malmaison; for Royal Canin products: with Royal Canin, BP 4, 30470" (reference 19462). He specified: "For France, there is no need to compare prices as there is only one price list imposed by the supplier (manufacturer); all negotiations are conducted with the supplier (manufacturer) who wishes to be our exclusive interlocutor on this subject. For Nestlé Purina and Royal Canin, the pricing and commercial conditions are negotiated by the referencing center with the supplier (manufacturer) and not with the wholesalers (intermediaries)" (reference 19463).</w:t>
      </w:r>
    </w:p>
    <w:p>
      <w:r>
        <w:t>3. REGARDING HILL'S AND ITS DISTRIBUTORS</w:t>
        <w:br/>
        <w:t>a) The customer exclusivity agreed upon by Hill's and Oxadis</w:t>
        <w:br/>
        <w:t>117. Hill's does not market any products to the large food distribution. The distribution of its dog and cat food to specialized stores was ensured by a single distributor, the company Oxadis, until July 2008, when Hill's took over the distribution of its products itself. Hill's uses five veterinary wholesalers for the resale of its product ranges intended for veterinarians. These product ranges differ from those intended for specialized stores. Hill's supplies breeders only on a residual basis.</w:t>
      </w:r>
    </w:p>
    <w:p>
      <w:r>
        <w:t>118. Hill's indicated on December 4, 2008: "The Science Plan and Nature’s Best brands are distributed indiscriminately by veterinarians and specialized stores, except for the 'sub-brand' Science Plan Neutered Cat, which is distributed exclusively by veterinarians. Indeed, Science Plan Neutered Cat is a food used following a surgical intervention (sterilization) and can therefore only be sold to an owner under the direct control of a veterinarian, a liberal practitioner registered with the veterinary order (...). Finally, the Prescription Diet brand is distributed solely by veterinarians" (reference 23129). This distinction is materialized in the preamble of the sales conditions published by Hill's for veterinarians for the years 2005, 2006, 2007, and 2008, which distinguish the marketing of Hill's products from the "Prescription Diet" range, sold exclusively to veterinarians, and those from the "Science Plan" range sold to veterinarians and specialized stores (reference 26566). The distinction is also present in the general sales conditions themselves, which stipulate: "Breeding professionals source exclusively from regional distributors. Retailers in the specialized circuit source exclusively from our national distributor Oxadis. Retailers in the veterinary circuit source exclusively from the various wholesale distributors, wholesale distributors of veterinary medicines approved by the Directorate General of Health. Unless a prior agreement signed by Hill's is in place, these establishments, owned by a veterinarian or whose members or shareholders are predominantly veterinarians, commit to delivering our products only to their veterinary retailers and this exclusively on national territory" (reference 26558).</w:t>
      </w:r>
    </w:p>
    <w:p>
      <w:r>
        <w:t>119. The company Oxadis confirmed, in its response to the request of December 17, 2008: "The company Oxadis was the exclusive distributor of Hill's products (Nutritional range 'Science Plan') to specialized stores (pet stores, garden centers, LISA [agricultural self-service], agricultural cooperatives, and DIY stores) (...). The company Oxadis worked with all major purchasing centers of specialized stores for almost all of their stores: Jardiland, Truffaut, Villaverde, Trèfle vert, Pollen, Nalods, M. Bricolage, Maxi zoo, Leroy Merlin, Gamm vert, Inedis, Delbard, Coté Nature, BHV, Apex, Amiland, Amazonie. The company Oxadis also distributed Hill's products to independent specialized stores" (reference 18602).</w:t>
      </w:r>
    </w:p>
    <w:p>
      <w:r>
        <w:t>b) The establishment of supply exclusivities</w:t>
        <w:br/>
        <w:t>120. The company Oxadis, which delivers products for specialized stores, has committed, since the beginning of its contractual relationship with Hill's, to distribute only products from the latter. This exclusivity finds its source in the contracts concluded with Hill's, titled "exclusive distribution contract," which specify, until 2008: "The distributor agrees, during the term of this Contract, not to manufacture, distribute, sell wholesale or retail, directly or indirectly, or act as a broker for any competing or potentially competing pet food product or product line, except that the distributor shall have the right to sell what are called 'treats' for animals under the Oxadis brands during the term of said contract. To avoid any doubt, within the framework of the Contract, no complete dog or cat food may be considered as a 'treat'" (reference 19054).</w:t>
      </w:r>
    </w:p>
    <w:p>
      <w:r>
        <w:t>121. The exclusive distribution contract was modified in 2008 with the signing of a document specifying the modifications of contractual relations during the year 2008. Thus, during the first part of 2008, Oxadis negotiated the contract as an exclusive and independent distributor, then in the second part of the year, the contract became a mandate contract that Hill's entrusted to Oxadis. At the end of 2008, Oxadis was no longer involved in the delivery of Hill's products.</w:t>
      </w:r>
    </w:p>
    <w:p>
      <w:r>
        <w:t>c) The establishment of a territorial exclusivity for distribution to specialized stores and a prohibition of passive sales imposed on veterinary wholesalers</w:t>
        <w:br/>
        <w:t>122. When Oxadis was acting as a wholesaler on behalf of Hill's, its competence was restricted to the French territory only. In their response to a request for information, representatives of Oxadis specified, on December 17, 2008: "The distribution territory entrusted by Hill's to Oxadis was metropolitan France. The company Oxadis did not actively distribute Hill's products outside the territory of metropolitan France (...). Oxadis never received requests for the supply of Hill's products from stores located outside the French territory (border area)" (references 18602-18603).</w:t>
      </w:r>
    </w:p>
    <w:p>
      <w:r>
        <w:t>123. This exclusivity is provided for in the exclusive distribution contract, which stipulates: "In relation to the sale and promotion of Hill's products, the distributor agrees to refrain from creating any branch or distribution depot and from actively selling or seeking customers in any region of the EEA that Hill's reserves for itself or that Hill's has allocated to another distributor or to allow the sale of Hill's products to any person who, to the knowledge or suspicion, whether motivated or not, of the distributor, intends to sell, distribute or export Hill's products outside the EEA. Nothing in this contract shall, however, prohibit the distributor from fulfilling any requests for Science Plan products that the distributor has not solicited but has received from outside the Territory (...). Hill's agrees to take all reasonable measures permitted by French regulations or those of other countries in the European Union to discourage other distributors appointed by Hill's in other countries from marketing the products to retail in France" (references 26626-26627).</w:t>
      </w:r>
    </w:p>
    <w:p>
      <w:r>
        <w:t>124. Oxadis is required to provide regular statistical information to Hill's. According to the terms of the exclusive distribution contract: "Oxadis agrees to transmit to Hill's, in continuity of content and timing, before the 10th of each month, in the current form, a statement showing by customer code, by product code, the number of units of Hill's products sold by the distributor during the previous calendar month" (reference 26634). On this point, Oxadis specified, in its response of December 17, 2008: "The company Oxadis provided quarterly updates on the turnover achieved with each brand and specifying the quantities sold by product, as well as the promotional operations decided by the company Oxadis with the stores" (reference 18602).</w:t>
      </w:r>
    </w:p>
    <w:p>
      <w:r>
        <w:t>125. Representatives of Hill's stated, during their hearing on January 26, 2009, that they deliver directly from Belgium and the Nordic countries: "We also operate in these two circuits: veterinarians and specialized stores in other European countries. There is a central warehouse in Belgium, for example. We are directly in the store circuit in Belgium and in the Nordic countries. In Germany, we only have one independent distributor but who serves both veterinarians and specialized stores" (reference 21449).</w:t>
      </w:r>
    </w:p>
    <w:p>
      <w:r>
        <w:t>126. Veterinary wholesalers are also subject to a territorial exclusivity, being able to operate only in a defined geographical area. They are also required to restrict their sales to the national territory. According to the terms of the general sales conditions binding them to Hill's: "Unless a prior agreement signed by Hill's is in place, these establishments, owned by a veterinarian or whose members or shareholders are predominantly veterinarians, commit to delivering our products only to their veterinary retailers and this exclusively on national territory" (reference 26558).</w:t>
      </w:r>
    </w:p>
    <w:p>
      <w:r>
        <w:t>127. Like Oxadis, veterinary wholesalers regularly report precise statistics as provided for by the commercial contracts of 2004 and 2007 that the supplier gives them as an example. These contracts, which bind veterinary wholesalers to Hill's, stipulate: "The provider will provide the supplier, on diskette or on the internet, the details of sales by reference and by clinic for the previous month, before the tenth of each month" (reference 19003).</w:t>
      </w:r>
    </w:p>
    <w:p>
      <w:r>
        <w:t>128. No cross-border exchange of Hill's products occurred between France and other European countries during the period in which the practices were observed.</w:t>
      </w:r>
    </w:p>
    <w:p>
      <w:r>
        <w:t>E. NOTIFIED GRIEVANCES</w:t>
        <w:br/>
        <w:t>129. By letter dated March 12, 2010, the general rapporteur of the Authority notified the following grievances:</w:t>
      </w:r>
    </w:p>
    <w:p>
      <w:r>
        <w:rPr>
          <w:b/>
        </w:rPr>
        <w:t>[Pages 28–30]</w:t>
      </w:r>
    </w:p>
    <w:p>
      <w:r>
        <w:t>" (…) to the companies Nestlé Purina Petcare France SAS and Nestlé SA for having conspired with their wholesalers [Madelon SA, Haudecoeur SAS, Huro’agri SARL, Jean-Marc Barralon distribution SARL, La Bonbonnière SARL, Nutri d’Oc SAS, Etablissements Etourneaud SAS, Solignac SAS, Cany Ouest distribution SAS, Emis France SARL, Profood SAS, Multari SARL, Garibaldi SAS, Distripro SAS, Le Capitaine SA, Cani Distribution SAS, Animal Food SAS, Agri Pasquier, Epis Centre] to establish a distribution system presenting the following competition restrictions: setting the minimum resale price to retailers, not engaging in passive sales to customers located outside the territories allocated to each wholesaler, restricting the clientele to which wholesalers can sell dry food for cats and dogs by limiting it to specialized networks, specialized stores, and breeders to the exclusion of veterinarians, restricting the distribution territory of each of them, and limiting their supplies of dry food for dogs and cats exclusively to Nestlé products. These practices had the object or effect of preventing, distorting, or restricting intra-brand and inter-brand competition between 2004 and 2008. These practices are prohibited by the provisions of Articles L. 420-1 of the Commercial Code and 101, paragraph 1, of the Treaty on the Functioning of the European Union (TFEU), (formerly Article 81, paragraph 1, EC);</w:t>
      </w:r>
    </w:p>
    <w:p>
      <w:r>
        <w:t>(…) to the companies Royal Canin SAS and Mars Inc. for having conspired with their wholesalers [Royal Canin distribution Rhones Alpes (Rhonaldis) Normandie Loir Distribution SAS, Royal Canin Distribution Poitou SAS, Canidis SA, Ferrat Distribution SAS, Alpadis SAS, Fapac Tivadis SAS, Galetou SAS, Cazenave SARL] to establish a distribution system presenting the following competition restrictions: setting the minimum resale price to retailers, not engaging in passive sales to customers located outside the territories allocated to each wholesaler, restricting the clientele to which wholesalers can sell dry food for cats and dogs by limiting it to specialized networks, specialized stores, and breeders to the exclusion of veterinarians, restricting the distribution territory of each of them, and limiting their supplies of dry food for dogs and cats exclusively to Royal Canin products. These practices had the object or effect of preventing, distorting, or restricting intra-brand and inter-brand competition between 2004 and 2008. These practices are prohibited by the provisions of Articles L. 420-1 of the Commercial Code and 101, paragraph 1, TFEU, (formerly Article 81, paragraph 1, EC);</w:t>
      </w:r>
    </w:p>
    <w:p>
      <w:r>
        <w:t>(…) to the companies Hill’s pet nutrition SNC and Colgate-Palmolive Company for having conspired with their wholesaler, the company Oxadis SA, to establish a distribution system presenting the following competition restrictions: restricting the clientele to which the wholesaler can sell dry food for cats and dogs by limiting it to specialized networks, specialized stores, and breeders to the exclusion of veterinarians, restricting the distribution territory, and limiting its supplies of dry food for dogs and cats exclusively to Hill’s products. These practices had the object or effect of preventing, distorting, or restricting intra-brand and inter-brand competition between 2004 and 2007. These practices are prohibited by the provisions of Articles L. 420-1 of the Commercial Code and 101, paragraph 1, TFEU, (formerly Article 81, paragraph 1, EC);</w:t>
      </w:r>
    </w:p>
    <w:p>
      <w:r>
        <w:t>(…) to the companies Hill’s pet nutrition SNC and Colgate-Palmolive Company for having conspired with their veterinary wholesalers [Alcyon France SA, Centravet SA cooperative, Coveto SA cooperative, Hippocampe SA, Médicoop Services – SA cooperative] not to engage in passive sales to customers located outside the national territory between 2004 and 2008. This practice is prohibited by the provisions of Articles L. 420-1 of the Commercial Code and 101, paragraph 1, TFEU, (formerly Article 81, paragraph 1, EC)".</w:t>
      </w:r>
    </w:p>
    <w:p>
      <w:r>
        <w:t>F. IMPLEMENTATION OF III OF ARTICLE L. 464-2 OF THE COMMERCIAL CODE</w:t>
      </w:r>
    </w:p>
    <w:p>
      <w:r>
        <w:t>130. The companies Royal Canin and Mars Incorporated, on the one hand, and NPPF and Nestlé, on the other hand, which were recipients of the notification of grievances, requested the benefit of the provisions of III of Article L. 464-2 of the Commercial Code, which states: "When an organization or a company does not contest the reality of the grievances that have been notified to it, the general rapporteur may propose to the Competition Authority, which hears the parties and the Government Commissioner without prior establishment of a report, to impose the monetary sanction provided for in I, taking into account the absence of contestation. In this case, the maximum amount of the sanction incurred is reduced by half. When the company or organization also commits to modifying its behavior for the future, the general rapporteur may propose to the Competition Authority to take this into account as well in determining the amount of the sanction".</w:t>
      </w:r>
    </w:p>
    <w:p>
      <w:r>
        <w:t>131. The implementation of these provisions led to the establishment of two minutes signed on May 7, 2010, and May 18, 2010, by the representatives of the two companies, who proposed commitments. In the session, several improvements were made to the commitments proposed by the company NPPF, the final version of which is included in Annex 1 of this decision.</w:t>
      </w:r>
    </w:p>
    <w:p>
      <w:r>
        <w:t>132. To take into account the non-contestation of the grievances and the commitments proposed by the companies Royal Canin, NPPF, and their respective parent companies, the deputy general rapporteur proposed that the monetary sanction incurred by NPPF and Nestlé be reduced by a proportion ranging from 12 to 22% of the amount that would normally have been imposed on them and that incurred by Royal Canin and Mars Incorporated be reduced by a proportion ranging from 15 to 25%.</w:t>
      </w:r>
    </w:p>
    <w:p>
      <w:r>
        <w:t>II. Discussion</w:t>
      </w:r>
    </w:p>
    <w:p>
      <w:r>
        <w:t>133. The company that chooses to request the benefit of the implementation of III of Article L. 464-2 of the Commercial Code must comply with the conditions imposed in this regard, by not contesting the reality of the grievances that have been notified to it.</w:t>
      </w:r>
    </w:p>
    <w:p>
      <w:r>
        <w:t>134. The interested party must thus renounce contesting not only the reality of all the practices referred to in the notification of grievances but also the qualification that has been given to them in light of the provisions of Union law, as well as the Commercial Code, and its responsibility in the implementation of these practices. This renunciation must, on all these points, be clear, complete, and unambiguous (decision no. 04-D-42 of August 4, 2004, regarding practices implemented in the context of the market for the restoration of the spire of the cathedral of Tréguier, paragraph 15; decision no. 06-D-09 of April 11, 2006, regarding practices implemented in the door manufacturing sector, paragraph 303; see also, in this sense, decision no. 10-D-39 of December 22, 2010, regarding practices implemented in the vertical road signage sector, paragraphs 226, 228, and 425, and decision no. 11-D-07 of February 24, 2011, regarding practices implemented in the sector of painting works on metal infrastructures, paragraph 113).</w:t>
      </w:r>
    </w:p>
    <w:p>
      <w:r>
        <w:t>135. In this case, NPPF, Royal Canin, and their respective parent companies – Nestlé SA and Mars Incorporated – decided not to contest the notified grievances.</w:t>
      </w:r>
    </w:p>
    <w:p>
      <w:r>
        <w:t>136. Such a renunciation to contest the grievances referred to in paragraph 129 above, relating to the practices observed in paragraphs 16 to 128 above and committed by the parties described in paragraphs 11 to 15 above, is sufficient to allow the Authority to consider that all the violations in question are established with respect to the parties that made this procedural choice (see in this sense the ruling of the Paris Court of Appeal of January 26, 2010, Adecco France, p. 10, confirmed on this point by the ruling of the Court of Cassation of March 29, 2011, Manpower France; see also decision no. 11-D-07 mentioned above, paragraph 113; and also, in this sense, decision no. 04-D-42 mentioned above, paragraph 12). It is therefore only for the sake of clarity that the Authority will recall in its decision the established practices and the respective responsibilities of the parties.</w:t>
      </w:r>
    </w:p>
    <w:p>
      <w:r>
        <w:t>137. On the other hand, responses will be provided, both on the procedure and on the merits, to the arguments raised jointly by Hill’s and its parent company.</w:t>
      </w:r>
    </w:p>
    <w:p>
      <w:r>
        <w:t>A. ON THE PROCEDURE</w:t>
      </w:r>
    </w:p>
    <w:p>
      <w:r>
        <w:t>138. Hill’s argues that the notification of grievances could not target practices broader than those denounced by the ministerial referral. It alleges that by proceeding in this way, the Authority would have irregularly extended the scope of the referral.</w:t>
      </w:r>
    </w:p>
    <w:p>
      <w:r>
        <w:t>139. However, the Paris Court of Appeal, in its ruling of February 22, 2005, J.-C. Decaux, considered that: "the Council, which is seized in rem of all the facts and practices affecting the functioning of a market (...) is not bound by the requests and qualifications of the referring party". The court also considered, in the same ruling (the terms of which were recently recalled by the court in its ruling of January 26, 2012, Beauté Prestige International) that the Council "can, without having to seize ex officio, retain the practices revealed by the investigations it conducted following its referral which, although not expressly mentioned therein, have the same object or effect as those that have been denounced to it; it can also retain, among these practices, those that continued after its referral".</w:t>
      </w:r>
    </w:p>
    <w:p>
      <w:r>
        <w:t>140. In this case, the Competition Council, now the Competition Authority, was seized of practices implemented in the markets for the sale of food for dogs and cats in specialized circuits, which could be qualified on the basis of the provisions of Title II of Book IV of the Commercial Code.</w:t>
      </w:r>
    </w:p>
    <w:p>
      <w:r>
        <w:t>141. As noted in paragraphs 11 to 128 above, the practices notified to Hill’s, like those reproached to NPPF and Royal Canin, were such that they had the object or effect of restricting competition in the sector of marketing dry food for dogs and cats in specialized circuits.</w:t>
      </w:r>
    </w:p>
    <w:p>
      <w:r>
        <w:t>142. It follows from the above that the Authority, seized in rem, can rightly rule on the practices implemented by Hill’s in the aforementioned markets, even if this company was not explicitly targeted by the referral, as long as these practices were included in the notification of grievances."</w:t>
      </w:r>
    </w:p>
    <w:p>
      <w:r>
        <w:rPr>
          <w:b/>
        </w:rPr>
        <w:t>[Pages 31–33]</w:t>
      </w:r>
    </w:p>
    <w:p>
      <w:r>
        <w:t xml:space="preserve">B. ON THE MERITS  </w:t>
        <w:br/>
        <w:t xml:space="preserve">1. ON THE APPLICABILITY OF UNION LAW  </w:t>
        <w:br/>
        <w:t xml:space="preserve">143. Article 101, paragraph 1, of the TFEU prohibits agreements that have as their object or effect the restriction of competition and that are likely to affect trade between Member States. In its communication No. 2004/C 101/07 of April 27, 2004, concerning guidelines on the notion of affecting trade as set out in Articles 81 and 82 of the Treaty (now Articles 101 and 102 of the TFEU), the European Commission recalls that "Articles 81 and 82 of the Treaty apply to horizontal and vertical agreements and to abusive practices by companies that are likely to affect trade between Member States" (point 1) and that this current or potential effect must be significant (OJ C 291 p. 1, points 44 and following).  </w:t>
        <w:br/>
        <w:t xml:space="preserve">144. To be likely to affect trade between Member States, a decision, agreement, or concerted practice "must, based on a set of factual and legal elements, allow for a sufficient degree of probability that they may exert a direct or indirect, current or potential influence on the flow of trade between Member States" (judgment of the Court of Justice of January 21, 1999, Bagnasco e.a., C-215/96 and C-216/96, Rec. p. I-135, point 47). The Court of Cassation has specified, reiterating the terms expressed by the Court of Justice in the aforementioned judgment, that for this demonstration, "the establishment of an effect realized on intra-Community trade" is not required (judgment of the Court of Cassation of January 31, 2012, France Télécom, p. 6).  </w:t>
        <w:br/>
        <w:t xml:space="preserve">145. In cases of agreements extending to the entirety or vast majority of the territory of a Member State, the Tribunal, in a judgment of December 14, 2006, Raiffeisen Zentralbank Österreich e.a./Commission (T-259/02 to T–264/02 and T-271/02, Rec. p. II-5169, point 181), ruled "that there is, at the very least, a strong presumption that a restrictive practice of competition applied throughout the territory of a Member State is likely to contribute to the compartmentalization of markets and affect intra-Community trade." On appeal, the Court of Justice clarified in a judgment of September 24, 2009, Erste Group Bank/Commission (C-125/07 P, C-133/07 P, C-135/07 P and C-137/07 P, Rec. p. I-8681, point 38), that: "(...) the fact that an agreement only concerns the marketing of products in a single Member State is not sufficient to exclude that trade between Member States may be affected. Indeed, an agreement extending to the entire territory of a Member State has, by its very nature, the effect of consolidating national compartmentalizations, thereby hindering the economic interpenetration intended by the EC Treaty."  </w:t>
        <w:br/>
        <w:t xml:space="preserve">146. The practices examined in this case are vertical agreements concluded within the framework of exclusive distribution systems and particularly concern the pricing freedom of distributors and their ability to engage in passive sales. These practices have been implemented by the main operators in the sector and cover the entire national territory. They are therefore likely to affect trade between Member States.  </w:t>
        <w:br/>
        <w:t xml:space="preserve">147. Regarding the question of whether this effect can be classified as significant, it should be noted that the three manufacturers involved in the practices represented, at the time of the facts, the vast majority of the supply in the French market, accounting for more than 70% of sales of dog and cat food (paragraph 10 above).  </w:t>
        <w:br/>
        <w:t xml:space="preserve">148. It follows from the above that the practices at issue in this case are likely to significantly affect trade between Member States and must therefore be analyzed in light of both internal and Union competition rules, which the parties do not contest.  </w:t>
        <w:br/>
        <w:t xml:space="preserve">2. ON THE DEFINITION OF RELEVANT MARKETS  </w:t>
        <w:br/>
        <w:t xml:space="preserve">149. It follows from consistent case law of the Union courts that the obligation to delineate the market in question in a decision adopted under Article 101 of the TFEU applies to competition authorities only when, without such delineation, it is not possible to determine whether the agreement, the decision of association of companies, or the concerted practice in question has as its object or effect the prevention, restriction, or distortion of competition within the common market (judgment of the Tribunal of September 12, 2007, William Prym/Commission, T-30/05, Rec. p. II-107, point 86, citing the judgments of the Tribunal of September 15, 1998, European Night Services e.a./Commission, T-374/94, T–375/94, T–384/94 and T–388/94, Rec. p. II-3141, points 93 to 95 and 103, and of March 19, 2003, CMA CGM e.a./Commission, T–213/00, Rec. p. II-913, point 206).  </w:t>
        <w:br/>
        <w:t xml:space="preserve">150. Under domestic law, the Authority similarly considers that when the practices that have been the subject of the notification of grievances are examined under the prohibition of agreements, it is not necessary to define the market with the same precision as in cases of abuse of a dominant position. It is sufficient that the sector is defined with enough precision to assess the impact of the practices in question on competition (decision No. 11-D-19 of December 15, 2011, concerning practices implemented in the sector of articles and gadgets, paragraph 99).  </w:t>
        <w:br/>
        <w:t xml:space="preserve">151. In this case, it has been found that the respective nutritional needs of dogs and cats are specific and that it is therefore necessary to distinguish the food intended for each of these two species. Within these categories of food, it is also appropriate to separate wet food and dry food (see paragraph 3 above).  </w:t>
        <w:br/>
        <w:t xml:space="preserve">152. Furthermore, it has been noted that within the category of dry food, a range of premium products has developed, distinct from the products available in large food retail outlets, intended solely for specialized circuits, within which lower-tier products are not marketed (see paragraph 4 above). The composition of the products and their packaging also sometimes differ, even within specialized distribution, depending on whether they are intended for specialized stores, breeders, or veterinarians.  </w:t>
        <w:br/>
        <w:t xml:space="preserve">153. Finally, it has been observed that the organization of distribution in specialized circuits in France is not comparable to that observed in other European States (see paragraph 6 above).  </w:t>
        <w:br/>
        <w:t xml:space="preserve">154. It follows from the above that the relevant markets for the assessment of the practices at issue in this case can be defined as those for the sale of dry dog food in specialized distribution, whether in specialized stores or with breeders and veterinarians on national territory, on the one hand, and the sale of dry cat food in specialized distribution, whether in specialized stores or with breeders and veterinarians on national territory, on the other hand.  </w:t>
        <w:br/>
        <w:t xml:space="preserve">3. ON THE MERITS OF THE GRIEVANCES  </w:t>
        <w:br/>
        <w:t xml:space="preserve">a) On the existence of a meeting of minds between suppliers and their respective distributors  </w:t>
        <w:br/>
        <w:t xml:space="preserve">155. The proof of a vertical agreement requires the demonstration of the meeting of minds of the parties to the agreement. The Union courts consistently hold that, for there to be an agreement, "it is sufficient that at least two companies have expressed their common intention to behave on the market in a certain manner" (judgments of the Court of Justice of July 15, 1970, ACF Chemiefarma/Commission, 41/69, Rec. p. 661, point 112, of January 11, 1990, Sandoz Prodotti Farmaceutici/Commission, C-277/87, Rec. p. I-45, point 13, and of the Tribunal of October 26, 2000, Bayer/Commission, T-41/96, Rec. p. II-3383, point 67). The Court of Appeal of Paris has similarly recalled that the meeting of minds is demonstrated when the invitation of one party to implement a practice and the acquiescence of at least one other party to that invitation are established (judgment of the Court of Appeal of Paris of January 28, 2009, Epsé Joué Club). The court specified that this concurrence of wills "must be established on both sides, in the sense that it must be found that the sanctioned companies expressed their common intention to behave on the market in a certain manner" (judgment of the Court of Appeal of Paris of January 26, 2012, Beauté Prestige International, p. 42).  </w:t>
        <w:br/>
        <w:t xml:space="preserve">156. The proof of the meeting of minds between the parties can be established based on elements of any nature. The Tribunal has stated in this regard that: "(...) the notion of agreement within the meaning of Article [101, paragraph 1, of the TFEU] as interpreted by case law, is focused on the existence of a concordance of wills between at least two parties, the form of manifestation of which is not important as long as it constitutes a faithful expression of them" (judgment of the Tribunal, Bayer/Commission cited, point 69). In the same case, the Tribunal specified that "[t]he proof of an agreement between companies within the meaning of [101, paragraph 1, of the TFEU] of the Treaty must rest on the direct or indirect observation of the subjective element that characterizes the very notion of agreement, namely a concordance of wills between economic operators on the implementation of a policy, the pursuit of an objective, or the adoption of a certain behavior on the market, irrespective of how the parties' intention to behave on the market in accordance with the terms of that agreement is expressed" (judgment Bayer/Commission cited, point 173).  </w:t>
        <w:br/>
        <w:t>157. Furthermore, the Tribunal recalled, in its judgment of September 27, 2006, GlaxoSmithKline Services/Commission (T-168/01, Rec. p. II-2969, point 83, not challenged on this point by the judgment of the Court of Justice of October 6, 2009, GlaxoSmithKline Services/Commission C-501/06 P, C-513/06 P, C–515/06 P and C-519/06 P, Rec. p. I-9291), that the elements demonstrating the existence of the facts constituting a vertical restriction of competition "can constitute direct evidence, taking the form of a written document (judgment of the Tribunal of March 15, 2000, Cimenteries CBR e.a./Commission, T-25/95, T-26/95, T-30/95 to T-32/95, T-34/95 to T-39/95, T-42/95 to T-46/95, T-48/95, T-50/95 to T-65/95, T-68/95 to T-71/95, T-87/95, T-88/95, T-103/95 and T-104/95, Rec. p. II-491, point 862, and, on appeal, judgment Aalborg Portland e.a./Commission, [of January 7, 2004, C-204/00 P, C-205/00 P, C-211/00 P, C-213/00 P, C-217/00 P and C-219/00 P, Rec. p. I-123] point 237), or, failing that, indirect evidence, materialized for example by behavior (judgment Bayer/Commission, [cited] point 73, and, on appeal, judgment BAI and Commission/Bayer, [C-2/01 P and C-3/01 P, Rec. p. I-23] point 100)."</w:t>
      </w:r>
    </w:p>
    <w:p>
      <w:r>
        <w:rPr>
          <w:b/>
        </w:rPr>
        <w:t>[Pages 34–36]</w:t>
      </w:r>
    </w:p>
    <w:p>
      <w:r>
        <w:t xml:space="preserve">b) On the object and anti-competitive effects of the practices implemented by suppliers and their respective distributors  </w:t>
        <w:br/>
        <w:t xml:space="preserve">On the practices implemented by NPPF and its distributors  </w:t>
        <w:br/>
        <w:t xml:space="preserve">On the applicable law  </w:t>
        <w:br/>
        <w:t xml:space="preserve">♦ On imposed resale prices  </w:t>
        <w:br/>
        <w:t xml:space="preserve">158. The Court of Justice stated in its judgment of June 4, 2009, T-Mobile (C–8/08, Rec. p. I-4529), that a concerted practice has an anti-competitive object "when, due to its content as well as its purpose and taking into account the legal and economic context in which it is situated, it is concretely capable of preventing, restricting, or distorting competition within the common market. It is not necessary for competition to be actually prevented, restricted, or distorted nor for there to be a direct link between this concerted practice and consumer prices" (point 43).  </w:t>
        <w:br/>
        <w:t xml:space="preserve">159. In application of this case law, both Union and domestic courts have considered practices of imposed resale prices taking various forms as constituting restrictions of competition by their very object (see in particular, in this sense, the judgment of the Court of January 13, 2004, JCB/Commission, T-67/01, Rec. p. II-49, point 121, and the judgment of the Paris Court of Appeal of January 28, 2009, Epsé Joué Club, p. 9).  </w:t>
        <w:br/>
        <w:t xml:space="preserve">♦ On the prohibition of passive sales  </w:t>
        <w:br/>
        <w:t xml:space="preserve">160. While clauses aimed at granting, by a supplier, an exclusive sales territory to its distributor are not anti-competitive in themselves, clauses aimed at restricting the passive sales of these same distributors to exclusive territories may take on the character of anti-competitive practices by their very object. The Court considered in a judgment of July 7, 1994, Dunlop Slazenger/Commission that "(...) such stipulations, having the effect of compartmentalizing national markets, and thereby counteracting the objective of achieving a common market, are, by their very nature, contrary to the provisions of [Article 101, paragraph 1, of the TFEU] (T-43/92, Rec. p. II-447, point 52). In a judgment of January 13, 2004, JCB/Commission (T–67/01, Rec. p. II-49), the Court specified that a restriction imposed on the passive sales of distributors (the latter having been discouraged from selling to non-authorized distributors by the manufacturer as well as to distributors who, although authorized, were established outside their territory) "which has the object and effect of limiting outlets and dividing markets, is prohibited by Article [101, paragraph 1, sub b) and c) of the TFEU]" (point 85).  </w:t>
        <w:br/>
        <w:t xml:space="preserve">161. The Paris Court of Appeal considered similarly in a judgment of March 4, 2008, José Alvarez, that a clause prohibiting exports contained in general sales conditions restricted competition by its very object, regardless of whether it was respected in all cases, "these circumstances [not being] of a nature to remove the anti-competitive character, in itself, of the disputed clause, which, carrying a prohibition on exporting, falls by this sole fact within the provisions of Article L. 420-1, 1°, of the Commercial Code in that it has the object, in itself, of limiting access to the market or the free exercise of competition by other companies" (p. 11).  </w:t>
        <w:br/>
        <w:t xml:space="preserve">♦ On exclusivity clauses  </w:t>
        <w:br/>
        <w:t xml:space="preserve">162. Exclusivity clauses in the contractual relationships between a producer and its distributors do not, in principle, constitute anti-competitive practices by their very object. The Court of Justice has ruled, on several occasions, that exclusive purchasing agreements did not have the object of restricting competition (judgment of February 28, 1991, Delimitis, C-234/89, Rec. p. I-935, point 13 and the order of September 3, 2009, Lubricantes y Carburantes Galaicos, C-506/07, Rec. p I-186, point 30).  </w:t>
        <w:br/>
        <w:t xml:space="preserve">163. However, such clauses may restrict competition due to their actual or potential effects, particularly when these tend to restrict competitors' access to the relevant market. In this regard, it is necessary to assess not only the effect of the agreement or clause in question on the functioning of competition but also to take into account the existence in the market of other contracts of the same type in order to determine whether this agreement or clause contributes to a cumulative effect of market closure resulting from a set of similar contracts. Exclusivities that significantly contribute to the cumulative effect of market lock-in fall under the prohibition set by Articles 101 of the TFEU and L. 420-1 of the Commercial Code. The Court of Justice has specified, regarding the analysis of exclusive purchasing agreements in light of Article 81 EC, now Article 101 of the TFEU:  </w:t>
        <w:br/>
        <w:t xml:space="preserve">"The assessment of the effects of an exclusive purchasing agreement involves the necessity of taking into consideration the economic and legal context within which it is situated and where it may contribute, along with others, to a cumulative effect on the functioning of competition. It is therefore appropriate to analyze the effects produced by such a contract, in combination with other contracts of the same type, on the possibilities for national competitors or those from other Member States to establish themselves in the reference market or to expand their market share.  </w:t>
        <w:br/>
        <w:t xml:space="preserve">It is also important to examine the nature and significance of all similar contracts binding a significant number of points of sale to several suppliers and to take into account, among other elements of the economic and legal context in which the contracts are situated, those that determine the possibilities of access to the reference market. In this regard, it is necessary to examine whether there are real and concrete possibilities for a new competitor to infiltrate the bundle of contracts. It is also necessary to take into account the conditions under which competition operates in the reference market.  </w:t>
        <w:br/>
        <w:t xml:space="preserve">If the examination of all similar contracts reveals that the market in question is difficult to access, it is necessary to assess to what extent the contracts concluded by the supplier in question contribute to the cumulative effect produced by this set of contracts. The responsibility for this market closure effect must be attributed, according to community competition rules, to the suppliers who contribute significantly to it. Contracts concluded by suppliers whose contribution to the cumulative effect is insignificant do not therefore fall under the prohibition of Article 81, paragraph 1, EC. In order to assess the significance of the contribution of contracts concluded by a supplier to the cumulative blocking effect, the position of the contracting parties in the market must be taken into account. This contribution also depends on the duration of these contracts. If this duration is manifestly excessive compared to the average duration of contracts generally concluded in the relevant market, the individual contract falls under the prohibition of Article 81, paragraph 1, EC" (order Lubricantes y Carburantes Galaicos SL cited, points 30 to 32; see in the same sense, the judgment of the Court of Justice, Delimitis cited, point 13, as well as the judgments of the Court of June 8, 1995, Langnese Iglo /Commission, T-7/93, Rec. p. II-1533, points 99 to 101, and of October 23, 2003, Van den Bergh Foods/Commission, T-65/98, Rec. p. II-4653, point 83, confirmed by the order of the Court of Justice of September 28, 2006, Unilever Bestfoods, C-552/03, Rec p. I-9091, points 84 and 85).  </w:t>
        <w:br/>
        <w:t xml:space="preserve">164. Domestic courts follow the same analysis. Regarding identical distribution contracts entered into between suppliers and ice cream distributors, the Paris Court of Appeal has thus considered that "the restrictive effect on competition resulting from a set of distribution agreements must be assessed in light of the nature and significance of the contracts in the relevant market, the existence of real and concrete possibilities for a new competitor to infiltrate the bundle of contracts, and the conditions under which competition operates in the reference market, namely, in particular, the number and size of producers present in the market, the loyalty of customers to existing brands" (judgment of May 7, 2002, Masterfoods).  </w:t>
        <w:br/>
        <w:t xml:space="preserve">165. In practice, the actual or potential effect of eviction or lock-in that exclusivity clauses may generate therefore depends on many factors, including the scope and extent of the exclusivity, the share of related demand, the duration or timing of the contracts, the conditions for termination and renewal, the position of operators, and the competitive conditions prevailing in the relevant market, or even the position of customers or input suppliers (decisions No. 10-D-07 of May 25, 2010, regarding practices implemented in the market for competitive pétanque balls, paragraph 79, No. 10-D-32 of November 16, 2010, regarding practices in the pay television sector, paragraph 351, and No. 11-D-08 of April 27, 2011, regarding practices implemented by the company Accentiv'Kadéos, paragraph 91. See also, in this sense, decision No. 09-D-36 of December 9, 2009, regarding practices implemented by Orange Caraïbe and France Télécom in various markets for electronic communications services in the departments of Martinique, Guadeloupe, and Guyana, paragraph 233, as well as the European Commission's guidelines on vertical restrictions of May 19, 2010, OJ C 130, points 151 to 173).  </w:t>
        <w:br/>
        <w:t xml:space="preserve">Application to the case  </w:t>
        <w:br/>
        <w:t xml:space="preserve">♦ On NPPF's pricing policy in the market segments of specialized stores and breeders  </w:t>
        <w:br/>
        <w:t xml:space="preserve">166. In this case, it is undisputed that between 2004 and 2008, the pricing and commercial conditions applicable to specialized retailers – whether or not they are members of a purchasing or referencing center – and to breeders were established directly by NPPF without intervention from the platforms and transmitted once or twice a year to them in a document titled "summary of commercial conditions" (paragraphs 77 to 80 above). The products were first sold to the platforms and then resold by them to specialized stores and breeders, at the price agreed between NPPF and the purchasing centers, independent stores, and breeders (paragraphs 73 to 76). The platforms adhered to applying the prices without having any pricing freedom (paragraph 79).  </w:t>
        <w:br/>
        <w:t>167. It is also undisputed that by implementing these practices, which extended over a period from 2004 to 2008, NPPF colluded with its distributors on the resale prices of its products intended for specialized stores and breeders. These constitute, for the reasons recalled above, a violation of Articles 101, paragraph 1, of the TFEU and L. 420-1 of the Commercial Code.</w:t>
      </w:r>
    </w:p>
    <w:p>
      <w:r>
        <w:rPr>
          <w:b/>
        </w:rPr>
        <w:t>[Pages 37–39]</w:t>
      </w:r>
    </w:p>
    <w:p>
      <w:r>
        <w:t xml:space="preserve">♦ On the prohibition of passive sales by NPPF platforms to retail distributors in the market segments of specialized stores and breeders  </w:t>
        <w:br/>
        <w:t xml:space="preserve">168. It is undisputed that specialized stores and breeders are unable to request delivery from a wholesaler other than the one previously indicated to them by NPPF or by the wholesalers themselves (paragraphs 54 to 58 above).  </w:t>
        <w:br/>
        <w:t xml:space="preserve">169. The platforms comply with this restriction and have stated that they do not fulfill requests from retailers located outside the geographical area assigned to them by NPPF (paragraphs 59 to 60 above).  </w:t>
        <w:br/>
        <w:t xml:space="preserve">170. Furthermore, the absence of commercial flows between France and neighboring countries is undisputed, even though the supply prices for NPPF products are lower in certain other European states bordering France (paragraphs 62 to 63 above). Wholesalers located abroad are, in any case, not incentivized to sell their products abroad as these sales are not taken into account for calculating the bonuses of the company's salespeople (paragraph 65 above).  </w:t>
        <w:br/>
        <w:t xml:space="preserve">171. It is also undisputed that, by implementing these practices, which took place from 2004 to 2008, NPPF conspired with its distributors to prohibit them from engaging in passive sales. For the reasons recalled above, these constitute a violation of Articles 101, paragraph 1, of the TFEU and L. 420-1 of the Commercial Code.  </w:t>
        <w:br/>
        <w:t xml:space="preserve">♦ On the exclusivities granted by NPPF to its distributors  </w:t>
        <w:br/>
        <w:t xml:space="preserve">172. It is undisputed that NPPF established two distinct and sealed distribution systems for its premium products based on the category of retailers concerned (paragraph 16 above). Products intended for large-scale food distribution and veterinarians are distributed directly by NPPF (paragraph 17 above). Wholesale sales to breeders and specialized stores have been exclusively entrusted to a network of distribution platforms. The latter strictly adhere to this exclusivity and do not deliver to large food retail outlets or veterinarians (paragraphs 19 to 22 above).  </w:t>
        <w:br/>
        <w:t xml:space="preserve">173. It is also undisputed that these practices restrict competition, as they have tended to compartmentalize the relevant markets for certain varieties of products, with large retail chains and veterinarians unable to turn to distribution platforms, thereby preventing retailers from leveraging competition both between the platforms and between the platforms and NPPF itself.  </w:t>
        <w:br/>
        <w:t xml:space="preserve">174. Moreover, NPPF has implemented a single-brand distribution strategy for its products, aimed at ensuring exclusivity of purchase from its distributors. This commercial strategy was initially based on granting a 30% discount if the platforms sourced dog and cat food exclusively from NPPF (paragraphs 24 to 25 above). All platforms responded to this incentive (paragraphs 26 to 28 above), the effect of which was reinforced by the multitude of NPPF product references that the platforms were required to distribute, thus saturating the logistical capacities of the platforms and compelling them to adhere to single-brand distribution (paragraphs 30 to 32 above).  </w:t>
        <w:br/>
        <w:t xml:space="preserve">175. Furthermore, it is undisputed that NPPF has granted a de facto territorial exclusivity to each of its distribution platforms, which operate in given geographical areas composed of several departments (paragraphs 34 to 35 above). The process of assigning a territory to a wholesaler was based on the delivery of a document to the specialized distribution referencing centers specifying the names of all the platforms and the departments in which each of them operates. Furthermore, a map of France defining the areas of competence of each platform is provided by NPPF to the central offices and retailers (paragraph 49 above). The platforms have adhered to this exclusivity precisely, delivering to customers located outside the area assigned to them only in exceptional cases (paragraph 37 above).  </w:t>
        <w:br/>
        <w:t xml:space="preserve">176. This territorial exclusivity may have contributed to the compartmentalization of the wholesale market and weakened intra-brand competition, as retailers are less able to leverage competition between distribution platforms located in a sector other than that defined by NPPF.  </w:t>
        <w:br/>
        <w:t xml:space="preserve">177. It follows from the above that NPPF conspired with its distributors to implement customer, supply, and territorial exclusivities that have had the actual or potential effect of restricting competition and ensuring a complete sealing of distribution networks, thereby depriving retailers of the opportunity to fully leverage competition between platforms to reduce wholesale prices and pass on this reduction to retail prices. These practices, which have not been contested by the parties, must be considered as violations of Articles 101, paragraph 1, of the TFEU and L. 420-1 of the Commercial Code, without the need to further examine whether their effects have cumulatively interacted with those of the practices implemented by the other companies involved in this case.  </w:t>
        <w:br/>
        <w:t xml:space="preserve">Conclusion on the practices implemented by NPPF  </w:t>
        <w:br/>
        <w:t xml:space="preserve">178. All the practices implemented by NPPF have tended to restrict competition in the market for dry dog food and in the market for dry cat food. These practices, the materiality, legal qualification, and attribution of which have not been contested, constitute violations of Articles 101, paragraph 1, of the TFEU and L. 420-1 of the Commercial Code.  </w:t>
        <w:br/>
        <w:t xml:space="preserve">On the practices implemented by Royal Canin and its distributors  </w:t>
        <w:br/>
        <w:t xml:space="preserve">On the applicable law  </w:t>
        <w:br/>
        <w:t xml:space="preserve">179. For a reminder of the applicable law, reference is made to paragraphs 162 to 165 above.  </w:t>
        <w:br/>
        <w:t xml:space="preserve">Application to the case  </w:t>
        <w:br/>
        <w:t xml:space="preserve">♦ On the pricing policy of Royal Canin in the market segment of specialized stores belonging to a brand  </w:t>
        <w:br/>
        <w:t xml:space="preserve">180. It is undisputed that between 2004 and 2008, the pricing and commercial conditions applicable to specialized stores were established directly by Royal Canin, which prepared a framework agreement, renegotiated annually, including the base price as well as certain discounts or rebates granted to purchasing centers (paragraph 100 above). Products were first sold to independent wholesalers and then resold to the stores of the brands, at the price agreed between Royal Canin and the purchasing centers of the specialized stores. Wholesalers had no leeway in terms of pricing and did not participate in commercial and pricing negotiations (paragraph 100 above).  </w:t>
        <w:br/>
        <w:t xml:space="preserve">181. All wholesalers have stated that they complied with the prices communicated to them by Royal Canin (paragraphs 103 to 108 above). Retailers have also confirmed that they are applied these same prices by the wholesalers (paragraphs 109 to 115 above).  </w:t>
        <w:br/>
        <w:t xml:space="preserve">182. It follows from the above that Royal Canin conspired with its wholesaler-distributors, over a period from 2004 to 2008, on the resale prices of its products intended for specialized stores belonging to a brand. This practice, which has not been contested by Royal Canin and Mars Incorporated, constitutes, for the reasons recalled above, a violation of Articles 101, paragraph 1, of the TFEU and L. 420-1 of the Commercial Code.  </w:t>
        <w:br/>
        <w:t xml:space="preserve">♦ On the prohibition of passive sales by wholesalers to retail distributors in the market segments of specialized stores and breeders  </w:t>
        <w:br/>
        <w:t xml:space="preserve">183. It is undisputed that Royal Canin, between 2004 and 2008, prohibited its distributors from engaging in passive sales in the market segment of specialized stores and breeders. Several retailers of Royal Canin products have reported the impossibility of requesting delivery from a wholesaler other than the one previously indicated to them by the manufacturer (paragraph 94 above). Furthermore, one retailer reported being refused when he requested to be supplied by foreign wholesalers (paragraph 95 above).  </w:t>
        <w:br/>
        <w:t xml:space="preserve">184. It follows from the above that Royal Canin conspired with its distributors, between 2004 and 2008, to prohibit them from engaging in passive sales. This practice, which has not been contested, constitutes, for the reasons recalled above, a violation of Articles 101, paragraph 1, of the TFEU and L. 420-1 of the Commercial Code.  </w:t>
        <w:br/>
        <w:t xml:space="preserve">♦ On the exclusivities granted by Royal Canin to its distributors  </w:t>
        <w:br/>
        <w:t xml:space="preserve">185. It is undisputed that Royal Canin established, between 2004 and 2008, two distinct and sealed distribution systems for its premium products based on the category of retailers concerned (paragraphs 81 to 84 above). Products intended for specialized distribution and breeders were exclusively distributed by Royal Canin's distribution centers, whether independent or not. Products intended for the purchasing centers of veterinarians were delivered directly by Royal Canin (paragraph 82 above).  </w:t>
        <w:br/>
        <w:t xml:space="preserve">186. Royal Canin's distribution centers have confirmed that they only distribute the brand's products to specialized stores and breeders, excluding veterinarians (paragraph 83 above).  </w:t>
        <w:br/>
        <w:t xml:space="preserve">187. Furthermore, it is undisputed that this customer exclusivity constitutes a restriction of competition as it tends to compartmentalize the relevant markets for certain varieties of products, with veterinarians only able to turn to Royal Canin directly and not to its distributors, thereby limiting intra-brand competition among the different forms of distribution.  </w:t>
        <w:br/>
        <w:t xml:space="preserve">188. Moreover, Royal Canin has implemented a single-brand distribution strategy for its products, aimed at ensuring exclusivity of purchase from its distributors. This commercial strategy was initially based on the implementation of an incentive system of discounts (paragraph 87 above), the effect of which was reinforced by the multitude of references and the saturation of the logistical capacities of wholesalers, thereby effectively compelling them to adhere to single-brand distribution (paragraph 88 above).  </w:t>
        <w:br/>
        <w:t>189. All the distributors heard have confirmed that they only distribute Royal Canin products (paragraph 89 above).</w:t>
      </w:r>
    </w:p>
    <w:p>
      <w:r>
        <w:rPr>
          <w:b/>
        </w:rPr>
        <w:t>[Pages 40–42]</w:t>
      </w:r>
    </w:p>
    <w:p>
      <w:r>
        <w:t>30 % et que la durée de l’obligation de non-concurrence soit limitée à 5 ans » (point 140). En l’espèce, les contrats en cause ne contenaient pas de stipulation de non-concurrence, ce qui permet de conclure que les restrictions territoriales mises en place par Hill’s et Oxadis ne sont pas de nature à faire obstacle à la présomption de légalité.</w:t>
      </w:r>
    </w:p>
    <w:p>
      <w:r>
        <w:t>212. Il résulte de ce qui précède que les pratiques contractuelles mises en œuvre par Hill’s à l’égard d’Oxadis sur le segment des magasins spécialisés et des éleveurs ne constituent pas une violation des articles 101, paragraphe 1, du TFUE et L. 420-1 du code de commerce.</w:t>
      </w:r>
    </w:p>
    <w:p>
      <w:r>
        <w:rPr>
          <w:b/>
        </w:rPr>
        <w:t>[Pages 43–45]</w:t>
      </w:r>
    </w:p>
    <w:p>
      <w:r>
        <w:t>actions de Hill’s, au motif que cette dernière ne serait pas en mesure de contribuer à la mise en œuvre des pratiques en cause.</w:t>
      </w:r>
    </w:p>
    <w:p>
      <w:r>
        <w:t>228. Toutefois, il convient de rappeler que, selon la jurisprudence de l’Union, la responsabilité d’une société mère peut être engagée même si elle n’a pas directement participé aux pratiques anticoncurrentielles, dès lors que sa filiale agit en tant qu’unité économique au sein d’un groupe.</w:t>
      </w:r>
    </w:p>
    <w:p>
      <w:r>
        <w:t>229. En l’espèce, les éléments du dossier montrent que Hill’s a agi en tant que filiale de Colgate Palmolive et que les pratiques en cause peuvent être imputées à cette dernière.</w:t>
      </w:r>
    </w:p>
    <w:p>
      <w:r>
        <w:t>230. Par conséquent, il y a lieu d’imputer les pratiques aux sociétés Hill’s et Colgate Palmolive, cette dernière étant la société mère de Hill’s.</w:t>
      </w:r>
    </w:p>
    <w:p>
      <w:r>
        <w:t>4. SUR L’EXAMEN DES PRATIQUES EN CAUSE</w:t>
      </w:r>
    </w:p>
    <w:p>
      <w:r>
        <w:t>a) Rappel des principes</w:t>
      </w:r>
    </w:p>
    <w:p>
      <w:r>
        <w:t>231. Les pratiques anticoncurrentielles doivent être examinées à la lumière des dispositions des articles 101 et 102 du TFUE, qui interdisent les ententes et abus de position dominante.</w:t>
      </w:r>
    </w:p>
    <w:p>
      <w:r>
        <w:t>232. L’article 101 du TFUE prohibe les accords entre entreprises qui ont pour objet ou pour effet d’empêcher, de restreindre ou de fausser le jeu de la concurrence sur le marché intérieur.</w:t>
      </w:r>
    </w:p>
    <w:p>
      <w:r>
        <w:t>233. L’article 102 du TFUE interdit à une ou plusieurs entreprises occupant une position dominante sur le marché intérieur ou une partie substantielle de celui-ci d’abuser de cette position.</w:t>
      </w:r>
    </w:p>
    <w:p>
      <w:r>
        <w:t>234. Pour établir une infraction aux articles 101 et 102 du TFUE, il convient de démontrer l’existence d’un comportement anticoncurrentiel et son impact sur le marché.</w:t>
      </w:r>
    </w:p>
    <w:p>
      <w:r>
        <w:t>b) Appréciation des pratiques en cause</w:t>
      </w:r>
    </w:p>
    <w:p>
      <w:r>
        <w:t>235. Les pratiques mises en œuvre par NPPF, Nestlé SA, Royal Canin, Hill’s et Colgate Palmolive doivent être analysées pour déterminer si elles ont eu pour effet de restreindre la concurrence sur le marché des aliments pour animaux.</w:t>
      </w:r>
    </w:p>
    <w:p>
      <w:r>
        <w:t>236. Il ressort des éléments du dossier que les pratiques en cause consistent en des clauses d’exclusivité et des restrictions territoriales qui peuvent avoir un impact sur la concurrence.</w:t>
      </w:r>
    </w:p>
    <w:p>
      <w:r>
        <w:t>237. En conséquence, il est nécessaire d’examiner si ces pratiques ont eu pour effet de fausser le jeu de la concurrence sur le marché des aliments pour animaux, en tenant compte des parts de marché des entreprises concernées et de la structure du marché.</w:t>
      </w:r>
    </w:p>
    <w:p>
      <w:r>
        <w:t>238. Les éléments de preuve recueillis montrent que les pratiques en cause ont eu un impact sur la concurrence, en limitant l’accès des distributeurs à certains marchés et en restreignant la capacité des consommateurs à bénéficier de prix compétitifs.</w:t>
      </w:r>
    </w:p>
    <w:p>
      <w:r>
        <w:t>239. Par conséquent, il convient de conclure que les pratiques mises en œuvre par NPPF, Nestlé SA, Royal Canin, Hill’s et Colgate Palmolive sont contraires aux règles de concurrence établies par le TFUE.</w:t>
      </w:r>
    </w:p>
    <w:p>
      <w:r>
        <w:rPr>
          <w:b/>
        </w:rPr>
        <w:t>[Pages 46–48]</w:t>
      </w:r>
    </w:p>
    <w:p>
      <w:r>
        <w:t>on the attribution of practices to Hill’s and Colgate Palmolive</w:t>
      </w:r>
    </w:p>
    <w:p>
      <w:r>
        <w:t>227. Hill’s and Colgate Palmolive argue that the investigation services were unfounded in notifying grievances to Colgate Palmolive, the parent company ultimately holding 100% of the shares in the latter. They allege that Hill’s independently determines its current commercial policy in the French market, an argument that leads to overturning the presumption that these two companies constitute a single entity within the meaning of competition law.</w:t>
      </w:r>
    </w:p>
    <w:p>
      <w:r>
        <w:t>228. In support of these allegations, Hill’s and Colgate assert that the contracts referred to in the grievances were negotiated and concluded directly by Hill’s without intervention or validation from its parent company. They add that Hill’s is a separate operational division within the Colgate Palmolive group, operating in markets different from those in which the other companies of the group are involved. They specify in this regard that each national subsidiary of the group has its own operations and management and adopts a relatively autonomous and decentralized marketing strategy that it deems best suited to its market. The fact that Hill’s decided not to renew the contractual relationships it had with its distributor Oxadis, thereby fully internalizing the distribution function, would suffice to establish the independence of the subsidiary from the parent company, as this type of organization is not found in any other national subsidiary of the group.</w:t>
      </w:r>
    </w:p>
    <w:p>
      <w:r>
        <w:t>229. As recalled in paragraph 222 above, it is incumbent upon the parties seeking to rebut the presumption of economic unity between the parent company and its wholly-owned subsidiary to provide sufficient evidence to demonstrate that their subsidiary was behaving autonomously in the market at the time of the facts.</w:t>
      </w:r>
    </w:p>
    <w:p>
      <w:r>
        <w:t>230. In this case, the allegations of Hill’s and Colgate Palmolive are not supported by any evidence allowing for the conclusion that Hill’s independently determines its commercial policy. Indeed, Hill’s and Colgate Palmolive merely provide assertions that are not corroborated by any detailed evidence (meeting minutes, general assembly minutes, internal memos, etc.). Furthermore, the allegations that Hill’s negotiated the contracts referred to in the notification of grievances alone, that these contracts were not co-signed by its parent company, that it did not renew its relationships with its distributor, and ultimately internalized this function, do not establish that this company determines its course of action in the market autonomously. Indeed, the Court of Justice considers it irrelevant whether the parent company did not encourage its subsidiary to commit an infringement or whether it was not directly involved in such an infringement, as these elements do not undermine the fact that these two entities form a single economic unit, and thus, a single company (see in this sense the judgment, General Química e.a./Commission cited above, paragraph 102).</w:t>
      </w:r>
    </w:p>
    <w:p>
      <w:r>
        <w:t>231. It cannot also be inferred from Hill’s intervention in markets that differ from those in which the other subsidiaries of the group operate that it determines its strategy autonomously, as the parent company may, on the contrary, find it advantageous for its subsidiaries to implement differentiated commercial strategies, without this undermining the existence of an economic unit between the parent company and the latter.</w:t>
      </w:r>
    </w:p>
    <w:p>
      <w:r>
        <w:t>232. It follows from the above that the practices should be attributed to Hill’s as the author of the practices as well as to Colgate Palmolive, in its capacity as the parent company.</w:t>
      </w:r>
    </w:p>
    <w:p>
      <w:r>
        <w:t>C. ON SANCTIONS</w:t>
      </w:r>
    </w:p>
    <w:p>
      <w:r>
        <w:t>233. Article L. 464-2, paragraph I of the Commercial Code and Article 5 of Regulation (EC) No. 1/2003 of the Council of December 16, 2002, concerning the implementation of the competition rules provided for in Articles 81 and 82 of the Treaty (Articles 101 and 102 TFEU) empower the Authority to impose monetary sanctions on companies and organizations engaging in anti-competitive practices prohibited by Articles L. 420-1 of the Commercial Code and 101 TFEU.</w:t>
      </w:r>
    </w:p>
    <w:p>
      <w:r>
        <w:t>234. Under the fourth paragraph of Article L. 464-2, paragraph I of the Commercial Code, the maximum monetary sanction that can be imposed on a company is "10% of the highest amount of worldwide turnover excluding taxes achieved during one of the financial years ending since the financial year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235. The third paragraph of Article L. 464-2, paragraph I of the Commercial Code provides that "monetary sanctions are proportionate to the seriousness of the alleged facts, the importance of the damage caused to the economy, the individual situation of the sanctioned organization or company or the group to which the company belongs, and the possible repetition of practices prohibited by [Title VI of Book IV of the Commercial Code]. They are determined individually for each sanctioned company or organization and reasoned for each sanction."</w:t>
      </w:r>
    </w:p>
    <w:p>
      <w:r>
        <w:t>236. In this case, the Authority will assess these legal criteria according to the practical modalities described in its press release of May 16, 2011, concerning the method for determining monetary sanctions.</w:t>
      </w:r>
    </w:p>
    <w:p>
      <w:r>
        <w:t>237. Each of the companies involved in this case has been given the opportunity to make observations on the main elements of law and fact in the file that could, according to the investigation services, influence the determination of the sanction that may be imposed on it, following the receipt of the notification of grievances, the report, and the supplementary report dated July 19, 2011, describing these various elements. The presentation of these various elements by the investigation services does not prejudge the assessment of the board on the sanction, which is solely within its deliberation.</w:t>
      </w:r>
    </w:p>
    <w:p>
      <w:r>
        <w:t>1. ON THE VALUE OF SALES</w:t>
      </w:r>
    </w:p>
    <w:p>
      <w:r>
        <w:t>238. The value of sales of all categories of products related to the infringement made in France by the company involved, during its last complete accounting year of participation in this infringement, may be usefully retained as the basis for its sanction. Certainly, the Commercial Code does not require the Authority to proceed in this manner (judgment of the Court of Cassation of May 13, 1997, Société française de transports Gondrand frères). Nevertheless, this parameter can be considered an appropriate and objective reference for proportionately determining on a case-by-case basis the basis of the individual sanction to the economic magnitude of the infringement in question, on the one hand, and the relative weight in the affected sector of each company that participated, on the other hand, in light of consistent case law from the Union courts (judgments of the Court of Justice of June 7, 1983, Musique diffusion française/Commission, 100/80, Rec. p. 1825, paragraphs 119 to 121, and of September 3, 2009, Papierfabrik August Koehler e.a./Commission, C-322/07P, C-327/07P and C-338/07P, Rec. p. I-7191, paragraph 314).</w:t>
      </w:r>
    </w:p>
    <w:p>
      <w:r>
        <w:t>239. This case law, even if not directly applicable, nonetheless constitutes a useful reference point for the concrete exercise of the discretionary power that the Authority has in determining sanctions, within the framework provided by Article L. 464-2, paragraph I of the Commercial Code and in compliance with the general principles of law, insofar as the sanctions imposed in this case by the Authority relate to an infringement of both Article L. 420-1 of the Commercial Code and Article 101 TFEU.</w:t>
      </w:r>
    </w:p>
    <w:p>
      <w:r>
        <w:t>240. The Authority has therefore committed to determining the base amount of the sanctions it pronounces by referring to this notion as the basis.</w:t>
      </w:r>
    </w:p>
    <w:p>
      <w:r>
        <w:t>241. Furthermore, while the Authority may impose multiple sanctions on each company or organization involved in cases where, as is the case here, the party has committed multiple infringements (judgment of the Court of Cassation of June 29, 2007, société Bouygues Télécom), it is also free, given the relatedness of the sectors or markets involved, on the one hand, and the general purpose of the practices, on the other hand, to impose a single monetary sanction for multiple infringements on each of the companies involved (see the judgments of the Court of Cassation of November 22, 2005, société Dexxon Data Media, and of the Paris Court of Appeal of January 28, 2009, Epsé Joué Club, p. 20). In this case, given the relatedness of the dry food markets for dogs and cats intended for specialized circuits and the fact that the practices, considered as a whole, aimed to lock these markets, the Authority will impose a single sanction on each of the parties involved, taking into account, for this purpose, a single value of sales as the basis, in relation to all the practices in question.</w:t>
      </w:r>
    </w:p>
    <w:p>
      <w:r>
        <w:t>242. For NPPF, the value of sales retained will correspond to the sales of dry dog food to distribution platforms intended for specialized stores and breeders in France, on the one hand, and to the sales of dry cat food to distribution platforms intended for specialized stores and breeders in France, on the other hand.</w:t>
      </w:r>
    </w:p>
    <w:p>
      <w:r>
        <w:t>243. For Royal Canin, the value of sales retained will correspond to the sales of dry dog food to its independent wholesale distributors intended for specialized stores and breeders in France, on the one hand, and to the sales of dry cat food to its independent wholesale distributors intended for specialized stores and breeders in France, on the other hand.</w:t>
      </w:r>
    </w:p>
    <w:p>
      <w:r>
        <w:t>244. For Hill’s, the value of sales retained will correspond to the sales of dry dog food in France to wholesale distributors intended for veterinarians, on the one hand, and to the sales of dry cat food in France to wholesale distributors intended for veterinarians, on the other hand.</w:t>
      </w:r>
    </w:p>
    <w:p>
      <w:r>
        <w:t>245. Given the individual participation of each company involved in the infringements, as established above in paragraphs 225 and following, the complete accounting year retained to determine this value of sales will, considering the numerical data available to the Authority, be the year 2008.</w:t>
      </w:r>
    </w:p>
    <w:p>
      <w:r>
        <w:t>246. In light of the preceding considerations, the table below summarizes the values of sales serving as the basis for the individual sanction of each of the parties.</w:t>
      </w:r>
    </w:p>
    <w:p>
      <w:r>
        <w:rPr>
          <w:b/>
        </w:rPr>
        <w:t>[Pages 49–51]</w:t>
      </w:r>
    </w:p>
    <w:p>
      <w:r>
        <w:t>of prices peut être réalisée sans perte significative de clients.</w:t>
      </w:r>
    </w:p>
    <w:p>
      <w:r>
        <w:t>261. En conséquence, l’Autorité considère que les pratiques mises en œuvre par NPPF, Royal Canin et Hill’s ont eu un impact significatif sur la concurrence dans le secteur concerné, entraînant un dommage à l’économie qui doit être pris en compte dans la détermination du montant de base de la sanction.</w:t>
      </w:r>
    </w:p>
    <w:p>
      <w:r>
        <w:t>262. En résumé, la gravité des faits, l’importance du dommage causé à l’économie, ainsi que la durée des pratiques, justifient une sanction proportionnée à la gravité des infractions constatées.</w:t>
      </w:r>
    </w:p>
    <w:p>
      <w:r>
        <w:rPr>
          <w:b/>
        </w:rPr>
        <w:t>[Pages 52–54]</w:t>
      </w:r>
    </w:p>
    <w:p>
      <w:r>
        <w:t>the price paid by consumers does not lead to a significant reduction in the quantities sold.</w:t>
      </w:r>
    </w:p>
    <w:p>
      <w:r>
        <w:t>261. However, as highlighted by NPPF and Royal Canin, the various anti-competitive practices implemented by the companies involved have taken place at the wholesale resale stage. As a result, the practices implemented in the upstream market for the supply of wholesalers did not prevent inter-brand competition through variety and pricing from occurring at the retailer level. In this case, it was found that the branded stores were able to exercise genuine negotiating power regarding pricing during the period of the practices due to their direct negotiations with suppliers. It follows that the imposed pricing practices implemented by NPPF and their wholesaler-distributors did not lead to a uniformity of prices applied to retail distributors.</w:t>
      </w:r>
    </w:p>
    <w:p>
      <w:r>
        <w:t>262. Furthermore, as pointed out by the three companies involved, the significance of transportation and logistics costs, compared to the average profit margins of wholesaler-distributors, may have discouraged deliveries to customers located outside their trading area, which limited the potential gains that could have resulted from competition among wholesalers.</w:t>
      </w:r>
    </w:p>
    <w:p>
      <w:r>
        <w:t>263. In this sense, the conjunction of the various practices implemented by NPPF and Royal Canin and their respective wholesalers, particularly the clauses of single-branding (eliminating inter-brand competition at the level of each wholesaler-distributor) and territorial exclusivities, even if not absolute (significantly reducing intra-brand competition), has produced a market closure effect detrimental to competition. It was noted above that the market for the sale of dry dog and cat food is characterized by significant barriers to entry, resulting in particular from the multiplicity of product ranges and the importance of logistics and training costs. The supply exclusivities implemented by NPPF and Royal Canin may have reinforced these barriers to entry in that, despite the relatively limited duration of the supply contracts, it is unlikely that new entrants could have convinced the exclusive wholesalers of the two manufacturers to challenge said exclusivities to market products that, in the short term, could only capture a marginal share of the market. In this context, the resources necessary for a new entrant to internalize the distribution function proved to be particularly high.</w:t>
      </w:r>
    </w:p>
    <w:p>
      <w:r>
        <w:t>264. It follows from the above that the damage to the economy resulting from the practices implemented by NPPF and Royal Canin is certain but moderate. It is extremely limited, if not non-existent, regarding the practice implemented by Hill’s.</w:t>
      </w:r>
    </w:p>
    <w:p>
      <w:r>
        <w:t>Conclusion on the proportion of the value of sales</w:t>
      </w:r>
    </w:p>
    <w:p>
      <w:r>
        <w:t>265. Given the assessment made above regarding the severity of the facts and the importance of the damage caused to the economy, the Authority will retain, to determine the base amount of the sanction, a proportion of [5–10%] of the value of sales for the company NPPF and a proportion of [5–10%] of the value of sales for the company Royal Canin.</w:t>
      </w:r>
    </w:p>
    <w:p>
      <w:r>
        <w:t>266. As for Hill’s, the Authority will retain a proportion of [3–7%] of the value of sales taken into account.</w:t>
      </w:r>
    </w:p>
    <w:p>
      <w:r>
        <w:t>b) On the duration of the practices</w:t>
      </w:r>
    </w:p>
    <w:p>
      <w:r>
        <w:t>267. As indicated above, the duration of the infringement is a factor that should be taken into account in assessing both the severity of the facts and the importance of the damage caused to the economy. Indeed, the longer an infringement lasts, the more substantial and persistent the harm it causes to the competitive process and the disruption it brings to the functioning of the sector in question and more generally to the economy is likely to be.</w:t>
      </w:r>
    </w:p>
    <w:p>
      <w:r>
        <w:t>268. In the case of infringements that have lasted more than one year, as in this case, the Authority has committed to taking their duration into account according to the following practical modalities. The proportion retained to give a numerical translation to the severity of the facts and the importance of the damage to the economy is applied once, for the first full year of infringement, to the value of sales made during the reference accounting period, and then to half of that value for each of the subsequent full years. Beyond the last full year of participation in the infringement, the remaining period is taken into account on a monthly basis, as far as the elements of the file allow.</w:t>
      </w:r>
    </w:p>
    <w:p>
      <w:r>
        <w:t>269. In each specific case, this method thus results in a multiplier coefficient, defined proportionally to the individual duration of the company's participation in the infringement and applied to the proportion of the value of sales made by it during the accounting period retained as a reference.</w:t>
      </w:r>
    </w:p>
    <w:p>
      <w:r>
        <w:t>270. In this case, it has been established, and was not contested by the parties concerned, that NPPF and Royal Canin implemented several collusive practices with their wholesaler-distributors, at least from January 1, 2004, to December 31, 2008. It has also been established that Hill’s colluded with its veterinary wholesalers, at least from January 1, 2004, to December 31, 2008.</w:t>
      </w:r>
    </w:p>
    <w:p>
      <w:r>
        <w:t>271. The multiplier factor is therefore determined, given the identical durations of the various practices implemented by NPPF, Royal Canin, and Hill’s, as follows:</w:t>
        <w:br/>
        <w:t>- 1 for the first year of infringement;</w:t>
        <w:br/>
        <w:t>- 0.5 multiplied by the four other full years of the infringement, resulting in a coefficient of 2.</w:t>
      </w:r>
    </w:p>
    <w:p>
      <w:r>
        <w:t>272. It is thus set at 3.</w:t>
      </w:r>
    </w:p>
    <w:p>
      <w:r>
        <w:t>c) Conclusion on the determination of the base amount</w:t>
      </w:r>
    </w:p>
    <w:p>
      <w:r>
        <w:t>273. It follows from all of the above that, in light of the severity of the facts and the importance of the damage caused to the economy by the practices in question as assessed above, the base amount of the financial sanction determined in proportion to the sales of products related to the infringements, made by each of the parties involved, on the one hand, and its individual duration of participation in these infringements, on the other hand, is as follows:</w:t>
      </w:r>
    </w:p>
    <w:p>
      <w:r>
        <w:t>Party involved Base amount (in €)</w:t>
        <w:br/>
        <w:t>NPPF 18,576,000</w:t>
        <w:br/>
        <w:t>Royal Canin 10,102,800</w:t>
        <w:br/>
        <w:t>Hill’s 4,056,000</w:t>
      </w:r>
    </w:p>
    <w:p>
      <w:r>
        <w:t>3. ON THE CONSIDERATION OF CIRCUMSTANCES PARTICULAR TO EACH COMPANY</w:t>
      </w:r>
    </w:p>
    <w:p>
      <w:r>
        <w:t>274. The Authority then committed to adapting the base amounts retained above in light of the criterion relating, as provided by law, to the individual situation of each company involved or the group to which it belongs.</w:t>
      </w:r>
    </w:p>
    <w:p>
      <w:r>
        <w:t>275. To this end, and depending on the specific elements of each case, the Authority may take into account various mitigating or aggravating circumstances characterizing the behavior of each company in the context of its participation in the infringement, as well as other relevant objective elements relating to its individual situation. This consideration may, depending on the cases, lead to adjusting the sanction both upwards and downwards.</w:t>
      </w:r>
    </w:p>
    <w:p>
      <w:r>
        <w:t>a) On the individual situation of NPPF</w:t>
      </w:r>
    </w:p>
    <w:p>
      <w:r>
        <w:t>On the size, economic power, and overall resources of NPPF and its parent company</w:t>
      </w:r>
    </w:p>
    <w:p>
      <w:r>
        <w:t>On the applicable law</w:t>
      </w:r>
    </w:p>
    <w:p>
      <w:r>
        <w:t>276. Article L. 464-2 of the Commercial Code requires the Authority to proportion the sanctions it imposes, in particular, to the individual situation of the company involved or the group to which it belongs.</w:t>
      </w:r>
    </w:p>
    <w:p>
      <w:r>
        <w:t>277. This assessment may lead to taking into account the scale of the company involved or the group to which it belongs (see, in this sense, the ruling of the Court of Cassation of April 28, 2004, Companies Colas Rail and Jean Lefebvre).</w:t>
      </w:r>
    </w:p>
    <w:p>
      <w:r>
        <w:t>278. The consistent case law of the Union courts is in the same vein. While indicating that the use of the value of sales of the company involved allows for proportioning the basis of the sanction to the economic magnitude of the infringement and the relative weight of the party concerned in the sector or market in question, it indeed recalls that it is legitimate to take into account, at the same time, the overall turnover of this company, as it is likely to provide an indication of its size, economic power, and resources (judgments of the Court of Justice Music Diffusion Française/Commission, 100/80, Rec. p. 1825, points 119 to 121, and of June 26, 2006, Showa Denko/Commission, C-289/04, Rec. p. I-5859, points 16 and 17) without prejudice to the examination of any difficulties affecting its contributory capacity (judgment of the Tribunal of April 29, 2004, Tokai Carbon e.a./Commission, T-236/01, T-239/01, T-244/01 to T-246/01, T-251/01 and T-252/01, Rec. p. II-1181, point 242).</w:t>
      </w:r>
    </w:p>
    <w:p>
      <w:r>
        <w:t>279. In fact, the circumstance that a company has, beyond the sole products or services related to the infringement, a significant scope of activities, or that it has significant financial power, may justify that the sanction imposed on it, in</w:t>
      </w:r>
    </w:p>
    <w:p>
      <w:r>
        <w:rPr>
          <w:b/>
        </w:rPr>
        <w:t>[Pages 55–57]</w:t>
      </w:r>
    </w:p>
    <w:p>
      <w:r>
        <w:t>279. In fact, the circumstance that a company has, beyond the products or services related to the infringement, a significant scope of activities, or that it has substantial financial power, may justify that the sanction imposed on it, in consideration of a given infringement, is higher than if this were not the case. Otherwise, such a sanction would indeed not be proportionate, all else being equal, to the individual situation of the party concerned (see, in this sense, decision No. 11-D-02 of the Authority dated January 26, 2011, regarding practices implemented in the sector of the restoration of historical monuments, paragraph 700).</w:t>
      </w:r>
    </w:p>
    <w:p>
      <w:r>
        <w:t>280. The consistent case law of the aforementioned Court of Justice is in the same vein. It states that, based on the not only punitive but also deterrent objective of fines attached to the violation of the Union's competition rules – an objective also highlighted regarding the sanctions that may be imposed in the event of a violation of competition rules, by the judgment of the European Court of Human Rights of September 27, 2011, Menarini Diagnostics/Italy (application No. 43509/08, paragraph 41) – the European Commission or the Court is entitled to consider that a significant overall turnover compared to that of other participants in a cartel justifies an increase in the fine (Showa Denko/Commission judgment, points 18; see also, in this sense, Tribunal judgment of May 17, 2011, Elf Aquitaine/Commission, not yet published, paragraph 253). The Union judge has, for example, confirmed the legality of a decision by the European Commission increasing the base amount of the previously determined sanction by 70% (Elf Aquitaine/Commission judgment, points 254 to 257 and 285).</w:t>
      </w:r>
    </w:p>
    <w:p>
      <w:r>
        <w:t>281. The Authority will take into account the size, economic power, and resources of the groups to which the companies involved in this case are linked and within which they consolidate their accounts.</w:t>
      </w:r>
    </w:p>
    <w:p>
      <w:r>
        <w:t>Application to the case</w:t>
      </w:r>
    </w:p>
    <w:p>
      <w:r>
        <w:t>282. NPPF belongs to the Nestlé group, an international entity that holds highly recognized brands and whose overall resources are considerable. Its consolidated turnover achieved worldwide in 2009 was €75.063 billion.</w:t>
      </w:r>
    </w:p>
    <w:p>
      <w:r>
        <w:t>283. In light of these elements, the base amount of the monetary sanction for NPPF must, to be proportionate to the individual situation of NPPF and the group to which it belongs, be increased by 25% and raised to €23,220,000.</w:t>
      </w:r>
    </w:p>
    <w:p>
      <w:r>
        <w:t>On the verification of the applicable legal maximum</w:t>
      </w:r>
    </w:p>
    <w:p>
      <w:r>
        <w:t>284. The highest known consolidated worldwide turnover excluding taxes achieved by Nestlé SA, which includes the turnover of NPPF, was €75.063 billion in 2009. Due to the implementation of the procedure for not contesting the grievances, the maximum amount of the sanction for NPPF and Nestlé SA thus amounts to €3,753,150,000 concerning them. This amount exceeds the amount mentioned in paragraph 283 above.</w:t>
      </w:r>
    </w:p>
    <w:p>
      <w:r>
        <w:t>b) On the individual situation of Royal Canin</w:t>
      </w:r>
    </w:p>
    <w:p>
      <w:r>
        <w:t>On the size, economic power, and overall resources of Royal Canin and its parent company</w:t>
      </w:r>
    </w:p>
    <w:p>
      <w:r>
        <w:t>On the applicable law</w:t>
      </w:r>
    </w:p>
    <w:p>
      <w:r>
        <w:t>285. Reference is made to the elements recalled in paragraphs 276 and following above.</w:t>
      </w:r>
    </w:p>
    <w:p>
      <w:r>
        <w:t>Application to the case</w:t>
      </w:r>
    </w:p>
    <w:p>
      <w:r>
        <w:t>286. Royal Canin belongs to the Mars Incorporated group, an international entity that holds highly recognized brands and whose overall financial resources are considerable. Its consolidated turnover achieved worldwide in 2009 was €20.167 billion.</w:t>
      </w:r>
    </w:p>
    <w:p>
      <w:r>
        <w:t>287. In light of these elements, the base amount of the monetary sanction for Royal Canin must, to be proportionate to the individual situation of NPPF and the group to which it belongs, be increased by 15% and raised to €11,618,220.</w:t>
      </w:r>
    </w:p>
    <w:p>
      <w:r>
        <w:t>On the reiteration</w:t>
      </w:r>
    </w:p>
    <w:p>
      <w:r>
        <w:t>On the applicable law</w:t>
      </w:r>
    </w:p>
    <w:p>
      <w:r>
        <w:t>288. As emphasized by the Competition Council in its decision No. 07-D-33 of October 15, 2007, regarding practices implemented by France Télécom in the broadband Internet access sector, the reiteration referred to in Article L. 464-2, I of the Commercial Code constitutes an aggravating circumstance justifying an increase in the amount of the sanction (paragraph 111).</w:t>
      </w:r>
    </w:p>
    <w:p>
      <w:r>
        <w:t>289. Reiteration can be retained when four conditions are met:</w:t>
        <w:br/>
        <w:t>- a previous infringement of competition law must have been established before the end of the new practices;</w:t>
        <w:br/>
        <w:t>- the latter must be identical or similar, in their object or effect, to those that were the subject of the previous finding of infringement;</w:t>
        <w:br/>
        <w:t>- the latter must have become definitive on the date when the Competition Authority rules on the new practices;</w:t>
        <w:br/>
        <w:t>- the time elapsed between the previous finding of infringement and the start of the new practices must be taken into account to call for a proportionate response to the propensity of the company to disregard competition rules (see, for the reminder of these four conditions, decision No. 09-D-36 of December 9, 2009, regarding practices implemented by Orange Caraïbe and France Télécom in various markets for electronic communications services in the departments of Martinique, Guadeloupe, and Guyana).</w:t>
      </w:r>
    </w:p>
    <w:p>
      <w:r>
        <w:t>Application to the case</w:t>
      </w:r>
    </w:p>
    <w:p>
      <w:r>
        <w:t>290. In this case, Royal Canin has implemented several collusive practices, qualified in paragraphs 180 to 194 above. These anti-competitive practices were implemented after the finding by the Council, in decision No. 05-D-32 of June 22, 2005, of imposed resale prices and customer restriction agreements implemented by Royal Canin and some of its distributors. These behaviors had the object and effect, as in the present case, of restricting intra-brand competition on Royal Canin products. This finding of infringement has become definitive, as the judgment of the Court of Appeal of April 4, 2006, has not been subject to a cassation appeal.</w:t>
      </w:r>
    </w:p>
    <w:p>
      <w:r>
        <w:t>291. It is necessary to take into account the time, in this case very short, between the two infringements committed by Royal Canin. The latter was aware of the competition rules for which it had been sanctioned, which should have prompted it to cease the practices in question in this case.</w:t>
      </w:r>
    </w:p>
    <w:p>
      <w:r>
        <w:t>292. This analysis is not called into question by the allegations of Royal Canin and Mars Incorporated that the partial continuation of the practices would be due to difficulties in modifying the structure of their animal feed distribution network and not to a desire to reiterate these practices. Indeed, Royal Canin's decision to opt for an integration of the wholesale distribution function had not been imposed by the Competition Council or the Court of Appeal and depended on its own strategic choices. Therefore, the circumstance that the extent of this strategic choice, or any other reason, led Royal Canin to reiterate the previously established infringements does not undermine the existence of a reiteration within the meaning of I of Article L. 464-2 of the Commercial Code.</w:t>
      </w:r>
    </w:p>
    <w:p>
      <w:r>
        <w:t>293. Furthermore, contrary to what the companies involved argue, the finding of a reiteration is not called into question by the circumstance that the practices criticized were terminated on September 1, 2009, the date on which Royal Canin fully internalized the wholesale distribution function. Indeed, as noted in the previous paragraph, the decision to integrate its wholesale distributors depended solely on the choice of Royal Canin and cannot undermine the fact that the infringements it reiterated persisted between 2004 and 2008, despite the existence of a prior finding of infringement.</w:t>
      </w:r>
    </w:p>
    <w:p>
      <w:r>
        <w:t>294. It follows from the above that Royal Canin is in a situation of reiteration as provided for by I of Article L. 464-2 of the Commercial Code. This reiteration justifies, in the circumstances of the case, an increase of 25% of the sanction that will be imposed on Royal Canin. The amount of the sanction is therefore raised to €14,522,775.</w:t>
      </w:r>
    </w:p>
    <w:p>
      <w:r>
        <w:t>On the verification of the applicable legal maximum</w:t>
      </w:r>
    </w:p>
    <w:p>
      <w:r>
        <w:t>295. The highest known consolidated worldwide turnover excluding taxes achieved by Mars Incorporated, which includes the turnover of Royal Canin, was €20.167 billion in 2009. Due to the implementation of the procedure for not contesting the grievances, the maximum amount of the sanction for Royal Canin and Mars Incorporated thus amounts to €1,008,350,000 concerning them. This amount exceeds the amount mentioned in paragraph 294 above.</w:t>
      </w:r>
    </w:p>
    <w:p>
      <w:r>
        <w:t>c) On the individual situation of Hill’s</w:t>
      </w:r>
    </w:p>
    <w:p>
      <w:r>
        <w:t>On the size, economic power, and overall resources of Hill’s and its parent company</w:t>
      </w:r>
    </w:p>
    <w:p>
      <w:r>
        <w:t>On the applicable law</w:t>
      </w:r>
    </w:p>
    <w:p>
      <w:r>
        <w:t>296. Reference is made to the elements recalled in paragraphs 276 and following above.</w:t>
      </w:r>
    </w:p>
    <w:p>
      <w:r>
        <w:t>Application to the case</w:t>
      </w:r>
    </w:p>
    <w:p>
      <w:r>
        <w:t>297. Hill’s belongs to the Colgate Palmolive group, an international entity that holds highly recognized brands and whose overall resources are considerable. Its consolidated turnover achieved worldwide in 2009 was €10.974 billion.</w:t>
      </w:r>
    </w:p>
    <w:p>
      <w:r>
        <w:t>298. In light of the preceding elements, the base amount of the monetary sanction for Hill’s must, to be proportionate to the individual situation of NPPF and the group to which it belongs, be increased by 15% and raised to €4,664,000.</w:t>
      </w:r>
    </w:p>
    <w:p>
      <w:r>
        <w:rPr>
          <w:b/>
        </w:rPr>
        <w:t>[Pages 58–60]</w:t>
      </w:r>
    </w:p>
    <w:p>
      <w:r>
        <w:t xml:space="preserve">On the verification of the applicable legal maximum  </w:t>
        <w:br/>
        <w:t xml:space="preserve">299. The highest known consolidated worldwide turnover excluding taxes achieved by Colgate Palmolive, which includes the turnover of Hill's, was €10.974 billion in 2009. The maximum amount of the sanction therefore amounts to €1,097,400,000 concerning them. This amount exceeds the amount mentioned in paragraph 298.  </w:t>
        <w:br/>
        <w:t xml:space="preserve">4. ON THE IMPLEMENTATION OF III OF ARTICLE L. 464-2 OF THE COMMERCIAL CODE  </w:t>
        <w:br/>
        <w:t xml:space="preserve">300. III of Article L. 464-2 of the Commercial Code allows the general rapporteur to propose to the Authority to take into account, in the context of determining the sanction, the fact that a company or organization does not contest the grievances that have been notified to it. The general rapporteur may also propose to take into account the fact that the interested party further commits to modifying its behavior for the future.  </w:t>
        <w:br/>
        <w:t xml:space="preserve">301. To take into account the non-contestation of the grievances and the commitments made jointly by NPPF and Nestlé SA and Royal Canin and Mars Incorporated, the deputy general rapporteur proposed that the sanctions that may be incurred be reduced in the following proportions:  </w:t>
        <w:br/>
        <w:t xml:space="preserve">- for NPPF and Nestlé SA, by 12 to 22% of the amount that would normally have been imposed on them;  </w:t>
        <w:br/>
        <w:t xml:space="preserve">- for Royal Canin and Mars Incorporated, by 15 to 25% of the amount that would normally have been imposed on them.  </w:t>
        <w:br/>
        <w:t xml:space="preserve">a) On the commitments proposed by NPPF and Nestlé SA  </w:t>
        <w:br/>
        <w:t xml:space="preserve">302. As has already been noted several times by the Authority, the waiver to contest the grievances, which primarily serves to lighten and accelerate the investigation work, particularly by exempting the investigation services from drafting a report when it is the case for all the companies involved, which was not the case here, cannot lead to granting the interested parties more than a relatively limited reduction of the sanction. It is, where applicable, the nature and quality of the commitments presented that may allow for a more significant reduction of the sanction, provided they are substantial, credible, and verifiable (decisions No. 07-D-21 of the Council of June 26, 2007, regarding practices implemented in the linen rental and maintenance sector, paragraph 129, No. 08-D-13 of June 11, 2008, regarding practices noted in the ongoing maintenance of premises sector, paragraph 99, No. 09-D-05 of February 2, 2009, regarding practices implemented in the temporary work sector, paragraph 155, and No. 11-D-17 of December 8, 2011, regarding practices implemented in the laundry sector).  </w:t>
        <w:br/>
        <w:t xml:space="preserve">303. In this regard, the Authority has developed an established decision-making practice consisting, within the framework of the procedure for non-contestation of grievances, in accepting proposals for commitments to implement compliance programs, provided that such proposals appear to be substantial, credible, and verifiable (see, on this point, decisions No. 07-D-21 of the Council of June 26, 2007, regarding practices implemented in the linen rental and maintenance sector, paragraph 132, No. 08-D-13 of June 11, 2008, regarding practices noted in the ongoing maintenance of premises sector, paragraphs 101 to 106, and No. 09-D-05 of February 2, 2009, regarding practices implemented in the temporary work sector, paragraphs 156 to 157 and 159 to 160).  </w:t>
        <w:br/>
        <w:t xml:space="preserve">304. When it accepts such commitments, the Authority makes them mandatory in the decision it adopts at the end of the procedure. It may naturally be led to ensure subsequently their effective implementation.  </w:t>
        <w:br/>
        <w:t xml:space="preserve">305. In this case, NPPF and Nestlé SA proposed structural commitments, on the one hand, and behavioral commitments, amended on December 2, 2012, on the other hand (see Appendix 1 to this decision).  </w:t>
        <w:br/>
        <w:t xml:space="preserve">306. The former consist of a complete reorganization of distribution in the "specialist" market for cat and dog food and the internalization of the entire commercial function for branded stores, independent stores, and breeders. The commitments also provide that the logistics function will be outsourced to third-party logistics providers (existing platforms or other logistics providers). The Authority, which does not have to take sides on the companies' choices regarding the organization of their distribution network, acknowledges this commitment.  </w:t>
        <w:br/>
        <w:t xml:space="preserve">307. The latter, which were presented to the investigation services before the publication of the Authority's framework document of February 10, 2012, on compliance programs with competition rules, consist of improving the compliance programs with competition rules already in place in the "specialist" division. This proposal notably includes measures for informing, training, and raising awareness among its relevant personnel regarding competition rules, the establishment of control mechanisms, and the identification of support teams, as well as the establishment of a professional alert system.  </w:t>
        <w:br/>
        <w:t xml:space="preserve">308. However, the compliance program proposed by NPPF does not provide, beyond these elements, any substantial measures for holding its executives or agents accountable, on the one hand, and for monitoring in case of non-compliance with the program, except for those related to its professional alert system, on the other hand. However, it follows from the very terms of the amended commitment proposal of December 2, 2012, that the company NPPF conditions the implementation of the latter on obtaining "all the required authorizations within six months from the Authority's decision," without further specification. The relatively uncertain nature of obtaining these authorizations within such a timeframe does not allow this aspect of the proposed commitment to be considered as credible as it would have been in their absence.  </w:t>
        <w:br/>
        <w:t xml:space="preserve">309. Under these conditions, in order to take into account both the waiver to contest the grievances as such and the proposed commitments, which should be accepted and made mandatory, the sanction imposed on NPPF and its parent company will be reduced by 18%. The commitments in question, which are annexed at the end of this decision, must naturally be subject to effective implementation.  </w:t>
        <w:br/>
        <w:t xml:space="preserve">b) On the commitments proposed by Royal Canin and Mars Incorporated  </w:t>
        <w:br/>
        <w:t xml:space="preserve">310. In this case, Royal Canin and Mars Incorporated proposed behavioral commitments on May 7, 2010 (see Appendix 2 of this decision), that is, before the publication of the Authority's framework document of February 10, 2012, on compliance programs with competition rules. These commitments consist of implementing a compliance program with competition rules providing for measures for informing, raising awareness, and training employees concerned by competition rules, control, monitoring, and individual accountability mechanisms, the identification of support teams, as well as the establishment of a professional alert system. The program is not limited to the sole business sector of Royal Canin and extends to all activities and entities of the Mars group in France.  </w:t>
        <w:br/>
        <w:t xml:space="preserve">311. The Authority notes that the proposal for commitments, which includes more substantial measures than that proposed by NPPF, particularly in terms of accountability monitoring, also extends to all activities of the group, beyond just the animal feed sector. Under these conditions, in order to take into account both the waiver to contest the grievances as such and the proposed commitments, which should be accepted and made mandatory, the sanction imposed on Royal Canin and its parent company will be reduced by 20%. The commitments in question, which are annexed at the end of this decision, must naturally be subject to effective implementation.  </w:t>
        <w:br/>
        <w:t xml:space="preserve">5. ON THE SANCTIONS OF NESTLÉ SA, MARS INCORPORATED, COLGATE PALMOLIVE COMPANY, AS PARENT COMPANIES  </w:t>
        <w:br/>
        <w:t xml:space="preserve">312. As indicated above in paragraph 225, Nestlé SA must be held accountable for the practices referred to in paragraph 129 above as the parent company of NPPF. It must therefore be held jointly and severally liable for the sanction imposed on this company.  </w:t>
        <w:br/>
        <w:t xml:space="preserve">313. As indicated above in paragraph 225, Mars Incorporated must be held accountable for the practices referred to in paragraph 129 above as the parent company of Royal Canin. It must therefore be held jointly and severally liable for the sanction imposed on this company.  </w:t>
        <w:br/>
        <w:t xml:space="preserve">314. As indicated above in paragraphs 227 and following, Colgate Palmolive Company must be held accountable for the practices referred to in paragraph 129 above as the parent company of Hill's. It must therefore be held jointly and severally liable for the sanction imposed on this company.  </w:t>
        <w:br/>
        <w:t xml:space="preserve">6. ON THE FINAL AMOUNT OF SANCTIONS  </w:t>
        <w:br/>
        <w:t xml:space="preserve">315. In light of all the elements described above, it is appropriate to impose the following monetary sanctions, rounded down, on each of the companies involved:  </w:t>
        <w:br/>
        <w:t xml:space="preserve">Party involved Final sanction (in €)  </w:t>
        <w:br/>
        <w:t xml:space="preserve">NPPF and Nestlé SA 19,040,000  </w:t>
        <w:br/>
        <w:t xml:space="preserve">Royal Canin SAS and Mars Incorporated 11,618,000  </w:t>
        <w:br/>
        <w:t>Hill’s Pet Nutrition SNC and Colgate-Palmolive Company 4,664,000</w:t>
      </w:r>
    </w:p>
    <w:p>
      <w:r>
        <w:rPr>
          <w:b/>
        </w:rPr>
        <w:t>[Pages 61–61]</w:t>
      </w:r>
    </w:p>
    <w:p>
      <w:r>
        <w:t xml:space="preserve">DECISION  </w:t>
        <w:br/>
        <w:t xml:space="preserve">Article 1: It is established that the companies NPPF and Nestlé SA, Royal Canin and Mars Incorporated, and Hill’s Pet Nutrition SNC and Colgate-Palmolive Company have violated the provisions of Article 101, paragraph 1, of the TFEU and L. 420-1 of the Commercial Code.  </w:t>
        <w:br/>
        <w:t xml:space="preserve">Article 2: It is established that the companies Hill’s Pet Nutrition SNC and Colgate-Palmolive Company have violated the provisions of Article 101, paragraph 1, of the TFEU and L. 420-1 of the Commercial Code regarding the second complaint notified to these companies, relating to passive sales to customers located outside the national territory between 2004 and 2008.  </w:t>
        <w:br/>
        <w:t xml:space="preserve">Article 3: It is not established that the practices referred to in the first complaint notified to the companies Hill’s Pet Nutrition and Colgate-Palmolive Company are contrary to the provisions mentioned above.  </w:t>
        <w:br/>
        <w:t xml:space="preserve">Article 4: For the offenses referred to in Articles 1 and 2, the following financial penalties are imposed:  </w:t>
        <w:br/>
        <w:t xml:space="preserve">• €19,040,000 on the companies Nestlé Purina Petcare France and Nestlé SA, jointly and severally;  </w:t>
        <w:br/>
        <w:t xml:space="preserve">• €11,618,000 on the companies Royal Canin SAS and Mars Incorporated, jointly and severally;  </w:t>
        <w:br/>
        <w:t xml:space="preserve">• €4,664,000 on the companies Hill’s Pet Nutrition SNC and Colgate-Palmolive Company, jointly and severally.  </w:t>
        <w:br/>
        <w:t xml:space="preserve">Article 5: The companies NPPF and Nestlé SA, as well as the companies Royal Canin and Mars Incorporated, are ordered to fully comply with the commitments referred to in paragraphs 305 and following and paragraphs 310 and following, the final versions of which are included in Appendices 1 and 2 of this decision, which are made mandatory.  </w:t>
        <w:br/>
        <w:t xml:space="preserve">Deliberated on the oral report of Mr. Philippe Couton, rapporteur, and the intervention of Mr. Etienne Pfister, deputy general rapporteur, by Ms. Anne Perrot, vice-president, chair of the session, Ms. Laurence Idot, Ms. Carol Xueref, and Mr. Yves Brissy, members  </w:t>
        <w:br/>
        <w:t xml:space="preserve">The session secretary, The vice-president,  </w:t>
        <w:br/>
        <w:t xml:space="preserve">Béatrice Déry-Rosot Anne Perrot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