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https://www.autoritedelaconcurrence.fr/fr/decision/relative-des-pratiques-mises-en-oeuvre-dans-le-secteur-de-lapres-vente-des-appareils-de</w:t>
      </w:r>
    </w:p>
    <w:p>
      <w:r>
        <w:t>Pages translated : 6</w:t>
      </w:r>
    </w:p>
    <w:p/>
    <w:p>
      <w:r>
        <w:rPr>
          <w:b/>
        </w:rPr>
        <w:t>[Pages 1–3]</w:t>
      </w:r>
    </w:p>
    <w:p>
      <w:r>
        <w:t>FRENCH REPUBLIC</w:t>
      </w:r>
    </w:p>
    <w:p>
      <w:r>
        <w:t>Decision No. 16-D-29 of December 19, 2016</w:t>
      </w:r>
    </w:p>
    <w:p>
      <w:r>
        <w:t>concerning practices implemented in the after-sales sector of reprography devices</w:t>
      </w:r>
    </w:p>
    <w:p>
      <w:r>
        <w:t>The Competition Authority (Vice-President ruling alone),</w:t>
      </w:r>
    </w:p>
    <w:p>
      <w:r>
        <w:t>Having regard to the letter, registered on March 10, 2015, under number 15/0023 F, by which the Competition Authority was seized of a file concerning certain practices implemented in the after-sales sector of reprography devices;</w:t>
      </w:r>
    </w:p>
    <w:p>
      <w:r>
        <w:t>Having regard to the business secrecy decision No. 16-DSA-303 of September 26, 2016;</w:t>
      </w:r>
    </w:p>
    <w:p>
      <w:r>
        <w:t>Having regard to Book IV of the Commercial Code;</w:t>
      </w:r>
    </w:p>
    <w:p>
      <w:r>
        <w:t>Having regard to decision No. 16-JU-07 of October 26, 2016, by which the President of the Competition Authority designated Mr. Thierry Dahan, Vice-President, to adopt alone the decision resulting from the examination of the referral registered under number 15/0023 F;</w:t>
      </w:r>
    </w:p>
    <w:p>
      <w:r>
        <w:t>Having regard to the other documents in the file;</w:t>
      </w:r>
    </w:p>
    <w:p>
      <w:r>
        <w:t>The rapporteur and the deputy general rapporteur and the representative of the Association of Xerox Network Dealers, heard during the session of the Competition Authority on November 30, 2016, the Government Commissioner having been regularly summoned;</w:t>
      </w:r>
    </w:p>
    <w:p>
      <w:r>
        <w:t>Adopts the following decision:</w:t>
      </w:r>
    </w:p>
    <w:p>
      <w:r>
        <w:t>I. Findings</w:t>
      </w:r>
    </w:p>
    <w:p>
      <w:r>
        <w:t>1. By letter registered on March 10, 2015, under number 15/0023 F, the Association of Xerox Network Dealers (hereinafter "ACRX") referred the matter to the Competition Authority (hereinafter "the Authority") regarding practices implemented by the company Xerox France (hereinafter "Xerox") in the after-sales sector of reprography devices.</w:t>
      </w:r>
    </w:p>
    <w:p>
      <w:r>
        <w:t>2. There are different categories of devices in the French market for the distribution of printers and multifunction copiers intended for businesses:</w:t>
        <w:br/>
        <w:t>- A4 copiers for businesses, a segment dominated by the Lexmark brand (26.6% market share), followed by Brother (19.8%), HP (16%), Canon (8.3%), and Xerox (6.8%);</w:t>
        <w:br/>
        <w:t>- A3 multifunction copiers dominated by Ricoh (24%) followed by Konica Minolta (18.3%), Canon (15.4%), Toshiba (10.3%), and Sharp (9.6%);</w:t>
        <w:br/>
        <w:t>- High-end devices intended for businesses for which printing is an essential element of the activity (banks, insurance, graphic arts sector...), Xerox is the leader (40%), followed by Ricoh (23.2%), Canon (19.9%), and Konica Minolta (15.6%).</w:t>
      </w:r>
    </w:p>
    <w:p>
      <w:r>
        <w:t>3. ACRX represents 98% of the dealers that make up the French distribution network of the Xerox brand.</w:t>
      </w:r>
    </w:p>
    <w:p>
      <w:r>
        <w:t>A. THE ECONOMIC MODEL OF XEROX</w:t>
      </w:r>
    </w:p>
    <w:p>
      <w:r>
        <w:t>1. A NETWORK OF EXCLUSIVE DEALERS</w:t>
      </w:r>
    </w:p>
    <w:p>
      <w:r>
        <w:t>4. In France, Xerox has established a single-brand exclusive distribution network that offers dealers various advantages: a system of specific rebates, privileged access to marketing information, a program of individualized training, advice for their human resources policy, etc.</w:t>
      </w:r>
    </w:p>
    <w:p>
      <w:r>
        <w:t>5. The concession contract does not contain a territorial exclusivity clause. Each dealer operates in a reference territory (one or two departments, or one or two Parisian arrondissements) in which Xerox prohibits the installation of another dealer. However, the dealer may sell products outside this territory and supply businesses at multiple sites in France, even abroad. At the end of this contract, which lasts for 3 years, dealers are free not to renew it and, if applicable, to become resellers of another brand.</w:t>
      </w:r>
    </w:p>
    <w:p>
      <w:r>
        <w:t>6. The concession contract stipulates that the dealer agrees to have Xerox France approved as a subcontractor for the provision of all maintenance services. For each device sold with maintenance services, the dealer signs a contract with Xerox, called "Pagepack," which presents identical conditions across the entire distribution network. These after-sales services are therefore billed by the dealers to the end customer but executed by Xerox. The balance of the concession contract is thus based on a division of tasks: the dealer is a pure reseller in the retail market while the manufacturer is both seller and after-sales service provider for its own devices in the wholesale market.</w:t>
      </w:r>
    </w:p>
    <w:p>
      <w:r>
        <w:t>7. Alongside the dealers who represent 95% of Xerox brand device sales in France, a few multi-brand distributors are authorized to sell the Xerox brand: the Xerox Authorized Resellers, known as XAR. According to Xerox, the objective is to complement their coverage by targeting a prospective clientele. Furthermore, some of these multi-brand resellers can provide maintenance services for Xerox devices themselves.</w:t>
      </w:r>
    </w:p>
    <w:p>
      <w:r>
        <w:t>2. MAINTENANCE SERVICE</w:t>
      </w:r>
    </w:p>
    <w:p>
      <w:r>
        <w:t>8. Multifunction copiers intended for professional clientele are generally sold with a maintenance contract, which includes the supply of consumables (mainly toner cartridges), maintenance, repair, and spare parts. All brands offer this type of service to professional clients for a duration equivalent to that of the financing of the devices (credit, leasing, or rental).</w:t>
      </w:r>
    </w:p>
    <w:p>
      <w:r>
        <w:t>9. The client subscribes to a maintenance contract with the dealer at the time of purchasing the copier. Xerox France, which acts as a subcontractor, has technicians and ensures the maintenance of the fleet of reprography devices put into service by its network of dealers.</w:t>
      </w:r>
    </w:p>
    <w:p>
      <w:r>
        <w:t>10. The price of the service is freely set between the dealer and the end client at the time of the copier purchase. It is generally billed based on a price per page or a flat rate. A revision clause allows the dealer to pass on to the end client the increases in maintenance services imposed by Xerox.</w:t>
      </w:r>
    </w:p>
    <w:p>
      <w:r>
        <w:t>B. THE CONDEMNED PRACTICES</w:t>
      </w:r>
    </w:p>
    <w:p>
      <w:r>
        <w:t>11. The applicant claims that it is possible to distinguish a primary market for the sale of copiers from those for the supply of spare parts and consumables specific to the brand's devices and the provision of the technical information essential for the maintenance of these devices. There would thus be a downstream after-sales market related to maintenance services. It further argues that Xerox France, which is not dominant in the market for professional multifunction copiers, would be in a dominant position in the related downstream after-sales market for its own devices.</w:t>
      </w:r>
    </w:p>
    <w:p>
      <w:r>
        <w:t>12. While the concession contracts do not impose any restrictions on the dealer's freedom to offer its clients an alternative maintenance service, the applicant states that Xerox refuses its dealers the supply of spare parts, consumables, specific tools, and the communication of the technical information essential for maintenance services. Dealers are therefore unable to provide after-sales service for the machines they market.</w:t>
      </w:r>
    </w:p>
    <w:p>
      <w:r>
        <w:t>13. Consumers, deprived of the choice of their maintenance providers, would thus be exposed to excessive rates likely to increase unjustifiably during the contract and to a degradation of the quality of the service offered in subcontracting by the supplier.</w:t>
      </w:r>
    </w:p>
    <w:p>
      <w:r>
        <w:t>14. This refusal to sell the objectively necessary inputs for the exercise of effective competition in the market for multifunction copier maintenance would constitute an abuse of a dominant position contrary to Articles L. 420-2 of the Commercial Code and 102 of the TFEU.</w:t>
      </w:r>
    </w:p>
    <w:p>
      <w:r>
        <w:rPr>
          <w:b/>
        </w:rPr>
        <w:t>[Pages 4–6]</w:t>
      </w:r>
    </w:p>
    <w:p>
      <w:r>
        <w:t>II. Discussion</w:t>
      </w:r>
    </w:p>
    <w:p>
      <w:r>
        <w:t>15. Article L. 462-8 paragraph 2 of the Commercial Code states that "the Competition Authority may (...) dismiss the referral by a reasoned decision when it considers that the alleged facts are not supported by sufficiently convincing evidence."</w:t>
      </w:r>
    </w:p>
    <w:p>
      <w:r>
        <w:t>16. The applicant challenges the established case law which considers that, in the printer-photocopier sector, the market for sales and that for maintenance cannot be distinguished due to the particularities of the purchasing modes of this type of goods.</w:t>
      </w:r>
    </w:p>
    <w:p>
      <w:r>
        <w:t>17. In its Pelikan/Kyocera decision of September 22, 1995, the European Commission considered that Kyocera did not hold a dominant position in the secondary market for the manufacture and sale of cartridges for its printers due to the particular characteristics of the primary market for printers. It notably found that customers took into account the price of consumables at the time of purchase, with the "total cost per page" being one of the most commonly used criteria by customers to make their choice.</w:t>
      </w:r>
    </w:p>
    <w:p>
      <w:r>
        <w:t>18. This analytical framework was reiterated in the rejection by the Commission, on May 20, 2009, of a complaint from the European Federation of Ink and Ink Cartridge Manufacturers (EFIM) against manufacturers HP, Lexmark, Canon, and Epson (which was confirmed by the Court of the European Union on November 24, 2011, and by the Court of Justice of the European Union on September 19, 2013). It follows from this rejection that any dominant position in the secondary market for the sale of consumables of a given brand can be excluded if it is established that there is sufficient competition in the primary market for the sale of printers and if the primary and secondary markets are closely linked in the eyes of customers at the time of their purchasing decision – this second condition requiring adherence to the criteria used in the Pelikan/Kyocera decision.</w:t>
      </w:r>
    </w:p>
    <w:p>
      <w:r>
        <w:t>19. The applicant argues that this case law should be overturned in the case of Xerox and that the particularities of the concession model would allow for the existence of a secondary market for the maintenance of Xerox brand multifunction copiers on which Xerox would be dominant.</w:t>
      </w:r>
    </w:p>
    <w:p>
      <w:r>
        <w:t>20. However, in the absence of sufficient evidence provided by the applicant to support its allegations, the existence of this market appears, in this case, uncertain.</w:t>
      </w:r>
    </w:p>
    <w:p>
      <w:r>
        <w:t>21. Given both the importance of the price of copier maintenance over the entire duration of its use compared to that of the purchase of the device (between 1.5 times according to the applicant and 1.8 times according to Xerox) and the fact that maintenance offers are systematically proposed at the same time as the device, client companies, as current case law suggests, make their investment choices considering the price of the device associated with the overall cost of maintenance.</w:t>
      </w:r>
    </w:p>
    <w:p>
      <w:r>
        <w:t>22. Furthermore, the highly competitive nature of the sector and the normal usage duration of a multifunction copier (three to five years) have led decision-making practice to conclude that the number of potential customers in the primary market is, at all times, sufficiently large and fluid to regulate the secondary market. Thus, in the event of a price increase for maintenance services of a given brand, customers in the process of purchasing a copier or renewing a contract would be incentivized to turn to another supplier.</w:t>
      </w:r>
    </w:p>
    <w:p>
      <w:r>
        <w:t>23. These analyses, which have previously led to the dismissal of the existence of a separate maintenance market, are not effectively challenged by the applicant to establish the necessity of treating the sales of Xerox brand multifunction copiers as a particular case. Moreover, if such a path were to be followed, the applicant does not explain how competition could then operate, in the eyes of buyers, between a minority manufacturer that would be the only active player in two distinct markets, the sale of its devices and their maintenance, against all its competitors active in the same market of the simultaneous purchase of a device and its maintenance contract.</w:t>
      </w:r>
    </w:p>
    <w:p>
      <w:r>
        <w:t>24. The elements of the referral aimed at demonstrating the existence of a dominant position of Xerox in a new market not yet identified by decision-making practice therefore do not appear sufficiently convincing.</w:t>
      </w:r>
    </w:p>
    <w:p>
      <w:r>
        <w:t>25. In any case, and without the need to rule on the substantive question of the relevant market, it appears that none of the alleged anti-competitive practices are supported by sufficiently convincing evidence.</w:t>
      </w:r>
    </w:p>
    <w:p>
      <w:r>
        <w:t>26. Firstly, ACRX complains about the imbalanced nature of the concession contract binding its members to Xerox, which would lead to poor management of maintenance services and low profitability of this outsourced service for the dealers.</w:t>
      </w:r>
    </w:p>
    <w:p>
      <w:r>
        <w:t>27. However, this imbalance, assuming it is proven, cannot in itself constitute an anti-competitive practice independently of any other element demonstrating an impact on the functioning of competition. The flaws in the distribution system established by an operator, even a dominant one, or subsequent changes it decides upon, are not in themselves assimilable to an abuse.</w:t>
      </w:r>
    </w:p>
    <w:p>
      <w:r>
        <w:t>28. Case law indeed considers that the organization of a distribution network falls under the principle of contractual freedom and notably recognizes suppliers' freedom to modify it according to their interests and market developments. Thus, suppliers can terminate the contracts they enter into with their distributors without any particular obligation to provide justification. Similarly, dealers are free to terminate the relationship that binds them to an exclusive supplier as soon as they consider that the contractual price imbalance is contrary to their commercial interests.</w:t>
      </w:r>
    </w:p>
    <w:p>
      <w:r>
        <w:t>29. In this case, the applicant merely laments that Xerox France can adjust its commercial strategy by combining revenues from the sale of devices and those from maintenance services, which allows it, for example, to lower its prices for new customers if the competitive situation requires it, while deciding on frequent and significant price increases on ongoing service contracts. The fact that such a commercial strategy could, if necessary, be favorable to Xerox and unfavorable to its dealers cannot be considered in itself as evidence of abuse under competition law.</w:t>
      </w:r>
    </w:p>
    <w:p>
      <w:r>
        <w:t>30. Finally, if the distributor's grievance against its supplier is less about the clauses of the distribution or concession contract than about its execution conditions, as the applicant suggested during the session, it is up to them, if necessary, to bring this disagreement before the competent judicial authority.</w:t>
      </w:r>
    </w:p>
    <w:p>
      <w:r>
        <w:t>31. Secondly, ACRX argues that the access to the maintenance market recognized by Xerox for the sole benefit of multi-brand resellers (XAR) is unjustified and constitutes abusive discrimination. This situation would expose dealers to "unfair competition" since multi-brand resellers have the ability to negotiate more favorable maintenance pricing conditions than those offered by Xerox dealers.</w:t>
      </w:r>
    </w:p>
    <w:p>
      <w:r>
        <w:t>32. However, the applicant provides no evidence to show that the two distribution channels are in equivalent situations, a necessary condition to demonstrate any potential discrimination between them.</w:t>
      </w:r>
    </w:p>
    <w:p>
      <w:r>
        <w:t>33. Dealers, who have freely joined the exclusive distribution network proposed by Xerox, benefit from the advantages attached to this contractual status and must comply with the obligations that arise from it. They benefit from rebate systems on the resale of devices that are specific to them and they outsource the entire maintenance service to their supplier without incurring additional costs while taking a margin on this service. Multi-brand distributors, on the other hand, bear all the costs related to repair services and the supply of consumables and do not benefit from the same rebates as dealers on their copier purchases.</w:t>
      </w:r>
    </w:p>
    <w:p>
      <w:r>
        <w:t>34. In any case, given the small number of multi-brand distributors present in the market (which represent less than 5% of Xerox copier sales), the practices denounced do not appear to create any distortion of competition.</w:t>
      </w:r>
    </w:p>
    <w:p>
      <w:r>
        <w:t>35. The elements provided by the complainant therefore appear insufficient to demonstrate an anti-competitive practice.</w:t>
      </w:r>
    </w:p>
    <w:p>
      <w:r>
        <w:t>36. It follows from all of the above that the facts denounced by the referral are not supported by sufficiently convincing evidence. It is therefore appropriate to apply the provisions of Article L. 462-8 of the Commercial Code and to reject the referral.</w:t>
      </w:r>
    </w:p>
    <w:p>
      <w:r>
        <w:t>DECISION</w:t>
      </w:r>
    </w:p>
    <w:p>
      <w:r>
        <w:t>Sole Article: The referral registered under number 15/0023 F is rejected.</w:t>
      </w:r>
    </w:p>
    <w:p>
      <w:r>
        <w:t>Deliberated on the oral report of Ms. Clémentine Jomier, rapporteur, and the intervention of Mr. Umberto Berkani, deputy rapporteur general, by Mr. Thierry Dahan, session president.</w:t>
      </w:r>
    </w:p>
    <w:p>
      <w:r>
        <w:t>The session secretary, The vice-president,</w:t>
      </w:r>
    </w:p>
    <w:p>
      <w:r>
        <w:t>Béatrice Déry-Rosot Thierry Dahan</w:t>
      </w:r>
    </w:p>
    <w:p>
      <w: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