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https://www.autoritedelaconcurrence.fr/fr/decision/relative-des-pratiques-mises-en-oeuvre-dans-le-secteur-de-ledition-et-de-la-0</w:t>
      </w:r>
    </w:p>
    <w:p>
      <w:r>
        <w:t>Pages translated : 24</w:t>
      </w:r>
    </w:p>
    <w:p/>
    <w:p>
      <w:r>
        <w:rPr>
          <w:b/>
        </w:rPr>
        <w:t>[Pages 1–3]</w:t>
      </w:r>
    </w:p>
    <w:p>
      <w:r>
        <w:t xml:space="preserve">FRENCH REPUBLIC  </w:t>
        <w:br/>
        <w:t xml:space="preserve">Decision No. 20-D-08 of April 30, 2020  </w:t>
        <w:br/>
        <w:t xml:space="preserve">regarding practices implemented in the sector of publishing and  </w:t>
        <w:br/>
        <w:t>marketing of television channels</w:t>
      </w:r>
    </w:p>
    <w:p>
      <w:r>
        <w:t xml:space="preserve">The Competition Authority (section III),  </w:t>
        <w:br/>
        <w:t xml:space="preserve">Having regard to the letter, registered on July 12, 2019 under numbers 19/0038 F and 19/0039 M, by which the company Molotov seized the Competition Authority of practices implemented in the sector of publishing and marketing of television channels and requested that interim measures be ordered on the basis of Article L. 464-1 of the Commercial Code;  </w:t>
        <w:br/>
        <w:t xml:space="preserve">Having regard to Book IV of the Commercial Code;  </w:t>
        <w:br/>
        <w:t xml:space="preserve">Having regard to the opinion adopted by the Higher Council of Audiovisual on October 2, 2019 on the basis of Article R. 463-9 of the Commercial Code;  </w:t>
        <w:br/>
        <w:t xml:space="preserve">Having regard to the business secrecy decisions No. 19-DSA-326 of August 19, 2019, No. 19-DSA-332 of August 19, 2019, No. 19-DSA-406 of September 2, 2019, No. 19-DSA-407 of September 2, 2019, No. 19-DSA-415 of September 3, 2019, No. 19-DSA-422 of September 4, 2019, No. 19-DSA-486 of September 17, 2019, No. 19-DSA-487 of September 17, 2019, No. 19-DSA-502 of September 19, 2019, No. 19-DSA-520 of September 23, 2019, No. 19-DSA-576 of October 17, 2019, No. 19-DSA-635 of November 4, 2019, No. 19-DSA-636 of November 4, 2019, No. 19-DSA-646 of November 5, 2019, No. 19-DSA-683 of November 21, 2019, No. 19-DSA-692 of November 27, 2019, No. 19-DSA-693 of November 27, 2019, No. 19-DSA-696 of November 28, 2019, No. 20-DSA-038 of January 21, 2020, No. 20-DSA-041 of January 23, 2020;  </w:t>
        <w:br/>
        <w:t xml:space="preserve">Having regard to the other documents in the file;  </w:t>
        <w:br/>
        <w:t xml:space="preserve">The rapporteur, the deputy general rapporteur, and the representatives of the company Molotov heard during the session of January 30, 2020, the Government Commissioner having been regularly summoned;  </w:t>
        <w:br/>
        <w:t xml:space="preserve">Adopts the following decision:  </w:t>
        <w:br/>
        <w:t>1 Public version.</w:t>
      </w:r>
    </w:p>
    <w:p>
      <w:r>
        <w:t xml:space="preserve">Summary2:  </w:t>
        <w:br/>
        <w:t xml:space="preserve">By this decision, the Competition Authority rejects the substantive referral of the company Molotov for lack of sufficiently probative elements and, consequently, the request for interim measures ancillary to this referral.  </w:t>
        <w:br/>
        <w:t xml:space="preserve">Molotov is a distribution platform for television channels and services. It broadcasts an audiovisual French offer in OTT according to a "freemium" model, allowing free access to certain channels and subscription to additional paid channels and services.  </w:t>
        <w:br/>
        <w:t xml:space="preserve">In its referral, the company Molotov denounces a number of behaviors implemented by the TF1 and M6 groups in the sector of publishing and marketing of television channels, which it considers contrary to national competition rules and those of the European Union.  </w:t>
        <w:br/>
        <w:t xml:space="preserve">According to the complainant, the TF1 and M6 groups would have abruptly and abusively terminated the experimental agreements concluded between each of the two groups and Molotov for the distribution of their channels and services on its platform. The M6 group would have, through the adoption of new general distribution conditions, attempted to impose on Molotov the distribution of its channels and services to consumers exclusively within the framework of paid offers, which Molotov deems incompatible with its "freemium" business model. The TF1 group would have attempted to impose on Molotov the conditions of its TF1 Premium offer and would subsequently have terminated the ongoing distribution agreement between the parties. The behavior of each of the TF1 and M6 groups would be linked to the creation of the joint venture Salto, authorized by the Authority on August 12, 2019, of which the TF1, M6, and France Télévisions groups are the parent companies, and which would constitute a future competitor to Molotov.  </w:t>
        <w:br/>
        <w:t xml:space="preserve">According to the complainant, the alleged facts would constitute an abusive attempt to evict Molotov and would also attest to the existence of anti-competitive collusion between the TF1 and M6 groups. Molotov would also be in a situation of economic dependence on TF1 and M6, a situation that they would have abused through their behavior.  </w:t>
        <w:br/>
        <w:t xml:space="preserve">The Authority analyzed the denounced behaviors and found that the company Molotov did not provide sufficiently probative elements to support its allegations.  </w:t>
        <w:br/>
        <w:t xml:space="preserve">Regarding first the allegation of collective abuse of dominant position, neither the referral nor the file contains elements capable of demonstrating the existence of such a position held collectively by the France Télévisions, TF1, and M6 groups.  </w:t>
        <w:br/>
        <w:t xml:space="preserve">Regarding second the allegation of abuse of economic dependence, on the one hand, Molotov does not conduct the analysis, as required by case law, of the economic dependence situation in which it would find itself in relation to each of the two TF1 and M6 groups and on the other hand, it does not provide elements allowing to estimate the share represented by the channels and services of the TF1 and M6 groups respectively in its total revenue.  </w:t>
        <w:br/>
        <w:t xml:space="preserve">Regarding third the allegations of horizontal collusion, neither the referral nor the elements in the file allow for the demonstration of the existence of an agreement of will, explicit or tacit, between the TF1 and M6 groups aimed at or having the effect of restricting competition, by excluding Molotov from the market.  </w:t>
        <w:br/>
        <w:t xml:space="preserve">Regarding fourth and finally the alleged vertical restriction, in the absence of demonstration of the existence of an agreement of will between M6 and Molotov, any analysis under Articles L. 420-1 of the Commercial Code and Article 101 paragraph 1 of the TFEU is, by definition, excluded.  </w:t>
        <w:br/>
        <w:t>2 This summary is strictly informative. Only the reasons for the decision numbered below are authoritative.</w:t>
      </w:r>
    </w:p>
    <w:p>
      <w:r>
        <w:t xml:space="preserve">SUMMARY  </w:t>
        <w:br/>
        <w:t xml:space="preserve">I. Findings .................................................................................. 4  </w:t>
        <w:br/>
        <w:t xml:space="preserve">A. THE SECTOR .............................................................................................................................. 4  </w:t>
        <w:br/>
        <w:t xml:space="preserve">1. The organization of the sector .......................................................................................4  </w:t>
        <w:br/>
        <w:t xml:space="preserve">2. The applicable regulation for free television channels ................................................5  </w:t>
        <w:br/>
        <w:t xml:space="preserve">B. THE PARTIES ............................................................................................................................. 6  </w:t>
        <w:br/>
        <w:t xml:space="preserve">1. The complainant ..........................................................................................................6  </w:t>
        <w:br/>
        <w:t xml:space="preserve">2. The parties involved ....................................................................................................7  </w:t>
        <w:br/>
        <w:t xml:space="preserve">a) The TF1 group ..................................................................................................7  </w:t>
        <w:br/>
        <w:t xml:space="preserve">b) The M6 group ...................................................................................................7  </w:t>
        <w:br/>
        <w:t xml:space="preserve">C. THE CONTRACTUAL RELATIONS BETWEEN THE M6, TF1 GROUPS AND THEIR  </w:t>
        <w:br/>
        <w:t xml:space="preserve">DISTRIBUTORS ................................................................................................................................ 7  </w:t>
        <w:br/>
        <w:t xml:space="preserve">1. The distribution contracts concluded between the M6, TF1 groups and Molotov .............7  </w:t>
        <w:br/>
        <w:t xml:space="preserve">a) The contract concluded with the M6 group ...............................................................7  </w:t>
        <w:br/>
        <w:t xml:space="preserve">b) The contract concluded with the TF1 group .............................................................8  </w:t>
        <w:br/>
        <w:t xml:space="preserve">2. The new distribution model adopted by the TF1 and M6 groups since 2016 ...........................................................................................................................8  </w:t>
        <w:br/>
        <w:t xml:space="preserve">D. THE FACTS DENOUNCED IN THE REFERRAL ........................................................................... 9  </w:t>
        <w:br/>
        <w:t xml:space="preserve">1. The behavior of the M6 group ................................................................................. 10  </w:t>
        <w:br/>
        <w:t xml:space="preserve">2. The behavior of the TF1 group .................................................................................. 10  </w:t>
        <w:br/>
        <w:t xml:space="preserve">3. The link between the two behaviors: the creation of Salto .................................. 11  </w:t>
        <w:br/>
        <w:t xml:space="preserve">II. Discussion .................................................................................. 12  </w:t>
        <w:br/>
        <w:t xml:space="preserve">A. ON THE RELEVANT MARKETS ....................................................................................... 12  </w:t>
        <w:br/>
        <w:t xml:space="preserve">B. ON THE ALLEGED ANTI-COMPETITIVE PRACTICES .................................. 14  </w:t>
        <w:br/>
        <w:t xml:space="preserve">1. Analysis of the alleged collective abuse of dominant position .................................. 14  </w:t>
        <w:br/>
        <w:t xml:space="preserve">a) Applicable principles ...................................................................................... 14  </w:t>
        <w:br/>
        <w:t xml:space="preserve">b) Application to the case at hand ........................................................................... 15  </w:t>
        <w:br/>
        <w:t xml:space="preserve">2. Analysis of the alleged abuse of economic dependence .......................................... 17  </w:t>
        <w:br/>
        <w:t xml:space="preserve">a) Applicable principles ...................................................................................... 17  </w:t>
        <w:br/>
        <w:t xml:space="preserve">b) Application to the case at hand ........................................................................... 18  </w:t>
        <w:br/>
        <w:t xml:space="preserve">3. Analysis of the alleged collusion ............................................................................... 20  </w:t>
        <w:br/>
        <w:t xml:space="preserve">4. Analysis of the alleged vertical restriction ................................................................. 21  </w:t>
        <w:br/>
        <w:t xml:space="preserve">a) Applicable principles ...................................................................................... 22  </w:t>
        <w:br/>
        <w:t xml:space="preserve">b) Application to the case at hand ........................................................................... 23  </w:t>
        <w:br/>
        <w:t xml:space="preserve">III. Conclusion ................................................................................. 23  </w:t>
        <w:br/>
        <w:t>DECISION ..................................................................................................................... 24</w:t>
      </w:r>
    </w:p>
    <w:p>
      <w:r>
        <w:rPr>
          <w:b/>
        </w:rPr>
        <w:t>[Pages 4–6]</w:t>
      </w:r>
    </w:p>
    <w:p>
      <w:r>
        <w:t>1. By letter dated July 12, 2019, registered under number 19/0038 F, the Competition Authority (hereinafter: "the Authority") was seized by the company Molotov (hereinafter: "Molotov") on the basis of Articles L. 420-1, L. 420-2 of the Commercial Code, 101 and 102 of the Treaty on the Functioning of the European Union (hereinafter: "TFEU"), regarding practices implemented by the companies Télévision Française 1 and TF1 Distribution, companies of the TF1 Group on one hand, and by the company Métropole Télévision, a company of the M6 Group on the other hand, in the sector of publishing and marketing television channels.</w:t>
      </w:r>
    </w:p>
    <w:p>
      <w:r>
        <w:t>2. This referral is accompanied by a request for interim measures on the basis of Article L. 464-1 of the Commercial Code, introduced on the same day by a separate document, registered under number 19/0039 M.</w:t>
      </w:r>
    </w:p>
    <w:p>
      <w:r>
        <w:t>3. Consulted in the context of the present case on the basis of the provisions of Article R. 463-9 of the Commercial Code, the Higher Council for Audiovisual (hereinafter: "CSA") issued, on October 2, 2019, opinion No. 2019-08.</w:t>
      </w:r>
    </w:p>
    <w:p>
      <w:r>
        <w:t>I. Findings</w:t>
        <w:br/>
        <w:t>A. THE SECTOR</w:t>
        <w:br/>
        <w:t>1. THE ORGANIZATION OF THE SECTOR</w:t>
        <w:br/>
        <w:t>4. The television sector consists of two distinct segments of activity: pay television and free television.</w:t>
      </w:r>
    </w:p>
    <w:p>
      <w:r>
        <w:t>5. Regarding pay television, pay channel publishers produce their programs in-house or acquire broadcasting rights for audiovisual content from third parties in the upstream markets. They then offer for sale the right to market their channels to downstream distributors, primarily consisting of Internet Service Providers (hereinafter: "ISPs"). These distributors distribute these channels in the form of packages, accessible by subscription or on a pay-per-view basis. They ensure the marketing of the offer and the management of the relationship with the subscriber.</w:t>
      </w:r>
    </w:p>
    <w:p>
      <w:r>
        <w:t>6. Free television, on the other hand, has a different organization. Free-to-air channels are distributed free of charge to viewers and are primarily financed by advertising revenue. Traditionally, the Authority considers that the publishing of free channels does not constitute a market insofar as distributors do not pay publishers to distribute their content. There is therefore no downstream market for the distribution of free-to-air television services.</w:t>
      </w:r>
    </w:p>
    <w:p>
      <w:r>
        <w:t>7. The digital revolution has profoundly disrupted the practices of the television sector. New operators have indeed come to compete with historical players by offering new services that allow consumers to access a wide range of content through a multitude of screens. Moreover, the linear broadcasting of content on television is stagnating while the broadcasting of non-linear content (catch-up television and video on demand), primarily on screens other than the television, is developing.</w:t>
      </w:r>
    </w:p>
    <w:p>
      <w:r>
        <w:t>8. In particular, "Over The Top" (hereinafter: "OTT") television, which has appeared on the French market alongside the offers available on traditional networks (DTT, satellite, cable, and ADSL), allows for the marketing of online offers, without the intermediary of ISPs. However, this mode of broadcasting depends on the performance of the internet connection, which is subject to the deployment of high and very high-speed fixed networks.</w:t>
      </w:r>
    </w:p>
    <w:p>
      <w:r>
        <w:t>2. THE REGULATIONS APPLICABLE TO FREE TELEVISION CHANNELS</w:t>
        <w:br/>
        <w:t>9. The main modalities for organizing audiovisual broadcasting in France are governed by Law No. 86-1067 of September 30, 1986, relating to the freedom of communication. This law, which organizes the conditions for granting, by public authorities, radio frequencies to television channels, notably provides that the CSA issues broadcasting authorizations and assigns frequencies to publishers and distributors wishing to broadcast programs on frequencies allocated to broadcasting.</w:t>
      </w:r>
    </w:p>
    <w:p>
      <w:r>
        <w:t>10. Under Articles 34-2 and 45-3 of the aforementioned law, public linear channels, namely the national channels of France Télévisions (hereinafter: "FTV"), the channels Arte, TV5 Monde, as well as the parliamentary channel, must comply with an obligation commonly referred to as "must carry" under which they cannot oppose the retransmission of their services by distributors active on networks not using frequencies assigned by the CSA. These distributors, for their part, are obliged to make them available to their subscribers free of charge.</w:t>
      </w:r>
    </w:p>
    <w:p>
      <w:r>
        <w:t>11. The question of the extent of this "must-carry" obligation was recently raised in the context of a dispute between PlayTV, an OTT content distributor, and FTV, which opposed the retransmission of its programs by the former. In a decision dated July 24, 2019, the Council of State indicated that Article 34-2 of the aforementioned law "subordinates [...] the broadcasting obligation it provides to the condition that the distribution of services is intended for subscribers. It follows from the provisions of this article, clarified by the preparatory works of the law from which they originate, that for its application, the notion of subscribers must be understood as users linked to the service distributor by a commercial contract providing for the payment of a price."</w:t>
      </w:r>
    </w:p>
    <w:p>
      <w:r>
        <w:t>12. In reciprocal relation to the "must carry" obligation, Article 34-4 imposes an obligation commonly referred to as "must deliver," under which "a right of access and numbering of the channels of the national free DTT is guaranteed to the offers of service distributors. This right of access implies, for the distributor, an obligation of interoperability of decoders. It is conditioned on a request from the publisher, does not constitute an obligation to contract, and is not exclusive of any potential remuneration."</w:t>
      </w:r>
    </w:p>
    <w:p>
      <w:r>
        <w:t>13. Article 34-1 finally provides for a "antenna service" commonly referred to as "must offer," corresponding to the free provision of the national free DTT offer via satellite.</w:t>
      </w:r>
    </w:p>
    <w:p>
      <w:r>
        <w:t>B. THE PARTIES</w:t>
        <w:br/>
        <w:t>1. THE APPLICANT</w:t>
        <w:br/>
        <w:t>14. Molotov is a television channel distribution platform launched in 2016, which aggregates and broadcasts a French audiovisual offer (content, services, and features) in OTT. To access it, the consumer must have a connected screen and download the Molotov.tv application. This application allows access to content from various linear television channels.</w:t>
      </w:r>
    </w:p>
    <w:p>
      <w:r>
        <w:t>15. Molotov uses a model referred to as "freemium," a term that combines "free," to designate a free service, and "premium" to designate enhanced (or "improved") services. The application allows free access to linear television services as well as additional features (search, recording, catch-up, projection on a television screen, or resuming programs from the beginning) of which some are charged to the consumer. The application relies in particular on innovative ergonomics and offers users various options for navigation, searching, or viewing content. Molotov also distributes additional content for a fee.</w:t>
      </w:r>
    </w:p>
    <w:p>
      <w:r>
        <w:t>16. As of the date of this decision, Molotov offers the following packages:</w:t>
        <w:br/>
        <w:t>- the basic offer (free): 37 channels of linear television and a service allowing users to return to the beginning of the currently broadcast program (commonly referred to as "start over") on these channels;</w:t>
        <w:br/>
        <w:t>- the Molotov Plus offer (€3.99 per month): 150 hours of recording, simultaneous broadcasting on multiple screens, access to content throughout the European Union;</w:t>
        <w:br/>
        <w:t>- the Molotov Extended offer (€9.99 per month): 40 additional channels and some catch-up television services ("TVR");</w:t>
        <w:br/>
        <w:t>- additional pay channel offers that can be subscribed to separately (OCS, Ciné+, etc.).</w:t>
      </w:r>
    </w:p>
    <w:p>
      <w:r>
        <w:t>17. Its sources of revenue come exclusively from subscriptions to features and additional subscriptions to its basic offer. Molotov does not receive any advertising revenue.</w:t>
      </w:r>
    </w:p>
    <w:p>
      <w:r>
        <w:t>18. As of the date of the referral, Molotov has 8.5 million users and [0-500,000] subscribers to a paid offer. The company generated total revenue of [0-5] million euros since its inception (in 2016) until the end of 2018, of which [0-5] million in 2018. Its revenue exceeded [0-5] million euros in 2019. However, Molotov indicates that it is facing significant financial difficulties and has recorded losses in 2016 and 2017.</w:t>
      </w:r>
    </w:p>
    <w:p>
      <w:r>
        <w:rPr>
          <w:b/>
        </w:rPr>
        <w:t>[Pages 7–9]</w:t>
      </w:r>
    </w:p>
    <w:p>
      <w:r>
        <w:t xml:space="preserve">2. THE PARTIES INVOLVED  </w:t>
        <w:br/>
        <w:t xml:space="preserve">a) The TF1 Group  </w:t>
        <w:br/>
        <w:t xml:space="preserve">19. Télévision Française 1, the parent company of the TF1 group, has as its main activity, directly or through its subsidiaries, the publishing of television channels that benefit, in the territory of metropolitan France, from authorizations to broadcast free-to-air on DTT the channels TF1, TF1 Séries FILMS, TMC, TFX, and LCI. The TF1 group also publishes the channels TV Breizh, Ushuaïa TV, and Histoire which do not require authorization to broadcast on DTT.  </w:t>
        <w:br/>
        <w:t xml:space="preserve">20. TF1 Distribution is a subsidiary responsible for the marketing of the channels and services of the group.  </w:t>
        <w:br/>
        <w:t xml:space="preserve">b) The M6 Group  </w:t>
        <w:br/>
        <w:t xml:space="preserve">21. The company Métropole Télévision is the parent company of the M6 group. Its main activity, directly or through its subsidiaries, is the publishing of television services that benefit, in the territory of metropolitan France, from authorizations to broadcast free-to-air on DTT the channels M6, W9, 6TER, and Gulli. The M6 group also publishes thematic channels that do not require authorization to broadcast free-to-air on DTT, namely Paris Première, which has authorization to broadcast on encrypted DTT, Téva, M6 Music, and Série Club.  </w:t>
        <w:br/>
        <w:t xml:space="preserve">C. THE CONTRACTUAL RELATIONS BETWEEN THE M6, TF1 GROUPS AND THEIR DISTRIBUTORS  </w:t>
        <w:br/>
        <w:t xml:space="preserve">1. THE DISTRIBUTION CONTRACTS CONCLUDED BETWEEN THE M6, TF1 GROUPS AND MOLOTOV  </w:t>
        <w:br/>
        <w:t xml:space="preserve">22. In 2015, Molotov entered into distribution contracts with each of the M6 and TF1 groups. Each of these contracts, concluded "on an experimental basis," provided for remuneration for the distribution of the channels and their associated services.  </w:t>
        <w:br/>
        <w:t xml:space="preserve">a) The contract concluded with the M6 Group  </w:t>
        <w:br/>
        <w:t xml:space="preserve">23. The contract concluded between Molotov and the M6 group provides for the distribution by Molotov of the catch-up television channels and services of the M6 group within a television offer operated by Molotov.  </w:t>
        <w:br/>
        <w:t xml:space="preserve">24. The granted rights include the right to distribute the channels and services for a period of two years. The "recommendation engine" and "start over" functionalities can be associated with the channels and services, but the distributor is prohibited from offering a recording function. This function was subsequently made possible by the signing of an amendment on December 2, 2016.  </w:t>
        <w:br/>
        <w:t xml:space="preserve">25. The channels M6, W9, 6TER, and M6 Boutique are distributed within the basic offer, that is to say, within a free bouquet. The thematic channels Paris Première, Téva, M6 Music, and Girondins TV are distributed as part of a paid subscription in addition to the basic offer.  </w:t>
        <w:br/>
        <w:t xml:space="preserve">26. In return for the granted rights, Molotov must pay the M6 group a total and flat annual remuneration of [0-5] million euros.  </w:t>
        <w:br/>
        <w:t xml:space="preserve">27. The contract was concluded on an experimental basis until December 31, 2017. Its application was subsequently extended until March 31, 2018.  </w:t>
        <w:br/>
        <w:t xml:space="preserve">b) The contract concluded with the TF1 Group  </w:t>
        <w:br/>
        <w:t xml:space="preserve">28. By contract concluded on October 23, 2015, the TF1 group grants Molotov the right to distribute its channels and services as defined by the contract, namely 8 channels including TF1, as well as the catch-up television services of 3 channels.  </w:t>
        <w:br/>
        <w:t xml:space="preserve">29. It is specified in the contract that the programs of the channels cannot be offered in the form of paid video on demand. The distributor cannot receive remuneration from users in return for the provision of the channels and services (basic level), except for the channels TV Breizh, Ushuaïa TV, Histoire, and LCI and their associated services, access to which is subject to a paid subscription.  </w:t>
        <w:br/>
        <w:t xml:space="preserve">30. The recording functionality or "NPVR" for Network Personal Video Recorder is expressly excluded from the distribution contract. Furthermore, certain complementary functionalities are excluded for certain channels only, including the so-called "cast to TV" functionality, which allows projecting the content displayed on a tablet or smartphone screen onto a television screen. However, the NPVR functionality was authorized as part of the conclusion of an amendment on November 21, 2016.  </w:t>
        <w:br/>
        <w:t xml:space="preserve">31. In return for the granted rights, Molotov must pay the TF1 group a total and flat annual remuneration of [0-5] million euros.  </w:t>
        <w:br/>
        <w:t xml:space="preserve">32. The contract was concluded for a duration of 14 months starting from November 1, 2015, until December 31, 2017. It was extended until March 31, 2017, and continued beyond this date, without a determined duration, until June 30, 2019.  </w:t>
        <w:br/>
        <w:t xml:space="preserve">2. THE NEW DISTRIBUTION MODEL ADOPTED BY THE TF1 AND M6 GROUPS FROM 2016  </w:t>
        <w:br/>
        <w:t xml:space="preserve">33. Starting in 2016, the TF1 and then M6 groups sought to restructure the distribution conditions of their services, each requiring remuneration from their distributors for the right to distribute their channels and associated services.  </w:t>
        <w:br/>
        <w:t xml:space="preserve">34. In the opinion it rendered in the context of the present case, the CSA outlined the main terms of the debate, indicating that "generally speaking, distributors believe that publishers of free-to-air DTT services should make their linear feed available free of charge (except for technical costs) because they benefit from free and scarce resources. Conversely, the majority of publishers of free-to-air DTT services believe that they contribute, thanks to the notoriety of their channels, to the enhancement of triple play offers to subscribers of ISP offers and that they must consequently be remunerated in fair proportion to the value provided. Furthermore, they recall that in return for the free provision of public resources, they finance creation through investment obligations in audiovisual and cinematographic production."  </w:t>
        <w:br/>
        <w:t xml:space="preserve">35. Before agreements were signed in 2017 and 2018 with ISPs Orange, Altice, Bouygues, and Free, as well as with the Canal Plus Group, the new distribution models implemented respectively by the TF1 group and the M6 group were a source of tension between publishers and distributors, particularly regarding the compatibility of such remuneration with the provisions and the general balance of the 1986 law.  </w:t>
        <w:br/>
        <w:t xml:space="preserve">36. In the context of a dispute between the NextRadio TV group and the Free group, the CSA considered, in July 2019, that publishers were entitled to request remuneration from distributors providing the public with a service offer through a network not using the frequencies of DTT assigned by it. It indeed estimated that "no legislative or regulatory provision opposes a publisher authorized to operate a service via terrestrial radio waves and not requiring remuneration from users, conditioning the provision of this service to remuneration from a service distributor that makes available to the public, through a network not using frequencies assigned by the Conseil supérieur de l'audiovisuel, an audiovisual communication service offer comprising television services or audiovisual media on demand."  </w:t>
        <w:br/>
        <w:t xml:space="preserve">37. In this same decision, the CSA also estimated that no legislative provision obliged the distributor to take on the channels of the publisher requesting remuneration: "No provision, notably from the law of September 30, 1986, obliges the Free company to make available to the public, through a network not using frequencies assigned by the Conseil supérieur de l'audiovisuel, the linear services and associated services of the requesting companies. The fact that the Free company distributes and markets, within its service offer, linear and non-linear services from other publishers does not imply any obligation to contract with other publishers who would also like to be distributed within its service offers."  </w:t>
        <w:br/>
        <w:t xml:space="preserve">D. THE FACTS ALLEGED IN THE REFERRAL  </w:t>
        <w:br/>
        <w:t>38. According to the referral, the TF1 and M6 groups would have abruptly and abusively terminated the distribution agreements for their channels on the Molotov platform. The behaviors of each of the two groups would have a direct link with the creation of the Salto platform, which will, once launched, have as its activity the distribution of television services, notably the channels and associated services of the parent companies TF1, M6, and FTV, and the publishing of a subscription-based video on demand offer.</w:t>
      </w:r>
    </w:p>
    <w:p>
      <w:r>
        <w:rPr>
          <w:b/>
        </w:rPr>
        <w:t>[Pages 10–12]</w:t>
      </w:r>
    </w:p>
    <w:p>
      <w:r>
        <w:t xml:space="preserve">1. THE BEHAVIOR OF THE M6 GROUP  </w:t>
        <w:br/>
        <w:t xml:space="preserve">39. In a letter dated October 30, 2017, two months before the end of the initial contract, the M6 group informed Molotov that "any new agreement must fall within the framework of the general distribution conditions of [its] services which notably provide that these must only be included within a pay television offer that cannot be primarily composed of free-to-air DTT channels."  </w:t>
        <w:br/>
        <w:t xml:space="preserve">40. According to the complainant, the terms of the general distribution conditions (hereinafter: "GDC") of the M6 group, which were only transmitted to it on November 27, 2017, would be manifestly incompatible with its "freemium" business model, in that they require any distributor to offer consumers the channels and services of the M6 group within a paid offer (clause 3.1 of the GDC, referred to as the "paywall clause" by the complainant).  </w:t>
        <w:br/>
        <w:t xml:space="preserve">41. On December 26, 2017, the M6 group agreed to extend the negotiation period until March 31, 2018, during which Molotov could continue to distribute the group's channels under the terms of the initial contract.  </w:t>
        <w:br/>
        <w:t xml:space="preserve">42. No agreement could be reached by March 31, 2018.  </w:t>
        <w:br/>
        <w:t xml:space="preserve">43. On April 4, 2018, Molotov summoned the company Métropole Télévision before the Paris Commercial Court in order, among other things, to have clause 3.1 of the GDC declared null and void. In its judgment of February 11, 2019, the Court ruled in favor of Molotov and declared this clause unenforceable against Molotov on the basis of Article L. 442-1 of the Commercial Code. The court noted that "the negotiation conditions placed pressure on MOLOTOV that characterized a will or attempt to submit, MOLOTOV having no choice but to refuse to contract and to give up the free channels of the second French audiovisual group, with no compensation coming to offset the negative effects for MOLOTOV of the refusal of the M6 GROUP."  </w:t>
        <w:br/>
        <w:t xml:space="preserve">44. On April 6, 2018, the M6 group brought an action for infringement and parasitism against Molotov before the Paris High Court, as it had maintained the broadcasting of the M6 group's services by other means in the absence of an agreement.  </w:t>
        <w:br/>
        <w:t xml:space="preserve">45. According to the information available to the Authority, no distribution agreement for the free-to-air DTT channels and their associated services linked Molotov and the M6 group as of January 30, 2020.  </w:t>
        <w:br/>
        <w:t xml:space="preserve">2. THE BEHAVIOR OF THE TF1 GROUP  </w:t>
        <w:br/>
        <w:t xml:space="preserve">46. At the beginning of 2019, the TF1 group allegedly "brutally attempted to impose a tightening of its distribution conditions," according to the complainant. Thus, in a letter dated March 8, 2019, the TF1 group allegedly "informed Molotov that it intended to terminate the distribution agreement and apply the terms of its 'TF1 PREMIUM' offer to their relationship, unilaterally setting June 30, 2019, as the deadline for concluding a new agreement."  </w:t>
        <w:br/>
        <w:t xml:space="preserve">47. Subsequently, according to the complainant, the TF1 group systematically opposed the exercise of genuine negotiations. Thus, the complainant indicates that "the TF1 group never transmitted any document relating to the legal, technical, and financial conditions of the TF1 PREMIUM offer. Even today, Molotov is unaware of the exact conditions of the TF1 group's offer."  </w:t>
        <w:br/>
        <w:t xml:space="preserve">48. Furthermore, all attempts at discussions initiated by Molotov following the letter of March 8, 2019, would have been dismissed by the TF1 group. It would have refused to communicate the GDC of the PREMIUM offer to Molotov following a meeting held on April 26, 2019, on the grounds that Molotov should first provide it with the figures of its user base. In the hearing, Molotov confirmed that it had never received an offer.  </w:t>
        <w:br/>
        <w:t xml:space="preserve">49. In an email dated May 10, 2019, Molotov reminded the TF1 group of the particularity of its business model, which is "significantly different from that of other distributors such as ISPs," as it does not have "any subscription model of the 'triple play' type that would allow it to base the remuneration of the 'TF1 Premium' offer on broader revenues from subscriptions to fixed, mobile, or internet services."  </w:t>
        <w:br/>
        <w:t xml:space="preserve">50. Subsequently, according to the complainant, the TF1 group would have refused to respond to Molotov's requests, before informing it on June 14, 2019, that it refused to continue negotiations and that the broadcasting of its channels should cease as of July 1, 2019.  </w:t>
        <w:br/>
        <w:t xml:space="preserve">51. Since that date, Molotov has chosen, in order to continue offering the channels of the TF1 group, to retrieve the signal of the TF1 group by other means, which led the latter to summon it for infringement before the Paris High Court.  </w:t>
        <w:br/>
        <w:t xml:space="preserve">3. THE LINK BETWEEN THE TWO BEHAVIORS: THE CREATION OF SALTO  </w:t>
        <w:br/>
        <w:t xml:space="preserve">52. According to the complainant, the behaviors of the M6 and TF1 groups are linked to the simultaneous launch of the Salto platform, which would be in direct competition with that of Molotov. According to it, "an obvious temporal correlation can be observed between the emergence of the Salto project and the behavior of the TF1 and M6 groups denounced by Molotov, which is moreover devoid of any rationality other than that of excluding Molotov as a competitor."  </w:t>
        <w:br/>
        <w:t xml:space="preserve">53. Salto is a fully operational joint venture created by the FTV, TF1, and M6 groups, whose activity is, on one hand, the distribution, within the framework of paid offers, of television and audiovisual media services on demand, and on the other hand, the publishing of a subscription video-on-demand offer. The creation of Salto was authorized by the Authority on August 12, 2019, subject to the execution of commitments.  </w:t>
        <w:br/>
        <w:t xml:space="preserve">54. The behaviors of TF1 and M6 would constitute "an abusive attempt to exclude the Molotov platform" and would also attest to "the existence of anti-competitive collusion" between the TF1 and M6 groups. Molotov would also be in a situation of economic dependence on TF1 and M6, and the latter would have abused this through their behavior.  </w:t>
        <w:br/>
        <w:t xml:space="preserve">55. In support of its allegations, Molotov argues, firstly, that the M6, TF1, and France Télévisions groups collectively hold a dominant position in the market for the publishing of free-to-air DTT channels and in the related market for the rights necessary to constitute a multi-service media offer. The behaviors of the M6 and TF1 groups described above would thus constitute abuses of economic dependence and abuses of dominant position.  </w:t>
        <w:br/>
        <w:t xml:space="preserve">56. Secondly, according to Molotov, from the early months of 2018, discussions around the Salto project would have affected the autonomy of the behaviors of the TF1 and M6 groups in the market, and their behaviors could not be analyzed independently of what Molotov qualifies as "consultation regarding Salto." The complaint indicates that it is from this date that TF1 and M6 "jointly adopted a behavior towards Molotov aimed at its exclusion from the market." The elements that would demonstrate this coordination are the refusal of the M6 group to negotiate on the principle of clause 3.1 of the GDC, that of TF1 to negotiate a distribution contract, the infringement actions of both publishers, as well as the similarity of the initial distribution contracts and their amendments concluded with each of the M6 and TF1 groups.  </w:t>
        <w:br/>
        <w:t xml:space="preserve">57. Molotov also notes that the commitments proposed to the Authority in the context of the Salto file in their version of June 20, 2019, were limited to ongoing contracts, which would have had the effect of excluding Molotov.  </w:t>
        <w:br/>
        <w:t xml:space="preserve">58. Regarding the behaviors of FTV, Molotov indicated in the hearing that they "are normal" and that it "does not feel a logic of eliminating Molotov."  </w:t>
        <w:br/>
        <w:t xml:space="preserve">II. Discussion  </w:t>
        <w:br/>
        <w:t xml:space="preserve">A. ON THE RELEVANT MARKETS  </w:t>
        <w:br/>
        <w:t xml:space="preserve">59. According to the complainant, there would be a market for the publishing of free-to-air television channels, distinct from that of pay television channels due to their distinct financing model. It would also be "possible to segment the market for free television by distinguishing the historical DTT channels from other channels or, more generally, on one hand, the free-to-air DTT channels that have concluded broadcasting authorizations with the CSA on public domain frequencies free of charge and are subject to specific regulation, and on the other hand, other free television channels."  </w:t>
        <w:br/>
        <w:t xml:space="preserve">60. Furthermore, there would be a market for the aggregated provision of free and paid content and associated services, in which Molotov and Salto would notably compete.  </w:t>
        <w:br/>
        <w:t>61. Finally, TF1 and M6 would also be present in a market for the acquisition of broadcasting rights necessary to constitute an aggregated offer of free and paid content and associated services, a market that would be related to the aforementioned markets.</w:t>
      </w:r>
    </w:p>
    <w:p>
      <w:r>
        <w:rPr>
          <w:b/>
        </w:rPr>
        <w:t>[Pages 13–15]</w:t>
      </w:r>
    </w:p>
    <w:p>
      <w:r>
        <w:t>62. The Authority notes, on the one hand, that the analysis of the relevant markets proposed by the complainant is not consistent with that of the decision-making practice of the competition authorities, and on the other hand, that the complainant does not provide any elements to support the segmentations it proposes.</w:t>
      </w:r>
    </w:p>
    <w:p>
      <w:r>
        <w:t>63. The decision-making practice indeed distinguishes the following relevant markets.</w:t>
      </w:r>
    </w:p>
    <w:p>
      <w:r>
        <w:t>64. At the upstream level, concerning the acquisition of broadcasting rights for audiovisual content, the decision-making practice makes a distinction based on the type of audiovisual content and thus distinguishes between rights relating to cinematographic works, sports rights, and rights relating to other audiovisual programs.</w:t>
      </w:r>
    </w:p>
    <w:p>
      <w:r>
        <w:t>65. At the intermediate level, operators publish the channels they constitute from programs produced in-house or acquired on the upstream market. The intermediate markets for the publishing and marketing of television channels include within their scope the channels and their associated services and functionalities.</w:t>
      </w:r>
    </w:p>
    <w:p>
      <w:r>
        <w:t>66. Traditionally, the decision-making practice of the Authority distinguished between pay channels and their associated services and functionalities, and free DTT channels and their associated services and functionalities. It also considered that the publishing of free DTT channels did not constitute a market per se, notably because television bouquet distributors did not remunerate publishers for being able to distribute their channels. In decision No. 14-DCC-50 mentioned above, the Authority indeed stated: "whereas the corresponding activities in the pay television sector derive most of their revenues from subscriptions paid by end consumers, the publishing and distribution of free channels are almost entirely remunerated by revenues generated from television advertising."</w:t>
      </w:r>
    </w:p>
    <w:p>
      <w:r>
        <w:t>67. In decision No. 19-DCC-157 of August 12, 2019, however, the Authority noted that due to recent developments in the sector, notably the observation that publishers of free channels negotiate remuneration including linear flows and associated services with distributors, "there are strong indications that the activity of publishing and marketing DTT channels could constitute an economic activity that may fall within a relevant market." It nevertheless specifies that "the market test does not allow for a determination of the scope of this potential market," as the different possible segmentations vary according to the respondents. Thus, some respondents to the market test consider the activity of publishing and marketing free DTT television channels as part of a market for the publishing and marketing of pay and free channels and non-linear television services. The parties to the transaction, for their part, indicated that the market in question is that of the publishing and marketing of channels, including all remunerated channels. Other respondents proposed to distinguish free DTT channels from pay channels and non-linear television services.</w:t>
      </w:r>
    </w:p>
    <w:p>
      <w:r>
        <w:t>68. Thus, in August 2019, the Authority left open the question of the exact definition of this market. The date of the referral and that of the Salto decision being almost simultaneous, the analysis of the relevant markets retained in this decision constitutes a relevant reference framework in this case. However, the complainant does not report any changes that occurred in the sector subsequent to this decision that would justify evolving the decision-making practice.</w:t>
      </w:r>
    </w:p>
    <w:p>
      <w:r>
        <w:t>69. Finally, at the downstream level, the Authority distinguishes between pay television, which establishes a commercial relationship between the television distributor and the viewer, and free television, which only establishes a relationship between television services and advertising advertisers. Unlike pay television services, there is no downstream market for the distribution of free-to-air television services. It should be noted that this approach was not challenged by the Authority's decision No. 19-DCC-157 (see paragraph 106 and following).</w:t>
      </w:r>
    </w:p>
    <w:p>
      <w:r>
        <w:t>70. In any event, the question of the exact scope of the markets concerned by the present case may be left open, as the elements put forward by the company Molotov regarding the alleged anti-competitive practices do not allow for considering the facts as being likely to constitute practices contrary to the competition rules.</w:t>
      </w:r>
    </w:p>
    <w:p>
      <w:r>
        <w:t>B. ON THE ALLEGED ANTI-COMPETITIVE PRACTICES</w:t>
      </w:r>
    </w:p>
    <w:p>
      <w:r>
        <w:t>71. The second paragraph of Article L. 462-8 of the Commercial Code states that "the Competition Authority may [...] reject the referral by reasoned decision when it considers that the facts invoked are not supported by sufficiently probative elements."</w:t>
      </w:r>
    </w:p>
    <w:p>
      <w:r>
        <w:t>72. Furthermore, Article R. 464-1 of the same code provides that "the request for interim measures mentioned in Article L. 464-1 can only be made incidentally to a substantive referral to the Competition Authority."</w:t>
      </w:r>
    </w:p>
    <w:p>
      <w:r>
        <w:t>1. ANALYSIS OF THE ALLEGED COLLECTIVE DOMINANCE ABUSE</w:t>
      </w:r>
    </w:p>
    <w:p>
      <w:r>
        <w:t>a) Applicable Principles</w:t>
      </w:r>
    </w:p>
    <w:p>
      <w:r>
        <w:t>73. In decision No. 06-D-02 of February 20, 2006, concerning practices identified in the roadworks sector related to the manufacture of bituminous mixtures in the Ardennes department, the Competition Council (hereinafter referred to as "the Council") noted: "To demonstrate the existence of a collective dominant position, it must be established that the companies 'have, together, notably due to the correlation factors existing between them, the power to adopt a common line of action in the market and to act to a significant extent independently of other competitors, their clientele, and ultimately, consumers' (ECJ, March 31, 1998, joined cases C-68/94 and C-30/95, Kali &amp; Saltz, para. 221; TPI, March 25, 1999, case T-102/96, Gencor, para. 163), which can arise from the examination of the legal links or correlation factors existing between the companies or from the examination of the market structure according to the criteria established by the Court of First Instance of the Communities in the Airtours judgment. The existence of structural links between companies on the one hand, such as capital links or formalized agreements between them, and the adoption of a common line of action in the market on the other hand, is sufficient to demonstrate the existence of a collective dominant position (ECJ, March 16, 2000, Compagnie maritime belge; TPI, October 7, 1999, Irish Sugar; Court of Cassation, March 5, 1996, Total Réunion Comores; Paris Court of Appeal, October 30, 2001, OMVESA; Paris Court of Appeal, June 4, 2002, CFDT Radio).</w:t>
      </w:r>
    </w:p>
    <w:p>
      <w:r>
        <w:t>In the absence of such links, the mere structure of the market can highlight a collective dominant position, if the cumulative criteria established by the Court of First Instance in its Airtours judgment of June 6, 2002 (case T-342/99) are met, namely oligopolistic structure and market transparency, the possibility of retaliating against companies deviating from the common line of action, and finally the non-contestability of the market or the absence of potential competition."</w:t>
      </w:r>
    </w:p>
    <w:p>
      <w:r>
        <w:t>74. In its decision No. 10-D-36, the Authority also held that: "The concept of collective dominance refers to a group of companies that jointly possess market power comparable to that of a single dominant company, allowing it to act independently of the competition from other companies active in the same market. The concept of collective dominance thus combines two notions: firstly, that of interdependence, and secondly, the more classical notion of dominance. In this perspective, an oligopoly whose members are interdependent but face strong competitive pressure, whether from external competitors, potential competitors (new entrants), or from demand that has real bargaining power, could hardly be considered dominant. In this regard, European courts have repeatedly stated that the examination of collective dominance must notably be assessed in light of the ability of the group of companies in question to behave in the relevant market, to a significant extent, in an 'independent' manner with respect to their competitors, their clients, and consumers (see, in particular, the judgment of the Court of Justice of the European Communities of March 16, 2000, Compagnie maritime belge transports et autres/Commission, joined cases C-395/96 P and C-396/96 P, Rec. p. I-1365, paragraphs 33 and 34)."</w:t>
      </w:r>
    </w:p>
    <w:p>
      <w:r>
        <w:t>b) Application to the Case at Hand</w:t>
      </w:r>
    </w:p>
    <w:p>
      <w:r>
        <w:t>75. In support of its demonstration of the existence of a collective dominant position held by the FTV, M6, and TF1 groups, the complainant raises the following elements:</w:t>
        <w:br/>
        <w:t>- The objectively similar situation of the FTV, M6, and TF1 groups, which operate historical free DTT channels and must face the arrival of new competitors (free DTT channels in 2005 and more recently subscription video-on-demand platforms such as Netflix);</w:t>
        <w:br/>
        <w:t>- the clause of a contractual document ("term sheet") […] ;</w:t>
        <w:br/>
        <w:t>- the adoption of an identical strategy by the three groups towards ISPs requiring remuneration in exchange for the distribution of their channels;</w:t>
        <w:br/>
        <w:t>- the creation of Salto, which would constitute a response to competitors such as Molotov and MyCanal;</w:t>
        <w:br/>
        <w:t>- the attempt at a collective acquisition of Molotov in the first quarter of 2018.</w:t>
      </w:r>
    </w:p>
    <w:p>
      <w:r>
        <w:t>76. However, the Authority considers that these elements, both taken in isolation and in consideration of the elements gathered during the investigation, are not likely to demonstrate</w:t>
      </w:r>
    </w:p>
    <w:p>
      <w:r>
        <w:rPr>
          <w:b/>
        </w:rPr>
        <w:t>[Pages 16–18]</w:t>
      </w:r>
    </w:p>
    <w:p>
      <w:r>
        <w:t>the existence of a collective dominant position in light of the aforementioned decision-making practice and case law.</w:t>
      </w:r>
    </w:p>
    <w:p>
      <w:r>
        <w:t>77. Firstly, no element from the referral and the investigation file is capable of demonstrating the existence of structural capital or legal links such as contracts between the TF1, M6, and FTV groups, except for the joint ownership of the thematic channel Série Club by the M6 and TF1 groups and the agreement related to the creation of Salto.</w:t>
      </w:r>
    </w:p>
    <w:p>
      <w:r>
        <w:t>78. By itself, the link arising from the joint ownership by the TF1 and M6 groups of the Série Club channel appears insufficient to establish the existence of a collective dominant position between the TF1, M6, and FTV groups.</w:t>
      </w:r>
    </w:p>
    <w:p>
      <w:r>
        <w:t>79. Furthermore, regarding the structural link resulting from the creation of Salto, it must be noted that it only emerged after the practices denounced by the complainant.</w:t>
      </w:r>
    </w:p>
    <w:p>
      <w:r>
        <w:t>80. Indeed, while the first discussions between TF1, M6, and FTV took place in the spring of 2018 before being publicly announced in June 2018, the execution of the operation was suspended until the Authority's decision on August 12, 2019, pursuant to paragraph 1 of Article L. 430-4 of the Commercial Code, which states that "the effective realization of a concentration operation can only occur after the agreement of the Competition Authority or, when it has referred the matter under the conditions provided for in Article L. 430-7-1, that of the minister responsible for the economy."</w:t>
      </w:r>
    </w:p>
    <w:p>
      <w:r>
        <w:t>81. Thus, the facts denounced by Molotov concerning the M6 and TF1 groups are prior to the decision of August 12, 2019, by which the Competition Authority authorized the creation of Salto, so that no structural link existed between the M6, TF1, and FTV groups when the TF1 group announced to Molotov on June 30, 2019, its decision to no longer authorize it to distribute its channels and services. All the more so, none existed on March 31, 2018, the date on which the M6 group requested the cessation of the distribution of its channels and services, following the failure of negotiations for a new agreement.</w:t>
      </w:r>
    </w:p>
    <w:p>
      <w:r>
        <w:t>82. In light of these elements, the Authority considers that neither the referral nor the investigation file contains sufficiently probative elements capable of demonstrating the existence of structural links between the M6, TF1, and FTV groups.</w:t>
      </w:r>
    </w:p>
    <w:p>
      <w:r>
        <w:t>83. Secondly, regarding the complainant's argument that the TF1, M6, and FTV groups would have adopted an identical strategy towards ISPs, while it is true that between 2016 and 2018 the M6 and TF1 groups required their distributors to pay for the provision of their channels, neither the referral nor any element of the file allows for the establishment of such a strategy on the part of the FTV group. The latter, unlike the M6 and TF1 groups, is indeed required to make its channels available to distributors under Article 34-2 of the aforementioned 1986 law. It cannot therefore be argued that this change in positioning towards distributors constitutes a common course of action among the three publishers in the market.</w:t>
      </w:r>
    </w:p>
    <w:p>
      <w:r>
        <w:t>84. Similarly, the clause of the draft agreement ("Term sheet") [...] cannot be analyzed as an element materializing a collective dominant position among the three publishers in the market. [...]</w:t>
      </w:r>
    </w:p>
    <w:p>
      <w:r>
        <w:t>85. Furthermore, the complainant bases its allegation regarding a potential acquisition of Molotov by the three publishers solely on a newspaper article, while this information has been expressly denied by the M6 and TF1 groups. No other element in the file supports the complainant's allegation.</w:t>
      </w:r>
    </w:p>
    <w:p>
      <w:r>
        <w:t>86. Moreover, the FTV group is not in the same situation as the TF1 and M6 groups, being, unlike the TF1 and M6 groups, subject to specific regulatory obligations under the 1986 law. Furthermore, the complainant cannot simultaneously argue that on the one hand the TF1, M6, and FTV groups are present in a market for free-to-air television channels, even in a segment of this market that would only include historical free DTT channels, and on the other hand, that the TF1, M6, and FTV groups must face the arrival of new competitors such as free DTT channels and video-on-demand platforms, which suggests that the relevant market in which the TF1, M6, and FTV groups are present would encompass other players, including non-linear players, thereby removing any oligopolistic character from the market.</w:t>
      </w:r>
    </w:p>
    <w:p>
      <w:r>
        <w:t>87. Finally, the position taken by each of the three groups towards Molotov cannot be retained to establish the existence of a collective dominant position, since the FTV group has adopted a position distinct from the M6 and TF1 groups by maintaining, since the initial experimental contract, its contractual relationship with Molotov and even regularly extending the duration of this contract, even though the obligation imposed on it under Article 34-2 of the 1986 law does not apply to players not distributing its channels as part of paid subscriptions.</w:t>
      </w:r>
    </w:p>
    <w:p>
      <w:r>
        <w:t>88. In any event, the operation aimed at the creation of Salto was authorized on August 12, 2019, and this authorization is conditioned on the parent companies' compliance with commitments made mandatory by decision No. 19-DCC-157. These commitments, which aim to remedy the competitive risks identified by the Authority, prevent the parties from adopting a common line in the market through their joint subsidiary (see in particular commitments E11 to E14).</w:t>
      </w:r>
    </w:p>
    <w:p>
      <w:r>
        <w:t>89. Consequently, it follows from the above that neither the referral nor the investigation file contains sufficiently probative elements capable of demonstrating the existence of a collectively held dominant position by the FTV, TF1, and M6 groups. In particular, nothing allows us to assert that the FTV, M6, and TF1 groups, taken collectively, are capable of "acting to a significant extent independently of other competitors, their clientele, and ultimately, consumers."</w:t>
      </w:r>
    </w:p>
    <w:p>
      <w:r>
        <w:t>2. ANALYSIS OF THE ALLEGED ABUSE OF ECONOMIC DEPENDENCE</w:t>
        <w:br/>
        <w:t>a) Applicable Principles</w:t>
      </w:r>
    </w:p>
    <w:p>
      <w:r>
        <w:t>90. The second paragraph of Article L. 420-2 paragraph 2 of the Commercial Code prohibits, "as soon as it is likely to affect the functioning or structure of competition, the abusive exploitation by a company or a group of companies of the state of economic dependence in which a customer or supplier company finds itself in relation to it."</w:t>
      </w:r>
    </w:p>
    <w:p>
      <w:r>
        <w:t>91. The infringement referred to in this article therefore requires demonstrating (i) the existence of economic dependence and (ii) an abusive practice likely to affect the functioning or structure of competition.</w:t>
      </w:r>
    </w:p>
    <w:p>
      <w:r>
        <w:t>92. Regarding the state of economic dependence, the Paris Court of Appeal recalled that "the state of economic dependence, for a distributor, is defined as the situation of a company that does not have the possibility of substituting one or more suppliers for its supplier(s) that meet its supply request under comparable technical and economic conditions [...]".</w:t>
      </w:r>
    </w:p>
    <w:p>
      <w:r>
        <w:t>93. According to a consistent decision-making practice (see in particular decisions No. 04-D-28 and No. 06-D-16), the Authority takes into account, to characterize the existence of such a situation, the "notoriety of the supplier's brand, the importance of the supplier's market share, the importance of the supplier's share in the reseller's turnover" but considers that "the mere circumstance that a distributor realizes a very significant or even exclusive share of its supply from a single supplier is not sufficient to characterize its state of economic dependence within the meaning of Article L. 420-2 of the Commercial Code."</w:t>
      </w:r>
    </w:p>
    <w:p>
      <w:r>
        <w:t>94. In decision No. 03-D-42, the Council had held that "situations of dependence falling under [Article L. 420-2] of the Commercial Code are situated within the framework of bilateral relations between two companies and must therefore be evaluated on a case-by-case basis, and not globally for the entire profession." This position was confirmed in a decision of the Council No. 06-D-16 of June 20, 2006, and the Authority's decisions No. 10-D-08 of March 3, 2010, and No. 19-D-18 of July 31, 2019.</w:t>
      </w:r>
    </w:p>
    <w:p>
      <w:r>
        <w:t>95. In the aforementioned decision No. 10-D-08, the Authority recognized that the state of economic dependence can also be assessed in the relationships between a supplier and its distribution network, provided that this network "constitutes a group of companies with sufficiently homogeneous characteristics, whose members are placed, in relation to this supplier, in the same economic and legal position."</w:t>
      </w:r>
    </w:p>
    <w:p>
      <w:r>
        <w:t>b) Application to the Case at Hand</w:t>
      </w:r>
    </w:p>
    <w:p>
      <w:r>
        <w:t>96. The referral relies on the fact that the channels of the three historical groups (M6, TF1, and FTV) represent 70% of the audience of free linear television and on the share of the total viewing time of Molotov users attributable to the channels of the TF1 and M6 groups, which is [0-40]%, and [0-40]% respectively for each of the groups.</w:t>
      </w:r>
    </w:p>
    <w:p>
      <w:r>
        <w:t>97. Molotov further emphasizes the essential nature of the channels of the two groups in its Molotov offer and considers that access to them is crucial for the purposes of</w:t>
      </w:r>
    </w:p>
    <w:p>
      <w:r>
        <w:rPr>
          <w:b/>
        </w:rPr>
        <w:t>[Pages 19–21]</w:t>
      </w:r>
    </w:p>
    <w:p>
      <w:r>
        <w:t xml:space="preserve">convince consumers to subscribe to paid options, the only source of revenue for Molotov.  </w:t>
        <w:br/>
        <w:t xml:space="preserve">98. As a preliminary point, it should be emphasized that it is not relevant to consider the cumulative audience share of the three publishers, insofar as it is not argued that Molotov would be in a situation of economic dependence with respect to the FTV group, which is not implicated in the referral.  </w:t>
        <w:br/>
        <w:t xml:space="preserve">99. Furthermore, according to the case law recalled above, a situation of economic dependence could, in the present case, only be conceived in the bilateral relationships of TF1 and Molotov and/or M6 and Molotov and not globally in the relationships between Molotov on one hand and M6 and TF1 taken collectively on the other hand. The demonstration of such a state of dependence must therefore be made for each of these relationships.  </w:t>
        <w:br/>
        <w:t xml:space="preserve">100. However, the complainant does not conduct a "case-by-case" analysis, as required by case law, of the economic dependence situation in which it would find itself with respect to each of the two groups.  </w:t>
        <w:br/>
        <w:t xml:space="preserve">101. The elements in the investigation file are also not likely to characterize any state of economic dependence of Molotov with respect to either of the two groups.  </w:t>
        <w:br/>
        <w:t xml:space="preserve">102. Firstly, regarding the criterion related to the market share of the supplier, while to date the decision-making practice has not defined the contours of a market for the publishing of free DTT channels, the position of the M6 and TF1 groups in the free linear television segment can be estimated via the audience that each group generates, namely 28% for the TF1 group channels and 13% for the M6 group channels. According to the complainant, the audience shares of the two groups in the viewing time of channels via the Molotov application are of the same order.  </w:t>
        <w:br/>
        <w:t xml:space="preserve">103. Secondly, concerning the importance of the services of each of the M6 and TF1 groups in Molotov's revenue, the complainant does not provide a figure allowing for an accurate estimate of the share represented by the channels and services of the TF1 and M6 groups in its total revenue. However, it does provide several figures on:  </w:t>
        <w:br/>
        <w:t xml:space="preserve">- the distribution of viewing time of programs on the Molotov platform ([0-40]% of viewing time would be concentrated on the TF1 group channels and [0-40]% on the M6 group channels);  </w:t>
        <w:br/>
        <w:t xml:space="preserve">- the number of platform users who watched the channels of the TF1 and M6 groups (in 2018, nearly [0-5] million platform users watched the TF1 group channels and nearly [0-5] million watched the M6 group channels);  </w:t>
        <w:br/>
        <w:t xml:space="preserve">- the proportion of recordings made on the platform that subscribed to a "Molotov Plus" offer concerning the programs of the TF1 and M6 groups ([0-40]% of recordings concerning the TF1 group and [0-40]% concerning the M6 group).  </w:t>
        <w:br/>
        <w:t xml:space="preserve">104. While the elements related to viewing time and the number of users demonstrate the importance that the channels of the M6 and TF1 groups may have within the "Molotov Basic" offer, they do not allow for the demonstration of the importance of the services associated with the channels of each of the TF1 and M6 groups, which are the only ones marketed to subscribers, in the total revenue generated by Molotov. Indeed, in accordance with the business model chosen by Molotov, the basic offer through which linear television channels are made available for free to consumers does not generate any revenue.  </w:t>
        <w:br/>
        <w:t xml:space="preserve">105. Regarding the Molotov Plus and Molotov Extended offers, which together represent about two-thirds of Molotov's revenue, the elements in the file make it difficult to assess the share of Molotov's revenue attributable to the channels and services of the M6 and TF1 groups, since the subscription is done "in bulk" for all services and content of the linear television channel publishers, in accordance with the contracts concluded between each publisher and Molotov, and not on a per-item basis, by type of content or by publisher.  </w:t>
        <w:br/>
        <w:t xml:space="preserve">106. It follows from the above that neither the referral nor the elements submitted to the file allow for the demonstration of the existence of an economic dependence situation in which Molotov would find itself with respect to each of the M6 and TF1 groups.  </w:t>
        <w:br/>
        <w:t xml:space="preserve">107. Under these conditions, the state of economic dependence mentioned in the second paragraph of Article L. 420-2 of the Commercial Code being a condition for the application of this article, it is not necessary to analyze whether the behaviors denounced are likely to constitute abuses within the meaning of the aforementioned article.  </w:t>
        <w:br/>
        <w:t xml:space="preserve">3. ANALYSIS OF THE ALLEGED AGREEMENT  </w:t>
        <w:br/>
        <w:t xml:space="preserve">108. The referral argues that discussions between the M6, FTV, and TF1 groups took place at the beginning of 2018 regarding the creation of Salto; moreover, FTV would have indicated that it postponed the establishment of its own platform. The common interest manifested by the creation of Salto would have affected the autonomy of the behaviors of TF1 and M6, and would have encouraged them to adopt a concerted behavior towards Molotov aimed at restricting its ability to exert competitive pressure on their future platform. According to the complainant, the behaviors of the M6 and TF1 groups could therefore not be analyzed independently of what it qualifies as "consultation regarding Salto."  </w:t>
        <w:br/>
        <w:t xml:space="preserve">109. As the Authority recalled in its "Dstorage" decision of July 31, 2019, a parallelism of behaviors is not sufficient to qualify an anti-competitive agreement. It thus held in this case: "the fact that, during the incriminated period, from 2012 to 2018, several payment service providers adopted the same behavior towards the company Dstorage and similarly terminated their contracts or refused to contract, is not sufficient to demonstrate the existence of an agreement between them. It should be recalled in this regard that, according to the decision-making practice of the Authority, illustrated in particular by decision No. 09-D-38 of December 17, 2009, concerning practices implemented by the companies Ethicon SAS, Tyco Healthcare France, and the national union of medical technology industries (paragraph 38), a parallelism of behavior on the part of competitors making autonomous decisions, based on information accessible to all and according to their own economic rationality, is not sufficient, on its own, to demonstrate the existence of an agreement."  </w:t>
        <w:br/>
        <w:t xml:space="preserve">110. In this case, the M6 and TF1 groups have, in fact, each changed their positioning with respect to the entire market, by requiring distributors to remunerate them for the marketing of their content to consumers. However, this new positioning of each of the two groups is explained by the evolution of the audiovisual landscape, particularly as outlined in opinion No. 19-A-04 (the stagnation of advertising resources for television publishers necessitating the search for new sources of revenue).  </w:t>
        <w:br/>
        <w:t xml:space="preserve">111. No element further supports the thesis put forward by the complainant, according to which the individual decisions of each of the M6 and TF1 groups regarding their respective positioning with respect to all distributors would be the result of an anti-competitive agreement.  </w:t>
        <w:br/>
        <w:t xml:space="preserve">112. Moreover, the Authority notes that the respective decisions of the M6 and TF1 groups to terminate and/or not renew their respective contracts with Molotov took different forms and occurred at different times: paywall clause for M6 at the end of 2017 and termination of relations in March 2018; Premium offer for TF1 in 2016 and termination of the experimental contract on June 30, 2019, more than a year after the failure of negotiations between Molotov and the M6 group.  </w:t>
        <w:br/>
        <w:t xml:space="preserve">113. Finally, according to the TF1 and M6 groups, these decisions would be explained by the existence of repeated contractual breaches by Molotov, including unpaid invoices as well as several contractual non-executions, notably the absence of monthly provision of the number of users and sending of detailed data on the use of the recording feature. In support of their allegations on this point, the TF1 and M6 groups provided documentary evidence, including letters addressed to Molotov detailing these breaches. The elements of the file also reveal the doubts of these two publishers regarding the financial sustainability of Molotov, a consideration supported by the payment delays that FTV also reported.  </w:t>
        <w:br/>
        <w:t xml:space="preserve">114. While the Authority is not the judge of contractual breaches that may occur between operators in the market, it remains that the elements provided by the TF1, M6, and FTV groups are likely to provide a plausible explanation for the position that each of the TF1 and M6 groups has taken with respect to Molotov and that it denounces in its referral.  </w:t>
        <w:br/>
        <w:t xml:space="preserve">115. Thus, while there is a certain parallelism between the evolution of the relationships between M6 and Molotov on one hand, and between TF1 and Molotov on the other hand, in that M6 and TF1 have each in turn terminated their distribution contracts with Molotov, while the respective negotiations for the conclusion of a new contract did not succeed, the referral and the elements in the file do not contain any element tending to demonstrate the existence of an agreement of will, explicit or tacit, between the TF1 and M6 groups aimed at restricting competition, by excluding Molotov from the market.  </w:t>
        <w:br/>
        <w:t xml:space="preserve">4. ANALYSIS OF THE ALLEGED VERTICAL RESTRICTION  </w:t>
        <w:br/>
        <w:t>116. Molotov argues that the so-called Paywall clause contained in the M6 group's CDGs would be contrary to Articles 101 of the TFEU and L. 420-1 of the Commercial Code in that the</w:t>
      </w:r>
    </w:p>
    <w:p>
      <w:r>
        <w:rPr>
          <w:b/>
        </w:rPr>
        <w:t>[Pages 22–24]</w:t>
      </w:r>
    </w:p>
    <w:p>
      <w:r>
        <w:t>"limitation of the commercial autonomy of distributors constitutes a characterized restriction".</w:t>
      </w:r>
    </w:p>
    <w:p>
      <w:r>
        <w:t>a) Applicable principles</w:t>
      </w:r>
    </w:p>
    <w:p>
      <w:r>
        <w:t>117. In its judgment of May 16, 2013, Kontiki, the Court of Appeal of Paris recalled that "Articles 101, paragraph 1, of the TFEU and L. 420-1 of the Commercial Code prohibit, in particular, agreements between suppliers and distributors that have the object or effect of preventing, distorting, or restricting the setting of prices to consumers by the free play of competition".</w:t>
      </w:r>
    </w:p>
    <w:p>
      <w:r>
        <w:t>118. The proof of the agreement of intent between the parties to an agreement is demonstrated when, on one side, there is the invitation of one party to the agreement to implement a practice and, on the other side, the acquiescence of at least one other party to this invitation. The Court specified in this regard that "the notion of agreement within the meaning of Article [101, paragraph 1, of the TFEU] as interpreted by case law, is focused on the existence of a concordance of wills between at least two parties, the form of manifestation of which is not important as long as it constitutes a faithful expression of those wills".</w:t>
      </w:r>
    </w:p>
    <w:p>
      <w:r>
        <w:t>119. Regarding imposed prices, Article 4 of the regulation on exemptions for vertical agreements excludes from the scope of the exemption certain vertical agreements containing characterized restrictions. This is particularly the case for vertical agreements that directly or indirectly have the object "of restricting the buyer's ability to determine its selling price, without prejudice to the possibility for the supplier to impose a maximum selling price or to recommend a selling price, provided that the latter do not amount to a fixed or minimum selling price under the effect of pressures exerted or incentives provided by one of the parties".</w:t>
      </w:r>
    </w:p>
    <w:p>
      <w:r>
        <w:t>120. According to the European Commission's guidelines on vertical restrictions, this provision targets imposed selling prices, that is to say, agreements that directly or indirectly have the object of establishing a fixed or minimum selling price or a level of fixed or minimum selling price that the buyer is required to respect. The guidelines specify in particular that these prices can be imposed by indirect means (agreement setting the margin of distributors or the maximum level of discounts that a distributor can grant from a predefined price level), or by linking the imposed selling price to the selling prices practiced by competitors or by behaviors such as threats, warnings, sanctions, terminations of agreements in case of non-compliance with a given price level.</w:t>
      </w:r>
    </w:p>
    <w:p>
      <w:r>
        <w:t>121. The Court of Appeal emphasized in the aforementioned Kontiki judgment that "imposed pricing practices are considered by Regulation (EU) No. 330/2010 of the Commission of April 20, 2010 as characterized restrictions and that, therefore, an agreement or concerted practice having directly or indirectly the object of establishing a fixed or minimum selling price that the buyer is required to respect is presumed to restrict competition" (confirmed by the Court of Cassation in its judgment of October 7, 2014).</w:t>
      </w:r>
    </w:p>
    <w:p>
      <w:r>
        <w:t>b) Application to the case at hand</w:t>
      </w:r>
    </w:p>
    <w:p>
      <w:r>
        <w:t>122. It appears from the elements of the file that the CGD of the M6 group were adopted by it unilaterally and were not the subject of any explicit agreement or tacit acquiescence by Molotov, precisely due to its rejection of said CGD.</w:t>
      </w:r>
    </w:p>
    <w:p>
      <w:r>
        <w:t>123. In the absence of demonstration of the existence of an agreement of intent, any analysis under Articles L. 420-1 of the Commercial Code and 101 paragraph 1 of the TFEU is, by definition, excluded.</w:t>
      </w:r>
    </w:p>
    <w:p>
      <w:r>
        <w:t>124. Furthermore, the Authority notes that in its judgment of February 11, 2019, the Commercial Court of Paris considered that clause 3.1 was not enforceable against Molotov under Article L. 442-1 of the Commercial Code. Thus, at the date of the referral, according to this judgment, this clause no longer had any effect on the competitive situation of Molotov.</w:t>
      </w:r>
    </w:p>
    <w:p>
      <w:r>
        <w:t>III. Conclusion</w:t>
      </w:r>
    </w:p>
    <w:p>
      <w:r>
        <w:t>125. It follows from the above that the company Molotov does not provide sufficiently convincing elements to support its allegations.</w:t>
      </w:r>
    </w:p>
    <w:p>
      <w:r>
        <w:t>126. It is therefore appropriate to reject the referral pursuant to the second paragraph of Article L. 462-8 of the Commercial Code. This rejection on the merits leads to the rejection of the request for interim measures, registered under number 19/0039 M, which is accessory to it.</w:t>
      </w:r>
    </w:p>
    <w:p>
      <w:r>
        <w:t>Article 1: The referral of the company Molotov registered under number 19/0038 F is rejected.</w:t>
      </w:r>
    </w:p>
    <w:p>
      <w:r>
        <w:t>Article 2: The request for interim measures of the company Molotov registered under number 19/0039 M is rejected.</w:t>
      </w:r>
    </w:p>
    <w:p>
      <w:r>
        <w:t>Deliberated on the oral report of Mr. Benjamin Record, rapporteur, and the intervention of Ms. Lauriane Lépine-Sarandi, deputy general rapporteur, by Mr. Emmanuel Combe, vice-president, president of the session, Ms. Catherine Prieto, Mr. Jean-Yves Mano, Mr. Fabien Raynaud, and Mr. Christophe Strassel, members.</w:t>
      </w:r>
    </w:p>
    <w:p>
      <w:r>
        <w:t>The session secretary, The vice-president,</w:t>
        <w:br/>
        <w:t>Armelle Hillion Emmanuel Combe</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