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https://www.autoritedelaconcurrence.fr/fr/decision/relative-des-pratiques-mises-en-oeuvre-dans-le-secteur-de-ledition-et-de-la-vente-de-0</w:t>
      </w:r>
    </w:p>
    <w:p>
      <w:r>
        <w:t>Pages translated : 18</w:t>
      </w:r>
    </w:p>
    <w:p/>
    <w:p>
      <w:r>
        <w:rPr>
          <w:b/>
        </w:rPr>
        <w:t>[Pages 1–3]</w:t>
      </w:r>
    </w:p>
    <w:p>
      <w:r>
        <w:t>FRENCH REPUBLIC</w:t>
        <w:br/>
        <w:t>Decision No. 21-D-04 of February 24, 2021</w:t>
        <w:br/>
        <w:t>regarding practices implemented in the sector of publishing and</w:t>
        <w:br/>
        <w:t>selling professional software</w:t>
        <w:br/>
        <w:t>The Competition Authority (Vice-President ruling alone),</w:t>
        <w:br/>
        <w:t>Having regard to the letter, registered on September 9, 2020 under number 20/0086 F, by which the company Cartocad referred to the Competition Authority practices implemented in the sector of publishing and selling professional software;</w:t>
        <w:br/>
        <w:t>Having regard to Book IV of the Commercial Code relating to price and competition freedom;</w:t>
        <w:br/>
        <w:t>Having regard to Decision No. 21-JU-01 of January 5, 2021, by which the President designated Mr. Henri Piffaut, Vice-President, to adopt alone the decision resulting from the examination of the referral registered under number 20/0086 F;</w:t>
        <w:br/>
        <w:t>Having regard to the other documents in the file;</w:t>
        <w:br/>
        <w:t>Having regard to the documents communicated by the counsel of the company Cartocad on January 26, 2021;</w:t>
        <w:br/>
        <w:t>The reporting member, the Deputy General Reporter, the representatives of the company Cartocad, and the Government Commissioner heard during the session of January 25, 2021;</w:t>
        <w:br/>
        <w:t>Adopts the following decision:</w:t>
        <w:br/>
        <w:t>11, rue de l’Échelle – 75001 Paris – telephone: 01 55 04 00 00 – fax: 01 55 04 00 22 – www.autoritedelaconcurrence.fr</w:t>
      </w:r>
    </w:p>
    <w:p>
      <w:r>
        <w:t>Summary1</w:t>
        <w:br/>
        <w:t>By this decision, the Competition Authority rejects the referral of the company Cartocad for lack of evidence. The Authority considers that the facts reported against the company Autodesk are not supported by sufficiently probative elements to characterize an abuse of economic dependence by Autodesk against Cartocad.</w:t>
        <w:br/>
        <w:t>Indeed, the provisions of the second paragraph of Article L. 420-2 of the Commercial Code relating to the abuse of economic dependence require the fulfillment of three cumulative conditions: the existence of an economic dependence situation of one company with respect to another, an abusive exploitation of this situation, and a real or potential effect on the functioning or structure of competition. In the absence of one of these three conditions, the alleged abuse of economic dependence is not established.</w:t>
        <w:br/>
        <w:t>The referral concerns two segments within the ranges of software known as "computer-aided design" (CAD): the "building" segment and the "mechanical" segment. It was found that the complainant did not provide elements allowing for the assessment of the respective presences and the differences in notoriety of the brands of software present in these segments and to conclude on the essential nature of the Autodesk brand for CAD software distributors.</w:t>
        <w:br/>
        <w:t>Furthermore, the company Cartocad did not demonstrate, in its referral or during the session of January 25, 2021, how the redeployment and reassignment of personnel, particularly with alternative distribution networks of "Product Lifecycle Management" (PLM) software, would have been impossible due to the contractual relationship between the parties.</w:t>
        <w:br/>
        <w:t>Under these conditions, the elements provided do not allow for the characterization of a state of economic dependence. This state being a condition for the application of the second paragraph of Article L. 420-2 of the Commercial Code, it was not necessary to analyze the abusive nature of the reported behaviors.</w:t>
        <w:br/>
        <w:t>1 This summary is strictly informative. Only the reasons for the decision numbered below are authoritative.</w:t>
      </w:r>
    </w:p>
    <w:p>
      <w:r>
        <w:t>SUMMARY</w:t>
        <w:br/>
        <w:t>I. Findings ............................................................................................. 4</w:t>
        <w:br/>
        <w:t>A. THE SECTOR ................................................................................................................................. 4</w:t>
        <w:br/>
        <w:t>B. THE COMPANIES INVOLVED .................................................................................................... 6</w:t>
        <w:br/>
        <w:t>1. THE AUTODESK GROUP AND AUTODESK FRANCE ............................................................ 6</w:t>
        <w:br/>
        <w:t>2. CARTOCAD SARL .................................................................................................................. 7</w:t>
        <w:br/>
        <w:t>C. CONTRACTUAL RELATIONS BETWEEN AUTODESK AND CARTOCAD ...................... 8</w:t>
        <w:br/>
        <w:t>D. FACTS AND PRACTICES REPORTED IN THE REFERRAL ............................................ 11</w:t>
        <w:br/>
        <w:t>II. Discussion ..................................................................................... 13</w:t>
        <w:br/>
        <w:t>A. ON THE SCOPE OF COMPETENCE ...................................................................................... 13</w:t>
        <w:br/>
        <w:t>B. ON THE ALLEGED ABUSE OF DEPENDENCE .................................................................... 14</w:t>
        <w:br/>
        <w:t>1. APPLICABLE PRINCIPLES .................................................................................................... 14</w:t>
        <w:br/>
        <w:t>2. APPLICATION TO THE CASE AT HAND ............................................................................. 14</w:t>
        <w:br/>
        <w:t>C. CONCLUSION ................................................................................................................................ 17</w:t>
        <w:br/>
        <w:t>DECISION……………………………………………………..…………………………18</w:t>
      </w:r>
    </w:p>
    <w:p>
      <w:r>
        <w:rPr>
          <w:b/>
        </w:rPr>
        <w:t>[Pages 4–6]</w:t>
      </w:r>
    </w:p>
    <w:p>
      <w:r>
        <w:t xml:space="preserve">N THE CASE AT HAND .................................................................................. 14  </w:t>
        <w:br/>
        <w:t xml:space="preserve">C. CONCLUSION ................................................................................................................................ 17  </w:t>
        <w:br/>
        <w:t xml:space="preserve">DECISION……………………………………………………..…………………………18  </w:t>
        <w:br/>
        <w:t>3</w:t>
      </w:r>
    </w:p>
    <w:p>
      <w:r>
        <w:t xml:space="preserve">1. By letter dated September 4, 2020, registered on September 9, 2020, the company Cartocad, distributor of software products and associated services on behalf of Autodesk, referred to the Competition Authority practices implemented by the Autodesk group (hereinafter "Autodesk") in the field of publishing and selling professional software, which it considers contrary to the second paragraph of Article L. 420-2 of the Commercial Code.  </w:t>
        <w:br/>
        <w:t xml:space="preserve">2. In particular, Cartocad accuses Autodesk of i) abusing the economic dependence of its authorized resellers, of which it is a part, and ii) being responsible for creating a significant imbalance in the rights and obligations of the contract that binds them.  </w:t>
        <w:br/>
        <w:t xml:space="preserve">I. Findings  </w:t>
        <w:br/>
        <w:t xml:space="preserve">A. THE SECTOR  </w:t>
        <w:br/>
        <w:t xml:space="preserve">3. The software publishing sector comprises three main branches of activity: i) the publishing of computer technology software, ii) the publishing of electronic games, and finally iii) the publishing of application software. According to INSEE, in France, the 5,000 companies in the sector generated a turnover of approximately 14 billion euros in 2017, of which 44.8% was in the publishing of application software.  </w:t>
        <w:br/>
        <w:t xml:space="preserve">4. The largest share of application software is intended for professional use within companies, known as "EAS" (Enterprise Application Software). Among these are product lifecycle management software or "PLM" (Product Lifecycle Management), which includes computer-aided design and manufacturing software (hereinafter referred to as "CAD" and "CAM," collectively "CNC").  </w:t>
        <w:br/>
        <w:t xml:space="preserve">5. Emerging in the late 1970s, CAD encompasses all computer tools, software, and hardware that enable the modeling of an object for its manufacture or a project for its realization. It allows for visualizing the appearance, structure, and functioning before it exists, by creating two-dimensional (2D) drawings and three-dimensional models (3D being the standard since the 1990s). Consequently, it finds numerous application areas: mechanics, architecture, engineering and construction, electronics and electrotechnics, urban planning, furniture design, event planning and entertainment, and even more specific fields (for example, in orthopedics).  </w:t>
        <w:br/>
        <w:t xml:space="preserve">6. According to a report published in early 2020 and relayed by the specialized press, the global CAD market would represent a turnover of approximately 9 billion dollars (before the onset of the COVID-19 pandemic). Its growth has been fueled in recent years by the widespread digitization and the development of increasingly efficient technologies. The most dynamic segments of the market would be manufacturing processes, industrial production, the energy sector, and together, architecture, engineering, and construction commonly referred to by the acronym "AEC" (Architecture, Engineering &amp; Construction).  </w:t>
        <w:br/>
        <w:t xml:space="preserve">7. In this latter field in particular, building information modeling solutions or "BIM" (Building Information Modeling) are booming. They allow, in addition to traditional design and production tools for a building, the collection of a set of information related to its lifecycle, from construction to demolition, which can exceed the mere aspects related to the construction of the building (energy efficiency, environmental performance, recycling of materials…). As evolving databases, they offer multidisciplinary and collaborative workspaces accessible by all trades involved in construction projects and by other stakeholders (clients, developers, suppliers, subcontractors, customers…).  </w:t>
        <w:br/>
        <w:t xml:space="preserve">8. In all sectors of industry, CAD is set to grow, with the gradual adoption of "digital twin" techniques, which consist of digitally replicating objects, processes, and systems from the real world by concentrating design, data, and analysis into unique software solutions.  </w:t>
        <w:br/>
        <w:t xml:space="preserve">9. According to the report cited in paragraph 6, the ten largest CAD publishers would share more than 95% of the global turnover: Siemens (Germany, 31%), Dassault Systèmes (France, 20%), Autodesk (US, 18%), Hexagon (Sweden, 6%), Bentley Systems (US, 5%), Parametric Technology Corporation (US, 5%), Nemetschek (Germany, 5%), Aveva (UK, 4%), Trimble (US, 2%). Each of them operates in one or more areas of expertise, which may overlap due to the adaptability of software solutions and the numerous functionalities of the software.  </w:t>
        <w:br/>
        <w:t xml:space="preserve">10. Publishers market their products directly or indirectly, through a physical distribution network generally composed of IT service companies, whose activities may encompass several trades such as consulting, IT system integration (setting up an IT architecture, selling software…), the design and implementation of IT projects (such as a website), maintenance, support, and training.  </w:t>
        <w:br/>
        <w:t xml:space="preserve">11. The marketing of software occurs according to two main modes: i) the sale of a license (perpetual or limited duration), which authorizes the user to install the software on their machines without transferring copyright, and ii) the sale of a so-called "SaaS" (Software as a Service) solution where access to the software installed on a remote server, whose hosting is managed by the publisher, is billed to the user who pays per use or via a subscription. In both modes, related support services are generally offered, such as updates, configuration and customization of the software, maintenance, or professional training.  </w:t>
        <w:br/>
        <w:t xml:space="preserve">12. According to the Xerfi study "Software Publishing" from April 2019, the share of software sales (application and infrastructure) in SaaS mode represented on average, in 2016, 32% of the turnover of publishers (up to 50% for the largest players), the share of license sales 32%, and the share of service provision 36%. With the widespread adoption of high-speed internet, the increase in server processing capabilities, and the development of cloud computing organization, the SaaS distribution model is progressing strongly and has "become essential in the strategy of major software publishers."  </w:t>
        <w:br/>
        <w:t xml:space="preserve">B. THE COMPANIES INVOLVED  </w:t>
        <w:br/>
        <w:t xml:space="preserve">1. THE AUTODESK GROUP AND AUTODESK FRANCE  </w:t>
        <w:br/>
        <w:t xml:space="preserve">13. Founded in 1982 in the United States, Autodesk Inc. is a software publishing company for digital creation and content, traditionally known as the publisher of the CAD software AutoCAD, launched the same year.  </w:t>
        <w:br/>
        <w:t xml:space="preserve">14. In 2019, the Autodesk group, which employs approximately 11,300 people worldwide, achieved a global turnover of more than 2.5 billion euros (an increase of 27% compared to 2018). This figure is generated 40% in the Europe, Middle East, and Africa region.  </w:t>
        <w:br/>
        <w:t xml:space="preserve">15. The Autodesk group's activities are based on the publishing and marketing of four major families of CAD software products: i) "historical" and multidisciplinary software (architecture, urban planning, industry, mechanics, electronics), AutoCAD and AutoCAD Light (a "light" version of the former with fewer features) (29% of global turnover in 2019); ii) Architecture, Engineering &amp; Construction software and solutions (42%); iii) Manufacturing software and solutions (22%); iv) Media &amp; Entertainment software and solutions (7%).  </w:t>
        <w:br/>
        <w:t xml:space="preserve">16. Overall, Autodesk's offering revolves around flagship software, which can be purchased individually, and "collections," grouping the main flagship software and a number of other software, referred to as "workflow," which may not be accessible through any means other than a collection. The latter are intended to optimize the use of flagship software (for example, the Vault software, for managing and securing data used in these software) or to align them with the specific needs of a profession (for example, AutoCAD Architecture adds features specific to the architecture profession to AutoCAD). They may include cross-cutting solutions across all families, such as software for managing and securing data generated by the use of flagship software.  </w:t>
        <w:br/>
        <w:t xml:space="preserve">17. The clientele of Autodesk France is primarily a corporate clientele: 43% of the total turnover is generated from companies with more than 5,000 employees or more than 1,000 users, 43% from companies with 20 to 5,000 employees or fewer than 1,000 users, and the remaining 14% is generated from companies with fewer than 20 employees or 15 users and from individuals.  </w:t>
        <w:br/>
        <w:t>18. Autodesk sells its products and services both directly and indirectly. The direct channel includes sales to major accounts ("named account customers"), transactions conducted within the group, and sales made through the company's online store. The indirect channel, consisting of a network of 1,500 distributors and resellers (2,000 in 2016), represented 70% of its total turnover in 2019.</w:t>
      </w:r>
    </w:p>
    <w:p>
      <w:r>
        <w:rPr>
          <w:b/>
        </w:rPr>
        <w:t>[Pages 7–9]</w:t>
      </w:r>
    </w:p>
    <w:p>
      <w:r>
        <w:t>(79% in 2016)11.</w:t>
        <w:br/>
        <w:t>19. This network includes both a single-tier structure, in which Autodesk sells directly to "value-added resellers" (VAR), and a two-tier structure, in which "value-added distributors" (VAD) act as wholesalers between Autodesk and the resellers. All associate the sale of software products with value-added services (such as consulting and training).</w:t>
        <w:br/>
        <w:t>20. The two largest wholesalers for Autodesk are Tech Data Corporation and its subsidiaries, which accounted for about one-third of the global revenue in 2019 (one-quarter in 2016), and Ingram Micro Inc., which accounted for about one-tenth of this revenue. According to the complainant, only a specialized division of Tech Data, Datech Solutions, would be active in this capacity in France12.</w:t>
        <w:br/>
        <w:t>21. The Autodesk group began a transition of its business model to the SaaS model in the early 2010s. This transition was formally announced to shareholders in October 201313. In 2019, the SaaS model contributed 85% to the overall revenue, with the "subscribed" customer base rising to 4.9 million users (+12% compared to 2018)14.</w:t>
        <w:br/>
        <w:t>22. The group established itself in France in 1989. Autodesk France is a single-member SAS headquartered in Paris. Its main activities are defined as "All activities concerning computer systems and/or video systems, notably the development, adaptation, operation, marketing, and manufacturing of software packages and all similar products as well as all services related to the use of these products"15. It achieved a revenue of approximately 60 million euros in 2019 (an increase of 18% compared to 2018) and employs around one hundred people.</w:t>
        <w:br/>
        <w:t>2. CARTOCAD SARL</w:t>
        <w:br/>
        <w:t>23. The limited liability company Cartocad, established in 1993, is an independent IT services company operating throughout the metropolitan territory. Having six employees since 201716, it achieved a revenue of just over one million euros in 2019 and 202017.</w:t>
        <w:br/>
        <w:t>24. Since its inception, Cartocad has been part of the Autodesk group's distribution network. At that time, the network was purely selective18, before becoming multi-channel in the 2010s. Cartocad held the "Silver" level (see paragraph 32) until February 1, 2018, and then the Reseller level (see paragraph 41). It was certified by Autodesk in two specializations, one called "mechanical" until August 1, 2015, and the other called "building" until the expiration of its distribution contract on August 1, 2020.</w:t>
        <w:br/>
        <w:t>25. Regarding its activities for Hewlett Packard, Cartocad indicates that its status was acquired more than ten years ago and that it "is granted to resellers of Autodesk drawing software if they request it. HP hardware is therefore sold in order to install (often) Autodesk software"19.</w:t>
        <w:br/>
        <w:t>C. CONTRACTUAL RELATIONS BETWEEN AUTODESK AND CARTOCAD</w:t>
        <w:br/>
        <w:t>26. Value-added resellers, including the complainant, are linked to Autodesk France by a "Value-Added Reseller Agreement" (hereinafter "VAR Agreement") to which a set of documents is attached, including the "Autodesk Partner Benefits Program Guide" (hereinafter the "Program Guide") which describes the organization and functioning of the network. It notably includes, for "partner" companies, the "conditions" for participation in the network and the "benefits" provided in return.</w:t>
        <w:br/>
        <w:t>27. For the implementation of these contracts, Autodesk sends its resellers, prior to each year of its "fiscal year" (February 1 of year n to January 31 of year n+1), generally in December (of year n-1), the strategic and commercial guidelines to follow, via a document titled "Framework." This document, at least for those included in the file, includes a general presentation of the main developments in the organization of the network for the upcoming fiscal year, and an individualized section that presents, for the concerned reseller, based on its "level" in the network and its "specializations," its commercial objectives and its remuneration grid (see paragraph 32).</w:t>
        <w:br/>
        <w:t>28. The last contract between Cartocad and Autodesk was signed on February 25, 2016, and was set to expire on January 31, 201920. Autodesk notified Cartocad by registered letter dated January 25, 2019, "the end of the commercial relations between [the] two companies after an 18-month notice period, starting from August 1, 2020"21.</w:t>
        <w:br/>
        <w:t>29. It follows from this contract22 that, as a VAR, i) Cartocad did not have an exclusive right to supply Autodesk products and associated services in its geographical area of activity and, on the contrary, Autodesk reserved the possibility of intervening directly in this territory, with end customers, or through another distributor; ii) Cartocad had to comply with the obligations set out in the Program Guide to obtain a level or specific specializations and benefit in return from the corresponding advantages (which will be developed below); iii) Autodesk reserved the possibility to modify the rules for granting licenses, marketing, and distribution for its products, as well as those for support services. In particular, by this contract, Autodesk reserved the right to unilaterally withdraw any product or service from the market or modify its distribution, with thirty days' notice.</w:t>
        <w:br/>
        <w:t>30. Furthermore, the contract stipulated that Cartocad could market and distribute competing products, provided that it maintained a dedicated commercial and technical team exclusively for the distribution activities of Autodesk products, for confidentiality reasons. These clauses are worded as follows23:</w:t>
        <w:br/>
        <w:t>"9.3 Nothing in this Agreement shall prohibit the VAR from engaging in the development, marketing, sale, or distribution of products which, in Autodesk's reasonable opinion, compete with or have substantially identical functions to the Products (the "Competing Products").</w:t>
        <w:br/>
        <w:t>9.4 In the event that the VAR begins to resell or distribute one or more Competing Products, the VAR shall immediately take the following measures to ensure that Confidential Information is not misused or diverted for the purpose of promoting, marketing, or favoring the Competing Products: (i) the VAR shall establish and maintain at all times a distinct commercial and technical team dedicated exclusively to the promotion and marketing of the Products, as well as to the related support. […] ; (ii) the VAR shall strictly comply with the Confidential Information Obligations set forth in this Agreement […]."</w:t>
        <w:br/>
        <w:t>31. In light of the facts and practices reported, which generally fall within the duration of the VAR contract of 2016, a brief and non-exhaustive presentation of the organization and functioning of the distribution network as provided in the Program Guide in effect as of February 1, 201624 will be made.</w:t>
        <w:br/>
        <w:t>32. Each partner is identified by three elements25: i) a level, which represents its investment "in terms of technical skills and sales capacity," ii) specializations, which determine the areas in which the partner "is well acquainted with the products and/or the sector and for which it has demonstrated its expertise through sales, technical certifications, and customer references," iii) value-added services, which "reflect the key cross-sector skills (…), notably in development and training." In 2016, the partner could access four levels (Bronze, Silver, Gold, and Platinum) and, through the "Autodesk Specialization Program" leading to certification, eleven specializations: "Building, Advanced Structure, Advanced MEP, Civil Infrastructure, Process &amp; Power, Product Design &amp; Manufacturing, Industrial Design &amp; Visualization, Simulation, Media &amp; Entertainment, Media &amp; Entertainment Production Management, Creative Finishing"26.</w:t>
        <w:br/>
        <w:t>33. A partner's access to each level and specialization imposes compliance with three main categories of conditions.</w:t>
        <w:br/>
        <w:t>34. The first category, relating to the partner's personnel27, regulates, by level, the number of required commercial, technical, and marketing personnel, as well as their certification by Autodesk, within the framework of specific training courses and participation in strategic meetings. For the three highest levels (Silver, Gold, and Platinum), a staff member cannot hold two positions (technical or commercial). Additionally, each staff member must dedicate at least 60% of their activity to their role in the Autodesk network. Finally, at these levels, acquiring a specialization requires</w:t>
      </w:r>
    </w:p>
    <w:p>
      <w:r>
        <w:rPr>
          <w:b/>
        </w:rPr>
        <w:t>[Pages 10–12]</w:t>
      </w:r>
    </w:p>
    <w:p>
      <w:r>
        <w:t>a number of certified sales and technical personnel in this specialization, with one person not being able to hold multiple specializations.</w:t>
        <w:br/>
        <w:t>35. The second category, relating to the partner's activity, imposes, in particular, a dual condition of minimum purchase amounts from a list of products within the network, by level and by specialization, over a consecutive twelve-month period28.</w:t>
        <w:br/>
        <w:t>36. The third category, relating to performance, imposes, in particular, on partners at the three higher levels, the establishment of a twelve-month business plan by specialization, which they are required to adhere to during the fiscal year and to update on a quarterly basis29. They must also guarantee a predetermined renewal rate of maintenance contracts. Finally, Autodesk reserves the right to conduct customer satisfaction surveys among the partner's clients and to take their results into account when evaluating its performance30.</w:t>
        <w:br/>
        <w:t>37. In return for these obligations, the partner may claim a number of benefits, also differentiated according to their level and specializations. The sale of products and services thus gives rise to remuneration31, according to various modalities, particularly in the form of "discounts" based on sales or monthly rebates on a portion of transactions (for example, when revenue is generated online).</w:t>
        <w:br/>
        <w:t>38. In terms of its other activities (marketing, assistance, and support), the partner may benefit from other types of advantages, such as the provision of marketing tools, participation in "marketing programs" (which can generate remuneration), provision of leads, access to brand enhancement products (such as the logo), to the group's common resources (such as the use of websites and the "Autodesk Partner Center" platform), to training and certification processes, to conferences, or personalized assistance, etc.</w:t>
        <w:br/>
        <w:t>39. The Program Guide is regularly modified based on the strategic and commercial objectives of the group. Thus, since the decision to transition from the traditional license sales model to a SaaS model (see paragraph 11), Autodesk has oriented the organization and functioning of its distribution network in a way that develops the latter at the expense of the former. In particular, the remuneration grids for partners have gradually evolved towards an increase in discounts granted on the sale of online subscriptions and a decrease in discounts granted on the sale of licenses (and notably perpetual licenses starting in March 201532) as well as the products associated with those licenses.</w:t>
        <w:br/>
        <w:t>40. Indeed, as of February 1, 2016, Autodesk definitively ceased marketing "standalone" perpetual licenses, meaning those associated with a single software33, with access to a single software now only possible through an online subscription. Perpetual licenses for "software suites" (a "suite" designating a bundled offer including several software licenses) were to be withdrawn from sale on August 1, 201634. Instead, "collections," accessible by subscription and including a wider range of products than software suites, notably including cloud services, were launched. For customers holding perpetual licenses at these dates, maintenance services were still made available as part of the renewal of their maintenance contract (but at increasing rates to encourage migration to an online maintenance offer, with a view to their definitive removal announced in August 2021).</w:t>
        <w:br/>
        <w:t>41. Among the developments in the Program Guide, i) in fiscal year 2018, a restructuring of the specializations available to partners can be mentioned (notably with the introduction of the "Construction" specialization), and consequently, a modification of the conditions relating to minimum purchase amounts applicable by specialization and the conditions relating to certified personnel, and ii) in fiscal year 2019, the elimination of the two lower reseller levels Silver and Bronze in favor of a single Reseller status35, leading to a new revision of the conditions relating to minimum purchase amounts by level, the number of specializations, the number of personnel, and their certification36. Specializations and levels being the determining elements of the benefits received by partners, these developments were expected to affect their remuneration.</w:t>
        <w:br/>
        <w:t>D. FACTS AND PRACTICES REPORTED IN THE REFERRAL</w:t>
        <w:br/>
        <w:t>42. The complainant accuses Autodesk of having abused its economic dependence "during the implementation of its restructuring policy of its business model aimed at transitioning to the multichannel sale of software licenses online in the form of subscriptions"37, by maintaining, in order to "dispose of them," its Reseller-level resellers, formerly Silver, in a situation of legal and economic insecurity38.</w:t>
        <w:br/>
        <w:t>43. Firstly, Cartocad believes it is in a situation of economic dependence within Autodesk's distribution network and does not have an alternative solution. In support of this assertion, it indicates that, since its integration into this network in 1993, sales of Autodesk products and associated services represent more than 90% of its annual revenue, with 60 to 70% corresponding to the sale of Autodesk software alone39.</w:t>
        <w:br/>
        <w:t>44. It also indicates that due to the notoriety of its products, Autodesk would be "in a dominant position in the CAD software market"40. Indeed, these software products would be marketed in more than a hundred countries and would have over ten million users; the AutoCAD software, in particular, would be the most widely used computer-aided design software in the world. Furthermore, according to the complainant, Autodesk's competitors "do not provide exactly the same kind of services" and, due to the broad spectrum of users it targets (professionals – large accounts and SMEs – individuals), their clientele is "substantially different"41.</w:t>
        <w:br/>
        <w:t>45. Moreover, Cartocad argues that Article 9.4 of its 2016 VAR contract, by requiring it to hire "in addition to the company's employees, a sales and technical team dedicated solely to the promotion and sale of Autodesk products"42, constitutes a "legal obstacle (...) to the ability to diversify its supply from potential competitors of Autodesk." Indeed, its "very strict requirements (...) have become extremely costly for Cartocad and certainly impossible to fulfill"43.</w:t>
        <w:br/>
        <w:t>46. Secondly, according to Cartocad, Autodesk would have abused this situation of economic dependence in several ways:</w:t>
        <w:br/>
        <w:t>- by gradually introducing the online sale of its products and reserving the right to sell its software and associated services directly to end users, based on data that has been mandatorily communicated to it (since 2006-2007) by distributors and resellers via their orders44. It would have thus solicited and taken back clients from Cartocad directly, between 2015 and 2017, notably large accounts, which represented 40% of its revenue45. Furthermore, starting in 2016, it would have launched promotions (up to 70%) on its online store directly accessible to all end users, including the clients of its resellers, without the latter being able to access them46. Autodesk would also directly offer Cartocad's clients online subscriptions at more favorable rates than those that Cartocad could offer47;</w:t>
        <w:br/>
        <w:t>- by unilaterally and substantially modifying the discounts granted to resellers and the purchase targets to be met. According to Cartocad, such changes are possible because these elements are not specified in the VAR contract, which "forces authorized resellers to comply with the conditions freely set by Autodesk, under penalty of having their authorization revoked and their area of operation reduced"48. Thus, in 2015, Cartocad would have suffered, without prior negotiation, a sharp and significant increase in its minimum purchase targets49. According to Cartocad, Autodesk would have taken these new targets into account prior to their contractual implementation, as early as August 2014, which would have led to the loss of its "mechanical authorization"50 (on August 1, 2015). According to Cartocad, the decreases in discounts observed since 2016 would have been detrimental to it as they meant that it was no longer able to offer more favorable rates than those offered by Autodesk in its online store or by other resellers benefiting from higher discounts51;</w:t>
      </w:r>
    </w:p>
    <w:p>
      <w:r>
        <w:rPr>
          <w:b/>
        </w:rPr>
        <w:t>[Pages 13–15]</w:t>
      </w:r>
    </w:p>
    <w:p>
      <w:r>
        <w:t>- by refusing Cartocad, pending the signing of its VAR contract in February 2016, access to the partner site of the network, the Autodesk Partner Center, for three weeks and temporarily removing its listing on Autodesk's website, causing an "extremely significant" financial loss for Cartocad and forcing it to accept the terms of the contract as is52;</w:t>
        <w:br/>
        <w:t>- by subjecting it to a significant imbalance, constituted by the gradual access to its customer base without proportional compensation53 and by imposing non-negotiable distribution contracts. In particular, Autodesk would have "used all kinds of means to obtain the signature of the framework contract" of 2016 and would have unilaterally decided "the substantial reduction of discounts" for resellers and the "gradual increase of financial targets each year." It would have thus disadvantaged its resellers, during the implementation of its new business model based on the development of online subscriptions, compared to its own internal distribution network.</w:t>
      </w:r>
    </w:p>
    <w:p>
      <w:r>
        <w:t>II. Discussion</w:t>
        <w:br/>
        <w:t>47. The second paragraph of Article L. 462-8 of the Commercial Code states that "the Competition Authority may [...] reject the referral by reasoned decision when it considers that the facts invoked are not supported by sufficiently probative elements."</w:t>
        <w:br/>
        <w:t>A. ON THE SCOPE OF COMPETENCE</w:t>
        <w:br/>
        <w:t>48. In its referral, Cartocad denounces practices implemented by Autodesk, deeming them contrary to the second paragraph of Article L. 420-2, paragraph 2 and to 2° of I of Article L. 442-1 of the Commercial Code.</w:t>
        <w:br/>
        <w:t>49. The second paragraph of Article L. 420-2 of the Commercial Code provides that: "The abusive exploitation by a company or a group of companies of the state of economic dependence in which a customer or supplier company finds itself is also prohibited, as long as it is likely to affect the functioning or structure of competition. These abuses may consist in refusals to sell, tied sales, discriminatory practices referred to in Articles L. 442-1 to L. 442-3 or range agreements."</w:t>
        <w:br/>
        <w:t>50. The practices denounced by Cartocad on the basis of 2° of I of Article L. 442-1 can therefore be classified as abuses of economic dependence, as long as they are likely to compromise the proper functioning or structure of competition.</w:t>
      </w:r>
    </w:p>
    <w:p>
      <w:r>
        <w:t>B. ON THE ALLEGED ABUSE OF DEPENDENCE</w:t>
        <w:br/>
        <w:t>1. APPLICABLE PRINCIPLES</w:t>
        <w:br/>
        <w:t>51. According to the second paragraph of Article L. 420-2 of the Commercial Code, recalled above, the abuse of economic dependence requires the fulfillment of three cumulative conditions: the existence of a situation of economic dependence of one company with respect to another, an abusive exploitation of this situation, and a real or potential effect on the functioning or structure of competition. In the absence of one of these three conditions, the alleged abuse of economic dependence is not established.</w:t>
        <w:br/>
        <w:t>52. In a ruling of October 12, 199354, the Court of Cassation specified four cumulative criteria allowing to characterize a situation of economic dependence: "if the existence of a state of economic dependence is assessed taking into account the notoriety of the supplier's brand, it is also necessary to consider the importance of its market share in the market concerned and in the reseller's turnover as well as the impossibility for the latter to obtain from other suppliers equivalent products."</w:t>
        <w:br/>
        <w:t>53. The Court also considered, in a ruling of March 3, 200455, regarding the impossibility of obtaining equivalent products, that "the state of economic dependence, for a distributor, is defined as the situation of a company that does not have the possibility of substituting its supplier or suppliers with one or more other suppliers meeting its supply request under comparable technical and economic conditions; it follows that the mere circumstance that a distributor realizes a very significant or even exclusive share of its supply from a single supplier is not sufficient to characterize its state of economic dependence within the meaning of Article L. 420-2 of the Commercial Code."</w:t>
        <w:br/>
        <w:t>54. It should be recalled that, despite the removal in 2001 by the New Economic Regulations Act of the mention of the criterion of the absence of alternative solutions in the Commercial Code, the Court of Cassation has maintained the requirement for the dependent party to provide proof of the absence of such a solution56.</w:t>
      </w:r>
    </w:p>
    <w:p>
      <w:r>
        <w:t>2. APPLICATION TO THE CASE AT HAND</w:t>
        <w:br/>
        <w:t>55. Regarding the demonstration of the state of economic dependence in which it finds itself, Cartocad argues that the products and services of the Autodesk group benefit from particular notoriety in that it would be in a dominant position in the CAD software market57.</w:t>
        <w:br/>
        <w:t>56. In particular, the complainant asserts that Forbes magazine would have ranked AutoCAD as the most widely used computer-aided design software in the world58. It also highlights "the global leadership position of Autodesk's AEC solutions" held by the Revit software, thanks to "the interoperability and multidisciplinary nature of its solutions"59, and its position covering "50% to 70% of the construction market"60. It also mentions an excerpt from a Xerfi study from May 2019 that highlights "the market power of BIM software publishers and Autodesk in particular"61.</w:t>
        <w:br/>
        <w:t>57. However, and first of all, the referral does not provide elements demonstrating that, in the ranges of CAD software available in the "building" segment and in the "mechanical" segment, there are no branded products or products with technical characteristics such that they could be considered interchangeable with Autodesk's products. It indeed appears that there are a number of software developed by other publishers in the PLM markets, particularly aimed at the mechanical industry and in the AEC field, and distributed in the national territory.</w:t>
        <w:br/>
        <w:t>58. Thus, in particular, regarding BIM software, alongside Revit, the following existing solutions (among paid solutions published by international companies) are regularly mentioned: i) Archicad, published by Graphisoft, a Hungarian company (part of the Nemetschek group), exclusively distributed in France by the Abvent group, which has a network of local resellers62; ii) Allplan, published by the German company of the same name (Nemetschek group), distributed in France by Allplan France which has four agencies in the territory63; iii) Tekla Structures, published by Tekla, a Finnish company (part of Trimble since 2011), distributed in France by Trimble Solutions France64; iv) Vectorworks, published by the American company of the same name (part of Nemetschek since 2000), distributed in France by Design Express65 and accessible online66; v) Trimble Connect, Trimble Nova, Plancal Nova, published by Trimble, a British company, distributed in France by Trimble MEP France67; vi) Microstation and OpenBuildings Designer, published by the American company Bentley Systems, distributed in France by Bentley Systems France and accessible online68.</w:t>
        <w:br/>
        <w:t>59. Similarly, regarding solutions more focused on the "mechanical" segment, the following are regularly mentioned alongside AutoCAD and Inventor: i) Solid Works, published by the American company of the same name (part of Dassault Systèmes since 1997), distributed by a number of authorized resellers in France69; ii) Catia, published by Dassault Systèmes and distributed by a number of authorized resellers in France70; iii) Solid Edge and NX, published by Siemens PLM Software, an American company (Siemens group), distributed in France by a network of authorized resellers71 and accessible online72; iv) Creo, published by the American company PTC, distributed in France by a network of authorized partners73 and accessible online74; v) Onshape, published by the American company of the same name (part of PTC since 2019); vi) Topsolid, published by the French company Topsolid (formerly Missler Software),</w:t>
      </w:r>
    </w:p>
    <w:p>
      <w:r>
        <w:rPr>
          <w:b/>
        </w:rPr>
        <w:t>[Pages 16–18]</w:t>
      </w:r>
    </w:p>
    <w:p>
      <w:r>
        <w:t>distributed in France by one of the six subsidiaries located in the territory75; vii) Alibre Design, published by the American company Alibre and distributed in France by Usiprog76.</w:t>
        <w:br/>
        <w:t>60. Furthermore, the referral does not provide elements to assess the differences in brand recognition of the software brands present in these segments and to conclude on the essential nature of the Autodesk brand for PLM software distributors. The referral briefly mentions a lack of interoperability of the data file formats generated by its software, whereas it seems that there are a number of IT solutions allowing for file conversions77.</w:t>
        <w:br/>
        <w:t>61. Secondly, the complainant does not submit any evidence to assess Autodesk's positioning78 in the various market segments of PLM identified by the decision-making practice and the jurisprudence of the competition authorities. If, as Cartocad argues, Autodesk's presence in both the "building" and "mechanical" segments contributes to its brand recognition, this is not sufficient to evaluate its positioning in each segment or across a set of market segments, a positioning that depends in particular on the presence, size, characteristics, and products of its competitors.</w:t>
        <w:br/>
        <w:t>62. Thirdly, Cartocad claims that it cannot find an alternative solution for the distribution activity it carries out and the supply of Autodesk products and services, on the one hand due to Autodesk's significant market presence and, on the other hand, because the file formats are specific and unique to each software, making it impossible to use these files with competing software79. Finally, Cartocad could not find an alternative solution due to the "very strict requirements" set out in Articles 9.3 and 9.4 of its 2016 VAR contract, which "require the reseller to hire, in parallel with the existing team, a team dedicated to the distribution of products competing with Autodesk's software as well as obtaining Autodesk's agreement"80. According to the complainant, such constraints "have become extremely costly" and "certainly impossible to achieve"81.</w:t>
        <w:br/>
        <w:t>63. Regarding the first two arguments, reference is made to the considerations in paragraphs 57 to 61. Regarding the contractual constraints raised by Cartocad concerning the technical and commercial personnel dedicated to Autodesk's products and services, it specified in response to the questionnaires from the investigation services that "for Silver status, by specialization, two different people are required: a salesperson and a technical engineer"82. Thus, following the loss of its "mechanical" specialization on August 1, 2015, Cartocad had personnel certified by Autodesk, at least one technical engineer and one salesperson, who are now released from their obligations and could have been assigned to other activities, including with a competing distribution network.</w:t>
        <w:br/>
        <w:t>75 https://www.topsolid.fr/comment-acheter/trouver-un-revendeur-a-l-international.htm</w:t>
        <w:br/>
        <w:t>76 https://www.usiprog.com/</w:t>
        <w:br/>
        <w:t>77 See in this regard the judgment of the EU Court of September 14, 2017, case T-751/15, Contact Software GmbH/European Commission and references 497 to 501.</w:t>
        <w:br/>
        <w:t>78 The "76% market share in the building market" reported by Cartocad corresponds to the share of the 113 specialized engineering firms contacted for the cited survey that use Revit software; reference 1215.</w:t>
        <w:br/>
        <w:t>79 References 21, 217, 666.</w:t>
        <w:br/>
        <w:t>80 Reference 21.</w:t>
        <w:br/>
        <w:t>81 Reference 16.</w:t>
        <w:br/>
        <w:t>82 Reference 674.</w:t>
        <w:br/>
        <w:t>64. Cartocad has not demonstrated, in its referral or during the session of January 25, 2021, how this redeployment and reassignment of personnel, particularly within alternative PLM software distribution networks, would have been impossible due to the contractual relationship between the parties. Furthermore, Cartocad indicated that it "began, in 2018, to develop new value-added services: sales of other solutions (small configurations at a few hundred euros for the software price), maintenance contracts for IT parks"83.</w:t>
        <w:br/>
        <w:t>65. It follows that it is not established that the sale of competing products could not constitute an economically viable alternative to Cartocad's distribution activities on behalf of Autodesk.</w:t>
        <w:br/>
        <w:t>66. In any case, no factual element demonstrates a distortion, even a potential one, of competition. Indeed, Cartocad indicated that despite the end of its contractual relationship with Autodesk on August 1, 2020, it continues its activity with its clients through the sub-distribution system of Autodesk products, for which it sources from a Gold status reseller. Through this system, which has always existed, particularly for the benefit of new IT service companies wishing to market Autodesk products (and which is also a necessary step for them to integrate into the network of authorized resellers), Cartocad maintains a degree of intra-brand competition within the distribution network.</w:t>
        <w:br/>
        <w:t>C. CONCLUSION</w:t>
        <w:br/>
        <w:t>67. It follows from the above that the facts reported by Cartocad are not supported by sufficiently probative elements to characterize a state of economic dependence of Cartocad on Autodesk. Under these conditions, the state of economic dependence mentioned in the second paragraph of Article L. 420-2 of the Commercial Code being a condition for the application of this article, it is not necessary to analyze the abusive nature of the reported behaviors.</w:t>
        <w:br/>
        <w:t>68. Therefore, it is appropriate to reject, under the second paragraph of Article L. 462-8 of the Commercial Code and in the absence of being supported by sufficiently probative elements, the referral from Cartocad.</w:t>
        <w:br/>
        <w:t>83 Reference 663.</w:t>
        <w:br/>
        <w:t>17</w:t>
      </w:r>
    </w:p>
    <w:p>
      <w:r>
        <w:t>DECISION</w:t>
        <w:br/>
        <w:t>Single Article: The referral from Cartocad registered under number 20/0086 F is rejected.</w:t>
        <w:br/>
        <w:t>Deliberated on the oral report of Ms. Hélène Bonnet, rapporteur, and the intervention of Ms. Pascale Déchamps, deputy general rapporteur, by Mr. Henri Piffaut, vice-president, president of the session.</w:t>
        <w:br/>
        <w:t>The session secretary, The session president,</w:t>
        <w:br/>
        <w:t>Caroline Orsel Henri Piffaut</w:t>
        <w:br/>
        <w:t>© Competition Authority</w:t>
        <w:br/>
        <w:t>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