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https://www.autoritedelaconcurrence.fr/fr/decision/relative-des-pratiques-mises-en-oeuvre-dans-le-secteur-de-ledition-et-de-la</w:t>
      </w:r>
    </w:p>
    <w:p>
      <w:r>
        <w:t>Pages translated : 8</w:t>
      </w:r>
    </w:p>
    <w:p/>
    <w:p>
      <w:r>
        <w:rPr>
          <w:b/>
        </w:rPr>
        <w:t>[Pages 1–3]</w:t>
      </w:r>
    </w:p>
    <w:p>
      <w:r>
        <w:t>FRENCH REPUBLIC</w:t>
        <w:br/>
        <w:t>Decision No. 18-D-20 of October 5, 2018</w:t>
        <w:br/>
        <w:t>regarding practices implemented in the sector of publishing and</w:t>
        <w:br/>
        <w:t>marketing management IT solutions intended for the agricultural profession</w:t>
      </w:r>
    </w:p>
    <w:p>
      <w:r>
        <w:t>The Competition Authority (Vice-President ruling alone),</w:t>
      </w:r>
    </w:p>
    <w:p>
      <w:r>
        <w:t>Considering the letter dated March 22, 2017, registered under number 17/0156 F, by which the National Association of Agricultural Software Publishers referred to the Competition Authority practices implemented in the sector of publishing and marketing management IT solutions intended for the agricultural profession;</w:t>
      </w:r>
    </w:p>
    <w:p>
      <w:r>
        <w:t>Considering Book IV of the Commercial Code;</w:t>
      </w:r>
    </w:p>
    <w:p>
      <w:r>
        <w:t>Considering the business secrecy decision No. 17-DSA-434 of October 24, 2017;</w:t>
      </w:r>
    </w:p>
    <w:p>
      <w:r>
        <w:t>Considering the other documents in the file;</w:t>
      </w:r>
    </w:p>
    <w:p>
      <w:r>
        <w:t>Considering decision No. 18-JU-03 of July 30, 2018, by which the President of the Competition Authority designated Ms. Siredey-Garnier, Vice-President, to adopt alone the decision resulting from the examination of the referral registered under No. 17/0156 F;</w:t>
      </w:r>
    </w:p>
    <w:p>
      <w:r>
        <w:t>The rapporteurs, the Deputy General Rapporteur, and the National Association of Agricultural Software Publishers heard during the session of September 19, 2018, the Government Commissioner having been regularly summoned;</w:t>
      </w:r>
    </w:p>
    <w:p>
      <w:r>
        <w:t>Adopts the following decision:</w:t>
      </w:r>
    </w:p>
    <w:p>
      <w:r>
        <w:t>Summary1:</w:t>
        <w:br/>
        <w:t>The National Association of Agricultural Software Publishers (hereinafter "ANELA") referred to the Competition Authority practices implemented in the sector of publishing and marketing management IT solutions intended for the agricultural profession.</w:t>
      </w:r>
    </w:p>
    <w:p>
      <w:r>
        <w:t>It was alleged that the Permanent Assembly of Chambers of Agriculture (hereinafter "APCA") and the chambers of agriculture exploit the dominant position they hold, thanks to the public service missions with which they are entrusted, in the market of "advice and assistance to farmers." The APCA and the chambers of agriculture would abuse this position to oust their competitors present in the related market of publishing and marketing agricultural management IT solutions.</w:t>
      </w:r>
    </w:p>
    <w:p>
      <w:r>
        <w:t>The Competition Authority rejects ANELA's referral on the grounds that the referral is not supported by sufficiently probative elements, particularly regarding the definition of the relevant markets.</w:t>
        <w:br/>
        <w:t>1 This summary is strictly informative. Only the reasons for the decision numbered below are authoritative.</w:t>
      </w:r>
    </w:p>
    <w:p>
      <w:r>
        <w:t>I. Findings</w:t>
        <w:br/>
        <w:t>1. By letter dated March 22, 2017, the National Association of Agricultural Software Publishers (hereinafter "ANELA") referred to the Competition Authority practices implemented in the sector of publishing and marketing management IT solutions intended for the agricultural profession.</w:t>
      </w:r>
    </w:p>
    <w:p>
      <w:r>
        <w:t>2. In its referral, ANELA accuses the Permanent Assembly of Chambers of Agriculture (hereinafter "APCA") and the chambers of agriculture of exploiting the dominant position they hold in the market of "advice and assistance to farmers," thanks to the public service missions with which they are entrusted, to implement exclusionary practices in the related market of publishing and marketing agricultural management IT solutions, a market in which the APCA and the chambers of agriculture would be in direct competition with the members of ANELA.</w:t>
      </w:r>
    </w:p>
    <w:p>
      <w:r>
        <w:t>A. THE ENTITIES CONCERNED AND THEIR SECTORS OF ACTIVITY</w:t>
        <w:br/>
        <w:t>1. THE NATIONAL ASSOCIATION OF AGRICULTURAL SOFTWARE PUBLISHERS</w:t>
      </w:r>
    </w:p>
    <w:p>
      <w:r>
        <w:t>3. ANELA is an association governed by the law of July 1, 1901, comprising private publishers of IT solutions intended for agricultural operators, including Agrotronix, APIVAL informatique, CCPA, Isagri, Ivache, I3s informatique, and Smag Group.</w:t>
      </w:r>
    </w:p>
    <w:p>
      <w:r>
        <w:t>4. The activity of private agricultural software publishers consists of: (i) designing and developing software intended for agricultural operators to facilitate the management of their farms (cultivated areas, livestock, veterinary care, etc.); (ii) marketing them; and (iii) offering complementary services for maintenance, assistance, training, and updating of the sold software.</w:t>
      </w:r>
    </w:p>
    <w:p>
      <w:r>
        <w:t>5. Agricultural management IT solutions allow for the management of agricultural plots using software on a computer or a "web" solution accessible via a computer, mobile phone, or tablet. This interface manages agricultural aspects (editing regulatory documents: CAP declaration, fertilization plan, plant protection register; entering the provisional fertilization plan, controlling plant protection products...) and economic aspects (managing stocks and supplies, calculating margins, monitoring personnel and equipment...). These solutions are generally offered in the form of an annual subscription that can be supplemented by training services, decision support tools, or data entry.</w:t>
      </w:r>
    </w:p>
    <w:p>
      <w:r>
        <w:t>6. The members of ANELA offer various agricultural management IT solutions that, according to the information on the association's website, "equip today 90% of agricultural operations using agricultural software."2</w:t>
        <w:br/>
        <w:t>2 http://www.anela.fr/qui-sommes-nous/</w:t>
      </w:r>
    </w:p>
    <w:p>
      <w:r>
        <w:rPr>
          <w:b/>
        </w:rPr>
        <w:t>[Pages 4–6]</w:t>
      </w:r>
    </w:p>
    <w:p>
      <w:r>
        <w:t>2. THE NETWORK OF CHAMBERS OF AGRICULTURE</w:t>
      </w:r>
    </w:p>
    <w:p>
      <w:r>
        <w:t>The structuring of the network of chambers of agriculture</w:t>
      </w:r>
    </w:p>
    <w:p>
      <w:r>
        <w:t>7. The chambers of agriculture are public establishments of an administrative nature, established by the law of January 3, 1924, modeled after the chambers of commerce and industry and the chambers of trades and crafts, in order to represent agricultural interests to public authorities. They are administered by elected representatives of agricultural activity, agricultural professional groups, and forest landowners.</w:t>
      </w:r>
    </w:p>
    <w:p>
      <w:r>
        <w:t>8. According to Article L. 510-1 of the Rural and Maritime Fishing Code (hereinafter "CRPM"), the network of chambers of agriculture is composed of departmental and interdepartmental chambers, regional chambers, and the Permanent Assembly of Chambers of Agriculture (APCA).</w:t>
      </w:r>
    </w:p>
    <w:p>
      <w:r>
        <w:t>9. According to data available on the website of the chambers of agriculture, there are currently 89 departmental or interdepartmental chambers and 13 regional chambers, in addition to a national structure, the APCA.</w:t>
      </w:r>
    </w:p>
    <w:p>
      <w:r>
        <w:t>10. The departmental or interdepartmental chambers constitute the local level of the network for farmers and play a role in informing and supporting farmers. They are composed of members elected by 11 electoral colleges (the main one grouping farm heads) following a single-round departmental list vote, which designates the president of the chamber and the members of the bureau.</w:t>
      </w:r>
    </w:p>
    <w:p>
      <w:r>
        <w:t>11. The regional chambers of agriculture, within which the presidents of the departmental chambers sit, coordinate the actions of the departmental chambers at the regional level.</w:t>
      </w:r>
    </w:p>
    <w:p>
      <w:r>
        <w:t>12. The APCA is the national representation body to public authorities. It carries out a mission of animation, support, and advice to the chambers of agriculture and manages the national observatory of establishment, which analyzes data related to the establishment and transfer of agricultural operations. Its members are the presidents of the departmental and regional chambers of agriculture.</w:t>
      </w:r>
    </w:p>
    <w:p>
      <w:r>
        <w:t>13. According to information available on the website of the network of chambers of agriculture, the total consolidated budget of the network amounts to 702 million euros, distributed as follows:</w:t>
        <w:br/>
        <w:t>- 42% from the additional tax on undeveloped land (TATFNB);</w:t>
        <w:br/>
        <w:t>- 27% from services provided to farmers, agri-food companies, local authorities…;</w:t>
        <w:br/>
        <w:t>- 25% from contracts and agreements;</w:t>
        <w:br/>
        <w:t>- 6% from other sources.</w:t>
      </w:r>
    </w:p>
    <w:p>
      <w:r>
        <w:t>The missions of the network of chambers of agriculture</w:t>
      </w:r>
    </w:p>
    <w:p>
      <w:r>
        <w:t>14. According to the aforementioned Article L. 510-1, the members of the network of chambers of agriculture:</w:t>
        <w:br/>
        <w:t>- contribute to improving the economic, social, and environmental performance of agricultural operations and their sectors and support, in the territories, the entrepreneurial and responsible approach of farmers as well as the creation of businesses and the development of employment;</w:t>
        <w:br/>
        <w:t>- ensure a representation function for the interests of the agricultural world to public authorities;</w:t>
        <w:br/>
        <w:t>- and contribute to the sustainable development of rural territories and agricultural enterprises.</w:t>
      </w:r>
    </w:p>
    <w:p>
      <w:r>
        <w:t>15. In this regard, the chambers of agriculture, and more specifically the departmental chambers, to which Article L. 511-4 of the aforementioned CRPM has granted the status of business formalities center, are thus led to actively support farmers during their establishment (welcome, maintenance of the establishment directory, processing and monitoring of aid applications) and during the exercise of their activity. They are also responsible for numerous varied tasks, such as managing the agricultural register, registering apprenticeship contracts, preparing CAP declarations, or training. Furthermore, they have established brands for the development of rural tourism (label "Welcome to the Farm") and local marketing circuits (creation of e-stores via the "My Products Online" solution). Finally, they market the agricultural management software "My Parcels," which aims to help farmers manage the traceability of their operation (recording work done on parcels, checking the compliance of the plant protection register…), optimize soil fertilization (calculating doses, managing spreading…), comply with regulations (preparing CAP declarations, developing fertilization plans…) and manage the economic aspects of their operation (inventory status, calculating the average purchase price of products…). They therefore carry out both public service missions and commercial activities.</w:t>
      </w:r>
    </w:p>
    <w:p>
      <w:r>
        <w:t>B. THE CONDEMNED PRACTICES</w:t>
      </w:r>
    </w:p>
    <w:p>
      <w:r>
        <w:t>16. ANELA argues that the anti-competitive practices of the chambers of agriculture consist, on the one hand, of the base pricing of their agricultural management tool "My Parcels," which would reflect a deliberate policy of predatory pricing and low exclusionary pricing and, on the other hand, of the terms of granting and the extent of certain discounts that could lead to the service being free, which would be analyzed as an exclusionary practice. It also denounces the existence of cross-subsidies, consisting of the use by the chambers of agriculture of human and material resources allocated in the context of their public service missions for the benefit of the commercial activity of publishing and marketing the agricultural management tool "My Parcels." This practice would be made possible by the absence of accounting separation between the commercial activities of the chambers of agriculture and their public service missions.</w:t>
      </w:r>
    </w:p>
    <w:p>
      <w:r>
        <w:t>17. It further considers that the chambers of agriculture engage in customer diversion practices in several ways: (i) using resources allocated for the fulfillment of their public service missions or obtained during their fulfillment for commercial purposes (information on agricultural operations); (ii) confusion between their public service missions and their commercial activities (billing for certain services related to their public service missions, promoting the tool "My Parcels" during training sessions or at agricultural fairs); and (iii) using the reputation they enjoy among farmers to market the solution "My Parcels."</w:t>
      </w:r>
    </w:p>
    <w:p>
      <w:r>
        <w:t>18. Finally, the complainant denounces, on the same basis, the refusal of access to certain training services concerning new regulatory requirements related to fertilization, opposed by the chamber of agriculture of Brittany to the company Isagri.</w:t>
      </w:r>
    </w:p>
    <w:p>
      <w:r>
        <w:t>II. Discussion</w:t>
      </w:r>
    </w:p>
    <w:p>
      <w:r>
        <w:t>19. The second paragraph of Article L. 462-8 of the Commercial Code states that "the Competition Authority may (...) reject the referral by reasoned decision when it considers that the alleged facts are not supported by sufficiently probative elements."</w:t>
      </w:r>
    </w:p>
    <w:p>
      <w:r>
        <w:t>20. As consistently recalled by community and national jurisdictions, the analysis of behaviors constituting an abuse of a dominant position in light of Articles L. 420-2 of the Commercial Code and 102 of the Treaty on the Functioning of the European Union requires that the market in which the company in question is supposed to hold a dominant position and has abused it be previously delineated.</w:t>
      </w:r>
    </w:p>
    <w:p>
      <w:r>
        <w:t>21. For example, in decision No. 04-D-77 of December 22, 2004, concerning a referral by the company Productiv against the laboratory GlaxoSmithKline, the Competition Council rejected a referral on the grounds that the complainant limited itself to asserting the existence of an abuse without first defining the relevant market or the dominant position of the company in question.</w:t>
      </w:r>
    </w:p>
    <w:p>
      <w:r>
        <w:t>22. More recently, the Competition Authority rejected the argument that there would be a new market, not defined by decision-making practice, on the grounds that the complainant had not produced sufficiently probative elements to attest to its existence.</w:t>
      </w:r>
    </w:p>
    <w:p>
      <w:r>
        <w:t>On the alleged service market</w:t>
      </w:r>
    </w:p>
    <w:p>
      <w:r>
        <w:t>23. The referral claims that there exists an "agricultural advisory market or, more precisely, a market for advice and assistance to farmers."</w:t>
      </w:r>
    </w:p>
    <w:p>
      <w:r>
        <w:t>24. This market would cover several services, including "a mission to support the establishment of young farmers," "a mission to represent farmers to public authorities," "missions related to obtaining aid (e.g., CAP) delegated to the chambers of agriculture, missions related to formalities centers (Article L. 511-4, 2°), and finally missions concerning the registration of apprenticeship contracts, animal identification, and the collection and storage of certain data [as well as] a whole range of commercial services (e.g., various management advice, assistance with mandatory administrative declarations – e.g., fertilization plan)."</w:t>
      </w:r>
    </w:p>
    <w:p>
      <w:r>
        <w:rPr>
          <w:b/>
        </w:rPr>
        <w:t>[Pages 7–8]</w:t>
      </w:r>
    </w:p>
    <w:p>
      <w:r>
        <w:t xml:space="preserve">25. However, the referral does not contain any indication that would allow for measuring the degree of substitutability between these different services, from both the supply and demand perspectives.  </w:t>
        <w:br/>
        <w:t xml:space="preserve">26. Moreover, the referral takes care to identify distinct actors involved in each of the concerned activities: consulting firms specialized in agronomy for agricultural operators (notably advice on the management of fertilizer inputs - dosage, timing, location - irrigation, or disease management); accounting firms for assistance with CAP subsidy applications; agricultural unions for support in setting up; insurance funds or agricultural unions for training. However, the presence of economic actors specialized in each of these activities seems precisely to suggest that these different services, which meet specific needs, would not be substitutable and, consequently, to refute the thesis of the referring association that there exists a global market encompassing all of these missions.  </w:t>
        <w:br/>
        <w:t xml:space="preserve">On the geographical market  </w:t>
        <w:br/>
        <w:t xml:space="preserve">27. The referral does not provide any elements to define the dimension, local or national, of the market(s) concerned, on which it would be necessary to question, particularly due to the territorial jurisdiction of the chambers of agriculture.  </w:t>
        <w:br/>
        <w:t xml:space="preserve">Conclusion on the relevant market  </w:t>
        <w:br/>
        <w:t xml:space="preserve">28. In light of the above, it is thus established that ANELA does not provide any elements to support its referral that would allow for defining the relevant market(s), it being noted, in this regard, that it is not the Authority's role to supplement the parties' failure in providing evidence and to conduct further investigations.  </w:t>
        <w:br/>
        <w:t xml:space="preserve">III. Conclusion  </w:t>
        <w:br/>
        <w:t>29. Under these conditions, without the need to rule on the existence of a possible dominant position and on the reality of the practices denounced by the referrer, it must be noted that the facts denounced in the referral are not supported by sufficiently convincing elements. It is therefore appropriate to reject it in application of the second paragraph of Article L. 462-8 of the Commercial Code.</w:t>
      </w:r>
    </w:p>
    <w:p>
      <w:r>
        <w:t xml:space="preserve">DECISION  </w:t>
        <w:br/>
        <w:t xml:space="preserve">Single Article: The referral registered under number 17/0156 F is rejected.  </w:t>
        <w:br/>
        <w:t xml:space="preserve">Deliberated on the oral report of Ms. Zhana Genova and Mr. Bertrand Rohmer, rapporteurs, and the intervention of Ms. Juliette Théry-Schultz, deputy general rapporteur, by Ms. Fabienne Siredey-Garnier, vice-president, chairing the session.  </w:t>
        <w:br/>
        <w:t xml:space="preserve">The session secretary, The session chair,  </w:t>
        <w:br/>
        <w:t xml:space="preserve">Caroline Orsel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