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https://www.autoritedelaconcurrence.fr/fr/decision/relative-des-pratiques-mises-en-oeuvre-dans-le-secteur-de-lequarrissage</w:t>
      </w:r>
    </w:p>
    <w:p>
      <w:r>
        <w:t>Pages translated : 47</w:t>
      </w:r>
    </w:p>
    <w:p/>
    <w:p>
      <w:r>
        <w:rPr>
          <w:b/>
        </w:rPr>
        <w:t>[Pages 1–3]</w:t>
      </w:r>
    </w:p>
    <w:p>
      <w:r>
        <w:t xml:space="preserve">FRENCH REPUBLIC  </w:t>
        <w:br/>
        <w:t xml:space="preserve">Decision No. 24-D-05 of May 2, 2024  </w:t>
        <w:br/>
        <w:t xml:space="preserve">concerning practices implemented in the rendering sector*  </w:t>
        <w:br/>
        <w:t xml:space="preserve">The Competition Authority (section IB),  </w:t>
        <w:br/>
        <w:t xml:space="preserve">Having regard to Decision No. 19-SO-09 of May 10, 2019, registered under number 19/0026 F, by which the Competition Authority initiated proceedings ex officio regarding practices implemented in the rendering sector;  </w:t>
        <w:br/>
        <w:t xml:space="preserve">Having regard to the Treaty on the Functioning of the European Union, and in particular Article 101;  </w:t>
        <w:br/>
        <w:t xml:space="preserve">Having regard to Book IV of the Commercial Code, and in particular Article L.420-1;  </w:t>
        <w:br/>
        <w:t xml:space="preserve">Having regard to the letters dated March 18, 2022, May 19, 2022, and October 26, 2023, by which Akiolis Group submitted to the auditor advisor;  </w:t>
        <w:br/>
        <w:t xml:space="preserve">Having regard to the opinions of the auditor advisor dated June 16, 2022, and November 7, 2023;  </w:t>
        <w:br/>
        <w:t xml:space="preserve">Having regard to the observations presented by the companies Atemax France, Soleval France, Akiolis Group and Tefipar, Tessenderlo Group SA/NV, Secanim Sud-Est, Sarval Ouest, Secanim Centre, Saria, Saria International GmbH, Saria SE &amp; Co. KG, Rethmann SE &amp; Co. KG, Provalt Savoie, Provalt Jura, Prodia SAS, Prodia SNC, and Société des Établissements Verdannet as well as by the Government Commissioner;  </w:t>
        <w:br/>
        <w:t xml:space="preserve">Having regard to Report No. 22035 of the General Council for Food, Agriculture and Rural Areas submitted by the Government Commissioner as part of a note in deliberation on November 23, 2023;  </w:t>
        <w:br/>
        <w:t xml:space="preserve">Having regard to the notes in deliberation from the companies Tessenderlo NV, Akiolis Group, Soleval, Atemax, Tefipar, Saria, Secanim Centre, Secanim Sud-Est, Sarval Ouest, and the investigation services dated December 1, 2023;  </w:t>
        <w:br/>
        <w:t xml:space="preserve">The rapporteurs, the deputy general rapporteur, the representatives of the companies Atemax France, Soleval France, Akiolis Group and Tefipar, Tessenderlo Group SA/NV, Secanim Sud-Est, Sarval Ouest, Secanim Centre, Saria, Saria International GmbH, Saria SE &amp; Co. KG, Rethmann SE &amp; Co. KG, Provalt Savoie, Provalt Jura, Prodia SAS, Prodia SNC, and Société des Établissements Verdannet, and the Government Commissioner heard during the session of the Competition Authority on November 23, 2023;  </w:t>
        <w:br/>
        <w:t xml:space="preserve">Having regard to the minutes of the deliberation of November 23, 2023;  </w:t>
        <w:br/>
        <w:t xml:space="preserve">Adopts the following decision:  </w:t>
        <w:br/>
        <w:t>* public version</w:t>
      </w:r>
    </w:p>
    <w:p>
      <w:r>
        <w:t xml:space="preserve">Summary1  </w:t>
        <w:br/>
        <w:t xml:space="preserve">By this decision, the Competition Authority (hereinafter "the Authority") pronounces a dismissal regarding practices implemented in the rendering sector. Following the transmission by the Directorate General for Competition, Consumer Affairs and Fraud Control of several indications relating to the rendering sector, the Authority notified a grievance based on Articles 101 of the Treaty on the Functioning of the European Union (hereinafter "TFEU") and L. 420-1 of the Commercial Code to the companies Atemax France, Soleval France, Akiolis Group and Tefipar, Tessenderlo Group SA/NV (hereinafter "Akiolis"), Secanim Sud-Est, Sarval Ouest, Secanim Centre, Saria, Saria International GmbH, Saria SE &amp; Co. KG, Rethmann SE &amp; Co. KG (hereinafter "Saria"), Provalt Savoie, Provalt Jura, Prodia SAS, Prodia SNC, and Société des Établissements Verdannet (hereinafter "Verdannet").  </w:t>
        <w:br/>
        <w:t xml:space="preserve">In their notification of grievances, the investigation services accused Akiolis, Saria, and Verdannet of developing and implementing a global plan aimed at geographically dividing the French market for the collection of animal by-products or co-products, a plan ultimately implemented by the conclusion, on June 26, 2015, of 21 business transfer agreements.  </w:t>
        <w:br/>
        <w:t xml:space="preserve">In this regard, the Authority first considered that the existence of a mutual agreement aimed at implementing the aforementioned global plan was not demonstrated, as the acts and exchanges prior to the effective completion of the transfers and included in the infraction period retained by the notified grievance were solely part of discussions aimed at carrying out these concentration operations.  </w:t>
        <w:br/>
        <w:t xml:space="preserve">Secondly, applying the jurisprudence derived from the judgment of the Court of Justice of the European Union of March 16, 2023, Towercast (C-449/21), the Authority analyzed whether the concentration operations, which had not been subject to ex ante notification under European or national concentration control, could, by themselves, constitute an anti-competitive agreement contrary to Articles 101 TFEU and L. 420-1 of the Commercial Code.  </w:t>
        <w:br/>
        <w:t xml:space="preserve">In this case, the Authority considered, in light of, in particular, the content of the transfer agreements and the economic and legal context encompassing them, that the analyzed concentration agreements did not have an anti-competitive object. It also considered that the documents in the file did not allow it to conduct an analysis of the effects of the operations.  </w:t>
        <w:br/>
        <w:t xml:space="preserve">By this decision, the Authority analyzes, for the first time, a concentration carried out that was not subject to prior notification under concentration control, in light of Articles 101 TFEU and L. 420-1 of the Commercial Code. This approach follows the aforementioned Towercast judgment, which recognized the possibility for national authorities to control a posteriori, under certain conditions, concentration operations in light of Article 102 TFEU.  </w:t>
        <w:br/>
        <w:t>1 This summary is strictly informative. Only the reasons for the decision numbered below are authoritative.</w:t>
      </w:r>
    </w:p>
    <w:p>
      <w:r>
        <w:t xml:space="preserve">SUMMARY  </w:t>
        <w:br/>
        <w:t xml:space="preserve">I. FINDINGS ................................................................................ 5  </w:t>
        <w:br/>
        <w:t xml:space="preserve">A. THE PROCEDURE ...........................................................................................................5  </w:t>
        <w:br/>
        <w:t xml:space="preserve">B. THE RELEVANT SECTOR ..........................................................................................6  </w:t>
        <w:br/>
        <w:t xml:space="preserve">1. THE PRODUCTS INVOLVED IN THE PRACTICES .....................................................6  </w:t>
        <w:br/>
        <w:t xml:space="preserve">2. THE LOGISTICAL ORGANIZATION OF THE SECTOR ................................................7  </w:t>
        <w:br/>
        <w:t xml:space="preserve">3. THE COMMERCIAL RELATIONS BETWEEN RENDERERS AND THEIR CLIENTS ..........7  </w:t>
        <w:br/>
        <w:t xml:space="preserve">a) The specific case of ATM ....................................................................... 8  </w:t>
        <w:br/>
        <w:t xml:space="preserve">b) Other clients ....................................................................................... 8  </w:t>
        <w:br/>
        <w:t xml:space="preserve">4. THE EVOLUTION OF THE RENDERING SECTOR ...................................................8  </w:t>
        <w:br/>
        <w:t xml:space="preserve">C. THE ENTITIES INVOLVED ..................................................................................10  </w:t>
        <w:br/>
        <w:t xml:space="preserve">1. AKIOLIS/TESSENDERLO ..........................................................................................10  </w:t>
        <w:br/>
        <w:t xml:space="preserve">2. SARIA ........................................................................................................................11  </w:t>
        <w:br/>
        <w:t xml:space="preserve">3. VERDANNET .............................................................................................................12  </w:t>
        <w:br/>
        <w:t xml:space="preserve">D. THE PRACTICES OBSERVED .............................................................................13  </w:t>
        <w:br/>
        <w:t xml:space="preserve">1. THE PRECURSORS OF THE TRANSFER OPERATIONS (2012 – 2014) .........................13  </w:t>
        <w:br/>
        <w:t xml:space="preserve">a) Discussions on the transfer of Akiolis' South-East activity (2012) . 13  </w:t>
        <w:br/>
        <w:t xml:space="preserve">b) Verdannet's commercial offensive and the resumption of negotiations on the South-East project (2013) .................................................................... 14  </w:t>
        <w:br/>
        <w:t xml:space="preserve">c) The search for a tripartite solution (1st half of 2014) ................. 15  </w:t>
        <w:br/>
        <w:t xml:space="preserve">d) The signing of confidentiality agreements and their aftermath (2nd half of 2014) ......................................................................................... 15  </w:t>
        <w:br/>
        <w:t xml:space="preserve">2. THE TRANSFERS BETWEEN THE THREE RENDERERS ................................................16  </w:t>
        <w:br/>
        <w:t xml:space="preserve">a) The final scope of the transfers .............................................................. 16  </w:t>
        <w:br/>
        <w:t xml:space="preserve">b) The business transfers of June 26, 2015 ............................................ 18  </w:t>
        <w:br/>
        <w:t xml:space="preserve">The impact on the physical establishment of the parties ...............................................20  </w:t>
        <w:br/>
        <w:t xml:space="preserve">The impact of client and/or supplier transfers without the transfer of a collection center ..................................................................................................................20  </w:t>
        <w:br/>
        <w:t xml:space="preserve">The impact on ATM markets ...........................................................................21  </w:t>
        <w:br/>
        <w:t xml:space="preserve">3. THE EVOLUTION OF COMPETITIVE CONDITIONS FOLLOWING THE BUSINESS TRANSFERS ............................................................................................21  </w:t>
        <w:br/>
        <w:t xml:space="preserve">a) The deterioration of pricing conditions .............................................. 21  </w:t>
        <w:br/>
        <w:t xml:space="preserve">b) The decrease in competitive pressure among renderers ..... 23  </w:t>
        <w:br/>
        <w:t xml:space="preserve">E. THE NOTIFIED GRIEVANCE ............................................................................................23  </w:t>
        <w:br/>
        <w:t xml:space="preserve">II. DISCUSSION ........................................................................................ 24  </w:t>
        <w:br/>
        <w:t>A. ON THE APPLICABLE LAW ..................................................................................24</w:t>
      </w:r>
    </w:p>
    <w:p>
      <w:r>
        <w:rPr>
          <w:b/>
        </w:rPr>
        <w:t>[Pages 4–6]</w:t>
      </w:r>
    </w:p>
    <w:p>
      <w:r>
        <w:t xml:space="preserve">B. ON THE RELEVANT MARKET ...............................................................................25  </w:t>
        <w:br/>
        <w:t xml:space="preserve">C. ON THE QUALIFICATION OF PRACTICES .......................................................26  </w:t>
        <w:br/>
        <w:t xml:space="preserve">1. ON THE AGREEMENT OF WILL AIMED AT IMPLEMENTING A GLOBAL PLAN FOR  </w:t>
        <w:br/>
        <w:t xml:space="preserve">MARKET ALLOCATION .....................................................................................27  </w:t>
        <w:br/>
        <w:t xml:space="preserve">2. ON THE ANTICOMPETITIVE NATURE OF RECIPROCAL ASSIGNMENT AGREEMENTS  </w:t>
        <w:br/>
        <w:t xml:space="preserve">........................................................................................................................29  </w:t>
        <w:br/>
        <w:t xml:space="preserve">a) On the applicability of antitrust law to a concentration operation .................................. 30  </w:t>
        <w:br/>
        <w:t xml:space="preserve">b) On the anticompetitive nature of reciprocal assignments of business assets .................. 33  </w:t>
        <w:br/>
        <w:t xml:space="preserve">Reminder of principles .............................................................................................33  </w:t>
        <w:br/>
        <w:t xml:space="preserve">Application in this case ..........................................................................................35  </w:t>
        <w:br/>
        <w:t>DECISION ..................................................................................................... 39</w:t>
      </w:r>
    </w:p>
    <w:p>
      <w:r>
        <w:t xml:space="preserve">I. Findings  </w:t>
        <w:br/>
        <w:t xml:space="preserve">A. THE PROCEDURE  </w:t>
        <w:br/>
        <w:t xml:space="preserve">1. Following the transmission by the Directorate General for Competition, Consumer Affairs,  </w:t>
        <w:br/>
        <w:t xml:space="preserve">and Fraud Control of several indicators related to the rendering sector, an investigation was  </w:t>
        <w:br/>
        <w:t xml:space="preserve">opened on June 9, 2016, by the Competition Authority (hereinafter "the Authority") under  </w:t>
        <w:br/>
        <w:t xml:space="preserve">number 16/0055 E.  </w:t>
        <w:br/>
        <w:t xml:space="preserve">2. With the authorization of the judge of freedoms and detention (hereinafter "JLD") of Paris  </w:t>
        <w:br/>
        <w:t xml:space="preserve">on May 18, 2017, based on Article L. 450-4 of the Commercial Code, search and seizure  </w:t>
        <w:br/>
        <w:t xml:space="preserve">operations (hereinafter "OVS") were conducted on May 30, 2017, at the premises of the  </w:t>
        <w:br/>
        <w:t xml:space="preserve">companies Akiolis Group, Saria Industries (which became Saria since February 2020),  </w:t>
        <w:br/>
        <w:t xml:space="preserve">Prodia SAS, and Monnard (absorbed in 2017 by Société des Établissements Verdannet).  </w:t>
        <w:br/>
        <w:t xml:space="preserve">3. By decision No. 19-SO-09 of May 10, 2019, registered under number 19/0026 F, the  </w:t>
        <w:br/>
        <w:t xml:space="preserve">Authority took up practices implemented in the rendering sector ex officio.  </w:t>
        <w:br/>
        <w:t xml:space="preserve">4. All companies that were subject to an OVS filed appeals against the orders of the JLD and  </w:t>
        <w:br/>
        <w:t xml:space="preserve">the conduct of the operations based on Article L. 450-4 of the Commercial Code.  </w:t>
        <w:br/>
        <w:t xml:space="preserve">5. By orders of November 28, 2019, the first president of the Versailles Court of Appeal  </w:t>
        <w:br/>
        <w:t xml:space="preserve">rejected these appeals. By a ruling of January 4, 2022, the Court of Cassation rejected the  </w:t>
        <w:br/>
        <w:t xml:space="preserve">appeal filed by Akiolis Group.  </w:t>
        <w:br/>
        <w:t xml:space="preserve">6. On April 28, 2023, Akiolis Group filed an application before the European Court of Human  </w:t>
        <w:br/>
        <w:t xml:space="preserve">Rights (hereinafter "ECHR") against France based on Article 8 of the European Convention  </w:t>
        <w:br/>
        <w:t xml:space="preserve">on Human Rights and Fundamental Freedoms due to the seizure, during the OVS, of  </w:t>
        <w:br/>
        <w:t xml:space="preserve">documents that it claims are covered by attorney-client privilege. On December 19, 2023, the  </w:t>
        <w:br/>
        <w:t xml:space="preserve">registry of the ECHR noted the failure of the attempt at amicable settlement. The application  </w:t>
        <w:br/>
        <w:t xml:space="preserve">is pending as of the date of this decision.  </w:t>
        <w:br/>
        <w:t xml:space="preserve">7. A statement of objections was sent on April 28, 2022, to the companies Atemax France,  </w:t>
        <w:br/>
        <w:t xml:space="preserve">Soleval France, Akiolis Group, Tefipar, Tessenderlo Group SA/NV, Secanim Sud-Est,  </w:t>
        <w:br/>
        <w:t xml:space="preserve">Sarval Ouest, Secanim Centre, Saria, Saria International GmbH, Saria SE &amp; Co. KG,  </w:t>
        <w:br/>
        <w:t xml:space="preserve">Rethmann SE &amp; Co. KG, Provalt Savoie, Provalt Jura, Prodia SAS, Prodia SNC, and  </w:t>
        <w:br/>
        <w:t xml:space="preserve">Société des Établissements Verdannet for prohibited practices under Articles 101 of the  </w:t>
        <w:br/>
        <w:t xml:space="preserve">Treaty on the Functioning of the European Union (hereinafter "TFEU") and L. 420-1 of the  </w:t>
        <w:br/>
        <w:t xml:space="preserve">Commercial Code.  </w:t>
        <w:br/>
        <w:t xml:space="preserve">8. A report was sent to these companies on May 31, 2023.  </w:t>
        <w:br/>
        <w:t xml:space="preserve">9. The case was examined during the Authority's session on November 23, 2023.  </w:t>
        <w:br/>
        <w:t xml:space="preserve">10. For readability purposes, this decision will refer, unless otherwise stated, to:  </w:t>
        <w:br/>
        <w:t xml:space="preserve">− "Akiolis" to designate the companies Atemax France, Soleval France, Akiolis Group,  </w:t>
        <w:br/>
        <w:t xml:space="preserve">and Tefipar;  </w:t>
        <w:br/>
        <w:t xml:space="preserve">− "Tessenderlo" to designate the company Tessenderlo Group SA/NV;  </w:t>
        <w:br/>
        <w:t xml:space="preserve">− "Saria" to designate the companies Secanim Sud-Est, Sarval Ouest, Secanim Centre,  </w:t>
        <w:br/>
        <w:t xml:space="preserve">and Saria;  </w:t>
        <w:br/>
        <w:t xml:space="preserve">− "Verdannet" to designate the companies Provalt Savoie, Provalt Jura, Prodia SAS,  </w:t>
        <w:br/>
        <w:t xml:space="preserve">Prodia SNC, and Société des Établissements Verdannet;  </w:t>
        <w:br/>
        <w:t xml:space="preserve">− "Rethmann" to designate the companies Saria International GmbH, Saria SE &amp; Co.  </w:t>
        <w:br/>
        <w:t xml:space="preserve">KG, and Rethmann SE &amp; Co. KG.  </w:t>
        <w:br/>
        <w:t xml:space="preserve">B. THE RELEVANT SECTOR  </w:t>
        <w:br/>
        <w:t xml:space="preserve">1. THE PRODUCTS CONCERNED BY THE PRACTICES  </w:t>
        <w:br/>
        <w:t xml:space="preserve">11. According to Article L. 226-2 of the Rural and Maritime Fishing Code, "the activity of  </w:t>
        <w:br/>
        <w:t xml:space="preserve">rendering consists of the collection, handling, storage after collection, processing, or  </w:t>
        <w:br/>
        <w:t xml:space="preserve">disposal of one or more carcasses or parts of animal carcasses or other animal materials,  </w:t>
        <w:br/>
        <w:t xml:space="preserve">the list of which is determined by order of the minister responsible for agriculture."  </w:t>
        <w:br/>
        <w:t xml:space="preserve">12. Thus, rendering involves three phases: the collection of products, the securing and  </w:t>
        <w:br/>
        <w:t xml:space="preserve">processing of collected products, and, where applicable, the valorization of products after  </w:t>
        <w:br/>
        <w:t xml:space="preserve">processing.  </w:t>
        <w:br/>
        <w:t xml:space="preserve">13. Regulation (EC) No. 1069/2009 of the European Parliament and of the Council of October 21,  </w:t>
        <w:br/>
        <w:t xml:space="preserve">2009, establishing health rules applicable to animal by-products and derived products not  </w:t>
        <w:br/>
        <w:t xml:space="preserve">intended for human consumption (hereinafter "Regulation No. 1069/2009") distinguishes  </w:t>
        <w:br/>
        <w:t xml:space="preserve">three categories of products based on their risk to human health and the environment:  </w:t>
        <w:br/>
        <w:t xml:space="preserve">− Category C1 includes products that present a significant, potential, or proven risk to  </w:t>
        <w:br/>
        <w:t xml:space="preserve">public health or the environment. This particularly includes carcasses or parts of carcasses  </w:t>
        <w:br/>
        <w:t xml:space="preserve">of animals contaminated or suspected of being contaminated by a disease, which present a  </w:t>
        <w:br/>
        <w:t xml:space="preserve">specific health or environmental risk. These materials are primarily destroyed by incineration  </w:t>
        <w:br/>
        <w:t xml:space="preserve">or burial. They may also be processed into fuel or derived products provided they no longer  </w:t>
        <w:br/>
        <w:t xml:space="preserve">present any risk;  </w:t>
        <w:br/>
        <w:t xml:space="preserve">− Category C2 includes products that present a lower risk to health or the environment than  </w:t>
        <w:br/>
        <w:t xml:space="preserve">Category C1. This includes, for example, products declared unfit for human consumption due  </w:t>
        <w:br/>
        <w:t xml:space="preserve">to the presence of foreign bodies. Some of these products may be subject to valorization for  </w:t>
        <w:br/>
        <w:t xml:space="preserve">reuse (creation of organic fertilizers, biogas, composting);  </w:t>
        <w:br/>
        <w:t xml:space="preserve">− Category C3 includes products that do not present any risk to human or animal health or  </w:t>
        <w:br/>
        <w:t xml:space="preserve">the environment. This includes, in particular, animal parts suitable for human consumption  </w:t>
        <w:br/>
        <w:t>but not consumed due to...</w:t>
      </w:r>
    </w:p>
    <w:p>
      <w:r>
        <w:rPr>
          <w:b/>
        </w:rPr>
        <w:t>[Pages 7–9]</w:t>
      </w:r>
    </w:p>
    <w:p>
      <w:r>
        <w:t>habits as well as products such as feathers, blood, or animal fat, which can be subject to various valorizations such as the production of animal feed or biofuels.</w:t>
      </w:r>
    </w:p>
    <w:p>
      <w:r>
        <w:t>2. THE LOGISTICAL ORGANIZATION OF THE SECTOR</w:t>
      </w:r>
    </w:p>
    <w:p>
      <w:r>
        <w:t>14. The rendering sector is characterized by strong regulation at all levels of the collection and valorization chain. Thus, Regulation No. 1069/2009, mentioned above, and the decree of December 8, 2011, establishing health rules applicable to animal by-products and derived products in application of Regulation No. 1069/2009 and Regulation (EU) No. 142/2011, provide for strict rules for the handling and processing of by-products and co-products. For example, mixing products of different categories results in the downgrading of all products to the category presenting the highest risks. Furthermore, the establishments and factories where products C1, C2, and C3 are stored and processed are subject to a registration or approval requirement, depending on the nature of their activity.</w:t>
      </w:r>
    </w:p>
    <w:p>
      <w:r>
        <w:t>15. The activity of renderers is organized through collection centers and processing centers for the products, which are delivered by trucks. A truck can simultaneously transport products C1 and C2, without the latter being reclassified as C1, provided it is equipped with separate compartments. Similarly, a collection center can be used interchangeably for products C1 and C2. However, products C3 must be collected and processed separately. The collection, storage, and valorization of products C1 and C2, on the one hand, and C3, on the other hand, are thus separated and are generally carried out by different companies within the same rendering group.</w:t>
      </w:r>
    </w:p>
    <w:p>
      <w:r>
        <w:t>16. Collection centers represent a significant challenge for renderers, both in terms of responding to customer demand and limiting their logistical costs. Indeed, while the transport of large volumes from large slaughterhouses to processing plants can be done directly, this is not the case for volumes from small slaughterhouses and other clients, which are more limited and must, in some cases (animals found dead on farms), be removed within very tight deadlines, necessitating the use of collection centers, allowing for the unloading of co-products and by-products while waiting to have sufficient volumes for bulk loading to processing plants.</w:t>
      </w:r>
    </w:p>
    <w:p>
      <w:r>
        <w:t>3. COMMERCIAL RELATIONS BETWEEN RENDERERS AND THEIR CLIENTS</w:t>
      </w:r>
    </w:p>
    <w:p>
      <w:r>
        <w:t>17. Apart from the specific case of animals found dead (hereinafter "ATM", see below section a)), the clients of renderers are breeders, agri-food industry players (slaughterhouses and cutting workshops), large and medium-sized retailers (hereinafter "GMS"), and out-of-home catering (hereinafter "RHF") as well as butchers.</w:t>
      </w:r>
    </w:p>
    <w:p>
      <w:r>
        <w:t>a) The specific case of ATM</w:t>
      </w:r>
    </w:p>
    <w:p>
      <w:r>
        <w:t>18. Until 2009, the collection, processing, and disposal of ATM in operation and other animal carcasses were a public service covered by the State.</w:t>
      </w:r>
    </w:p>
    <w:p>
      <w:r>
        <w:t>19. Since that date, Article L. 226-3 of the Rural Code requires breeders located in mainland France to enter into a contract ensuring this service. Breeders thus have the option to conclude, by mutual agreement, contracts with a renderer (a very rare case) or to join a structure that can conclude a collective contract for a group of breeders with a renderer.</w:t>
      </w:r>
    </w:p>
    <w:p>
      <w:r>
        <w:t>20. Several associative and collective structures, organized by sectors, have thus been created under the name "ATM" ("Animaux Trouvés Morts"). There is an ATM for each of the major animal sectors (ruminants, pigs, poultry, etc.). The ATM for pigs is responsible for coordinating negotiations between all ATMs and the renderers, so that the winner of the contract in a geographical area takes charge of rendering for all sectors.</w:t>
      </w:r>
    </w:p>
    <w:p>
      <w:r>
        <w:t>21. Initially, the ATMs divided the metropolitan territory into 9 zones grouping several departments. Since 2014, the ATMs have been conducting calls for tenders at the departmental level.</w:t>
      </w:r>
    </w:p>
    <w:p>
      <w:r>
        <w:t>22. Since 2009, there have been 5 awards or renegotiations of ATM contracts: in July 2009, July 2011, July 2013, January 2014, January 2016, and January 2019.</w:t>
      </w:r>
    </w:p>
    <w:p>
      <w:r>
        <w:t>23. The public service of rendering in mainland France, provided by FranceAgriMer, remains very marginal (about 1%) for dead animals in pounds, shelters, or zoos as well as those whose owner is unknown.</w:t>
      </w:r>
    </w:p>
    <w:p>
      <w:r>
        <w:t>b) Other clients</w:t>
      </w:r>
    </w:p>
    <w:p>
      <w:r>
        <w:t>24. Regarding commercial relations with slaughterhouses, GMS, RHF, and butchers, the frequency and formality of commercial negotiations vary according to the type of client:</w:t>
        <w:br/>
        <w:t>− Regarding agri-food industry players, negotiations generally take place on a quarterly basis and, more rarely, annually. In the case of public slaughterhouses, renderers respond to calls for tenders;</w:t>
        <w:br/>
        <w:t>− For GMS and RHF, prices are negotiated on an annual basis by purchasing centers or possibly by store;</w:t>
        <w:br/>
        <w:t>− For butchers, prices can either be negotiated on an annual basis at the departmental level, or individually on a quarterly or monthly basis, or by transaction.</w:t>
      </w:r>
    </w:p>
    <w:p>
      <w:r>
        <w:t>4. THE EVOLUTION OF THE RENDERING SECTOR</w:t>
      </w:r>
    </w:p>
    <w:p>
      <w:r>
        <w:t>25. For several years, the rendering sector has faced new challenges, particularly related to the decline in available animal material resources.</w:t>
      </w:r>
    </w:p>
    <w:p>
      <w:r>
        <w:t>26. Firstly, France is experiencing a lasting and constant decline in cattle and pig herds, as illustrated by the diagram below:</w:t>
        <w:br/>
        <w:t>Evolution of cattle and pig herds since 1985 in France (in millions of heads)</w:t>
        <w:br/>
        <w:t>Source: Saria</w:t>
      </w:r>
    </w:p>
    <w:p>
      <w:r>
        <w:t>27. Furthermore, new techniques for valorizing by-products, such as methanization, allow new players (mainly slaughterhouses and energy actors) to transform by-products. Thus, on the one hand, slaughterhouses can install methanization plants, allowing them to directly transform their co-products into energy. On the other hand, energy actors, such as Engie, TotalEnergies, or waste treatment companies, such as Veolia, Suez, and Paprec, are developing a collection activity for by-products for energy valorization.</w:t>
      </w:r>
    </w:p>
    <w:p>
      <w:r>
        <w:t>28. In this context, the report of the General Council for Food, Agriculture, and Rural Areas from April 2023 notes that the rendering sector has been experiencing a constant concentration phenomenon since the 1950s, which has continued in recent years, with a decrease in the number of players and the number of processing and transformation plants.</w:t>
      </w:r>
    </w:p>
    <w:p>
      <w:r>
        <w:rPr>
          <w:b/>
        </w:rPr>
        <w:t>[Pages 10–12]</w:t>
      </w:r>
    </w:p>
    <w:p>
      <w:r>
        <w:t>C. THE ENTITIES CONCERNED</w:t>
      </w:r>
    </w:p>
    <w:p>
      <w:r>
        <w:t>1. AKIOLIS/TESSENDERLO</w:t>
      </w:r>
    </w:p>
    <w:p>
      <w:r>
        <w:t>29. Akiolis Group is a simplified joint-stock company registered with the RCS of Le Mans under number 536 550 056, with its registered office located at 34-38 boulevard d’Estienne d’Orves in Le Mans (72100).</w:t>
      </w:r>
    </w:p>
    <w:p>
      <w:r>
        <w:t>30. This company is the holding company of the Akiolis group in France, organized around three poles:</w:t>
        <w:br/>
        <w:t>− the environmental pole, constituted by the subsidiary Atemax France, responsible for the collection and processing of products posing a health risk (products C1 and C2). In 2018, Atemax France had 3 collection and processing centers and 26 collection centers, the latter being mainly located in the north and southwest of France;</w:t>
        <w:br/>
        <w:t>− the ingredients pole, through the subsidiary Soleval France, responsible for the collection and processing of products that do not pose any health risk (products C3). In 2018, it had 8 collection and processing sites and 12 collection centers, the latter being mainly located in the north and southwest of France, except for the site in Viriat (01);</w:t>
        <w:br/>
        <w:t>− the development pole, constituted by the company Violleau, specialized in the production of fertilizers and organic amendments.</w:t>
      </w:r>
    </w:p>
    <w:p>
      <w:r>
        <w:t>31. Akiolis Group holds 100% of the capital of the companies Atemax France and Soleval France, both also established in Le Mans.</w:t>
      </w:r>
    </w:p>
    <w:p>
      <w:r>
        <w:t>32. Akiolis Group is itself indirectly 100% owned by Tessenderlo Group SA/NV, a company of the Belgian industrial group specialized in the sectors of agriculture, the recovery of biowaste, and the provision of industrial solutions.</w:t>
      </w:r>
    </w:p>
    <w:p>
      <w:r>
        <w:t>33. In 2021, the global revenue of Akiolis Group from its financial statements amounted to [30-40] million euros. In 2022, Tessenderlo Group SA/NV achieved a consolidated global revenue of 2.6 billion euros.</w:t>
      </w:r>
    </w:p>
    <w:p>
      <w:r>
        <w:t>2. SARIA</w:t>
      </w:r>
    </w:p>
    <w:p>
      <w:r>
        <w:t>34. The company Saria, formerly known as Saria Industries, is a simplified joint-stock company registered with the RCS of Nanterre under number 552 002 255, with its registered office located at 24 rue Martre in Clichy (92110).</w:t>
      </w:r>
    </w:p>
    <w:p>
      <w:r>
        <w:t>35. Before 2022, Saria's activities were organized around four poles:</w:t>
        <w:br/>
        <w:t>− a rendering pole grouping the activities of collection and processing, prior to possible destruction, of animals found dead as well as animal by-products from the meat industries;</w:t>
        <w:br/>
        <w:t>− a food pole grouping the activities of processing animal and fish by-products as well as fats of animal and vegetable origin for the food industry, manufacturers of animal feed, manufacturers of aquaculture feed, and the oleochemical industry;</w:t>
        <w:br/>
        <w:t>− an oleochemistry pole grouping the activities of treatment and recovery of animal fats for the chemical industry;</w:t>
        <w:br/>
        <w:t>− an energy pole grouping the activities of collection and recovery of organic waste, used cooking oils, and the production of biofuel from animal fats unfit for consumption.</w:t>
      </w:r>
    </w:p>
    <w:p>
      <w:r>
        <w:t>36. As of January 1, 2022, Saria, which was previously organized by country, reorganized transversally into three transnational divisions.</w:t>
      </w:r>
    </w:p>
    <w:p>
      <w:r>
        <w:t>37. The activities related to products C1 and C2 of Saria are grouped under the commercial name Secanim and those related to products C3 under the commercial names Sarval (for materials from ruminant slaughterhouses and more marginally from retail outlets such as butcher shops and supermarkets), Kervalis (for materials from poultry or pig slaughterhouses), and Stanven (poultry meat by-products and feathers).</w:t>
      </w:r>
    </w:p>
    <w:p>
      <w:r>
        <w:t>38. In 2018, Saria had 25 collection centers and 8 processing plants for products C1, C2, and C3.</w:t>
      </w:r>
    </w:p>
    <w:p>
      <w:r>
        <w:t>39. Saria wholly owns its subsidiaries Secanim Sud-Est, Sarval Ouest, Secanim Centre, Petfood &amp; Feed Management SAS, and Organics2Power Management SAS.</w:t>
      </w:r>
    </w:p>
    <w:p>
      <w:r>
        <w:t>40. The capital of Saria is 100% owned by Saria International GmbH, which is itself 100% owned by Rethmann SE &amp; Co. KG, the parent company of the German group Rethmann, primarily active in the sectors of collection and recovery of animal by-products and biowaste under the Saria brand, water management, recycling of all types of waste, and logistics services.</w:t>
      </w:r>
    </w:p>
    <w:p>
      <w:r>
        <w:t>41. In 2022, the global revenue of Saria amounted to [confidential]. That of its parent company, Saria International GmbH, was [confidential] in 2021.</w:t>
      </w:r>
    </w:p>
    <w:p>
      <w:r>
        <w:t>3. VERDANNET</w:t>
      </w:r>
    </w:p>
    <w:p>
      <w:r>
        <w:t>42. Société des Établissements Verdannet is a simplified joint-stock company registered with the RCS of Annecy under number 796 480 283, with its registered office located at 28 avenue du Parmelan in Annecy (74000). In October 2017, this company absorbed its subsidiary Monnard SNC.</w:t>
      </w:r>
    </w:p>
    <w:p>
      <w:r>
        <w:t>43. Within Verdannet, the activities related to products C1, C2, and C3 are carried out through various subsidiaries:</w:t>
        <w:br/>
        <w:t>− Provalt Jura and Provalt Savoie (formerly named Monnard Jura and Monnard Savoie until October 2017), with capital held at 99.9% and 99% respectively by Société des Établissements Verdannet, active in C1 and C2 products, and for the latter, in the collection of C3 products;</w:t>
        <w:br/>
        <w:t>− Prodia Ouest SAS, Prodia SNC, Prodia SAS, with capital held at 100%, 99.9%, and 90.01% respectively by Société des Établissements Verdannet, active in C3 products. The company Prodia Bresse is also active in C3 products.</w:t>
      </w:r>
    </w:p>
    <w:p>
      <w:r>
        <w:t>44. In 2018, Verdannet had one collection and processing center and 4 collection centers, all located in the southeast quarter of France and active for products C1, C2, and C3, as well as 3 collection and processing sites and one collection center solely dedicated to C3 products.</w:t>
      </w:r>
    </w:p>
    <w:p>
      <w:r>
        <w:rPr>
          <w:b/>
        </w:rPr>
        <w:t>[Pages 13–15]</w:t>
      </w:r>
    </w:p>
    <w:p>
      <w:r>
        <w:t xml:space="preserve">45. The capital of Société des Établissements Verdannet is equally held by Mr. G. X… and Mr. R. Z…36.  </w:t>
        <w:br/>
        <w:t xml:space="preserve">46. In 2021, the consolidated global revenue of Société des Établissements Verdannet amounted to [270-280] million euros37.  </w:t>
        <w:br/>
        <w:t xml:space="preserve">D. THE OBSERVED PRACTICES  </w:t>
        <w:br/>
        <w:t xml:space="preserve">47. Since 2009, Akiolis, Saria, and Verdannet have maintained relationships that resulted in exchanges of tonnages, contract work, and transfers of business assets38. From 2012 onwards, these exchanges intensified, primarily between Akiolis and Saria, (1.) with a view to carrying out reciprocal business asset transfer operations that were implemented on June 26, 2015 (2.).  </w:t>
        <w:br/>
        <w:t xml:space="preserve">1. THE PRECURSORS OF THE TRANSFER OPERATIONS (2012 – 2014)  </w:t>
        <w:br/>
        <w:t xml:space="preserve">a) Discussions on the transfer of Akiolis' South-East activity (2012)  </w:t>
        <w:br/>
        <w:t xml:space="preserve">48. During the first half of 2012, Akiolis, concerned about its limited performance in the South-East, particularly the low profitability of its plant located in Viriat (01), dedicated to processing products C1, C2, and C3 (feathers), developed a project regarding the reorganization of its activity. This project was outlined in several scenarios, referred to as optimization, exit, or growth and innovation, some of which involved negotiations with Saria and Verdannet, so that the transfer of Akiolis' activity in the South-East to their benefit would occur in exchange for similar volumes in other regions39.  </w:t>
        <w:br/>
        <w:t xml:space="preserve">49. Throughout 2012, Akiolis and Saria began discussions on potential scenarios for reallocating volumes within the framework of reciprocal transfers. Within Saria, an "East-West" project, also called the "Jugnon plan," was developed taking into account the volumes and revenues that could be acquired on both sides40, with Verdannet being mentioned in the internal discussions about this project41.  </w:t>
        <w:br/>
        <w:t xml:space="preserve">50. To frame their discussions, the Saria and Akiolis groups developed a confidentiality agreement, the draft of which was sent by Akiolis to Saria on October 22, 201242. On the same day, a meeting was held between the two groups at Saria's premises in Clichy during which various scenarios were discussed43. It emerges from the internal exchanges of both groups that the preferred options consisted either of Akiolis withdrawing from the South-East with the transfer of its activities to Saria and/or Verdannet, or of Akiolis withdrawing its activities in this region concerning products C1 in favor of a specialization on products C344. The necessity to consult the specialized lawyers of each company in order to "secure compliance with competition law [sic]" is mentioned, with a meeting involving said lawyers scheduled for November 21, 201245.  </w:t>
        <w:br/>
        <w:t xml:space="preserve">51. At the end of 2012 and the beginning of 2013, Akiolis seems to favor the solution of exiting the South-East with transfers to Saria in exchange for the recovery of volumes, "Verdannet being rather reserved"46. In addition to exchanges of business assets, exchanges of tonnages were discussed during meetings in November 201247 and January 201348. Saria mentioned, on its side, a possible finalization of the Jugnon plan in February 201349.  </w:t>
        <w:br/>
        <w:t xml:space="preserve">b) Verdannet's commercial offensive and the resumption of negotiations on the South-East project (2013)  </w:t>
        <w:br/>
        <w:t xml:space="preserve">52. During 2013, Verdannet launched a commercial offensive in the South-East, which resulted in a significant loss of tonnages for Akiolis, likely compromising the realization of the South-East project50. In response, Akiolis captured nine ATM departments and recovered new volumes in the West. Except for one of the nine ATM departments, taken from Verdannet, all volumes captured by Akiolis were at the expense of Saria51.  </w:t>
        <w:br/>
        <w:t xml:space="preserve">53. From the second half of 2013, discussions on the transfer project resumed. Thus, in the autumn of 2013, Akiolis informed "Saria that the question of the South-East remained open" and that it was "open to resuming a discussion on the transfer of the business assets of the South-East"52.  </w:t>
        <w:br/>
        <w:t xml:space="preserve">54. A meeting between Saria and Verdannet took place in Lyon on December 6, 201353. Verdannet shortly thereafter recontacted Saria to organize a new meeting54.  </w:t>
        <w:br/>
        <w:t xml:space="preserve">c) The search for a tripartite solution (1st half of 2014)  </w:t>
        <w:br/>
        <w:t xml:space="preserve">55. Several internal documents from Akiolis and Saria reveal the different scenarios for business asset transfers considered by the parties involved during the first half of 2014.  </w:t>
        <w:br/>
        <w:t xml:space="preserve">56. From Saria's side, these scenarios take into account the loss of volume suffered in favor of Akiolis and the regular decrease in volumes to be processed. In particular, Saria seems to be concerned about the low intensity of livestock farming existing in the South-East area55.  </w:t>
        <w:br/>
        <w:t xml:space="preserve">57. Saria thus envisions a scenario in which the Viriat center (01) would close and a reallocation of various collection sites of Akiolis would take place:  </w:t>
        <w:br/>
        <w:t xml:space="preserve">− Gap (05) and Fontanil (38) would be attached to Verdannet's Saint-Amour (39) plant;  </w:t>
        <w:br/>
        <w:t xml:space="preserve">− Cruas (07), Saint-Jean-Bonnefonds (42), Perreux (42), and Avanne (25) would be attached to Saria's Bayet (03) plant;  </w:t>
        <w:br/>
        <w:t xml:space="preserve">− Rohrschollen (67) would be attached to Atemax's (Akiolis) Vénérolles (02) plant56.  </w:t>
        <w:br/>
        <w:t xml:space="preserve">58. On February 26, 2014, a meeting took place between representatives of Saria and Verdannet57.  </w:t>
        <w:br/>
        <w:t xml:space="preserve">59. From Akiolis' side, various scenarios are considered regarding the possibilities of rebalancing volumes between Saria and/or Verdannet following the closure of the Viriat plant within a project called "Footprint," this project involving reciprocal transfers and acquisitions with Saria and Verdannet58.  </w:t>
        <w:br/>
        <w:t xml:space="preserve">60. On April 9, 2014, a meeting took place between Akiolis and Saria regarding the different scenarios for business asset transfers considered59.  </w:t>
        <w:br/>
        <w:t xml:space="preserve">d) The signing of confidentiality agreements and its aftermath (second half of 2014)  </w:t>
        <w:br/>
        <w:t xml:space="preserve">61. On July 7, 2014, three confidentiality agreements were signed in Paris on the same model between Saria and Verdannet60, Akiolis and Saria61, and Akiolis and Verdannet62.  </w:t>
        <w:br/>
        <w:t xml:space="preserve">62. The preamble of these agreements specifies that the parties intend to transfer certain assets that may mutually interest them and that they have decided to engage in a discussion process regarding the potential reciprocal transfers of activities, leading to the necessity of exchanging a certain number of information – the business assets projected for transfer at that date being mentioned in these agreements63.  </w:t>
        <w:br/>
        <w:t xml:space="preserve">55 See the meeting reports from January 24, 2014 (cotes 22 221 to 22 223) and the document from February 4, 2014 (cotes 22 356 to 22 362).  </w:t>
        <w:br/>
        <w:t xml:space="preserve">56 Cotes 22 356 to 22 362.  </w:t>
        <w:br/>
        <w:t xml:space="preserve">57 Cote 22 310.  </w:t>
        <w:br/>
        <w:t xml:space="preserve">58 Cotes 8 558 and 8 559 VC (29 483 and 29 484 VNC). See also, cotes 14 261.  </w:t>
        <w:br/>
        <w:t xml:space="preserve">59 Cotes 22 229 and 22 230.  </w:t>
        <w:br/>
        <w:t xml:space="preserve">60 Cotes 24 727 to 24 734.  </w:t>
        <w:br/>
        <w:t xml:space="preserve">61 Cotes 24 719 to 24 726.  </w:t>
        <w:br/>
        <w:t xml:space="preserve">62 Cotes 25 746 to 25 753.  </w:t>
        <w:br/>
        <w:t>63 Cotes 24 720, 24 728 and 25 747.</w:t>
      </w:r>
    </w:p>
    <w:p>
      <w:r>
        <w:rPr>
          <w:b/>
        </w:rPr>
        <w:t>[Pages 16–18]</w:t>
      </w:r>
    </w:p>
    <w:p>
      <w:r>
        <w:t>63. However, at the beginning of the second half of 2014, internal exchanges at Saria reveal difficulties in negotiations with Verdannet, notably because the latter, which would complain about Akiolis's aggressive attitude, would in fact be unwilling to part with the collection center in Mirande (32).</w:t>
      </w:r>
    </w:p>
    <w:p>
      <w:r>
        <w:t>64. Therefore, while discussions continue between Akiolis and Saria, any operation between Akiolis and Verdannet seems, at this stage, excluded. Thus, in an internal email from Saria dated November 28, 2014, a project is mentioned whereby:</w:t>
        <w:br/>
        <w:t>− Saria would buy the entire business of Viriat and its associated collection centers, as well as a business from Verdannet;</w:t>
        <w:br/>
        <w:t>− to "finance" the purchase of Viriat, Saria would transfer various clients or businesses to Akiolis.</w:t>
      </w:r>
    </w:p>
    <w:p>
      <w:r>
        <w:t>65. However, in handwritten notes from December 8, 2014, seized at Saria's premises, there is again reference to the Verdannet group regarding the acquisition of Akiolis's businesses located in the Southeast.</w:t>
      </w:r>
    </w:p>
    <w:p>
      <w:r>
        <w:t>2. THE TRANSFERS BETWEEN THE THREE RENDERERS</w:t>
      </w:r>
    </w:p>
    <w:p>
      <w:r>
        <w:t>a) The final scope of the transfers</w:t>
      </w:r>
    </w:p>
    <w:p>
      <w:r>
        <w:t>66. Between January and March 2015, the three renderers specify the scope of the reciprocal transfer project. Thus, in handwritten notes from January 12, 2015, a manager at Saria provides an update on the progress of the project in the Rhône-Alpes region, specifying the assets and volumes that would be exchanged between Saria, Akiolis, and Verdannet. The next day, a note from the Akiolis group presents the "Alain project" (internal designation of the Akiolis group succeeding the "Southeast project"), which essentially contains the same elements.</w:t>
      </w:r>
    </w:p>
    <w:p>
      <w:r>
        <w:t>67. According to this note, the "Alain project" is a tripartite project, which "consists of acquisitions and transfers of businesses with the numbers 1 and 3 of rendering in France – the goal is to strengthen our activities and regions selected during our strategic review; and to divest from chronically loss-making activities in the Southeast region for which the prospects of returning to profitability are very low; all while maintaining a level of overall activity. Correspondingly, processing overcapacities would be absorbed."</w:t>
      </w:r>
    </w:p>
    <w:p>
      <w:r>
        <w:t>68. Other handwritten notes and internal emails seized at the premises of Saria and Akiolis trace the evolution of the scope of the operations considered during this period.</w:t>
      </w:r>
    </w:p>
    <w:p>
      <w:r>
        <w:t>69. In March 2015, the scope of the transfers of businesses is finalized. "Letters of intent" and "transfer agreements" are concluded:</w:t>
        <w:br/>
        <w:t>− on March 11, 2015, between Verdannet (via the Monnard companies) and Akiolis. Article 10 of this protocol provides for the indivisibility of the agreements, so that the non-fulfillment of one of the transfers would lead to the resolution of the transfer of all other assets;</w:t>
        <w:br/>
        <w:t>− on March 12, 2015, between Saria and Verdannet; and</w:t>
        <w:br/>
        <w:t>− on March 13, 2015, between Akiolis and Saria, also providing for an indivisibility clause. A separate agreement between these groups provides for the transfer of the business in Dordogne (Chalagnac).</w:t>
      </w:r>
    </w:p>
    <w:p>
      <w:r>
        <w:t>70. The agreements signed by Akiolis with Verdannet, on the one hand, and Saria, on the other hand, outline the reasons that led the parties to come together:</w:t>
        <w:br/>
        <w:t>"The regulatory developments of the last fifteen years in health and environmental matters have complicated and increased the costs of these services. Furthermore, certain processing tools require further modernization and/or renovations representing considerable investments, on sites that are often already overcapacity and in a precarious economic balance, if not already loss-making. Moreover, the commercial prospects, and thus revenue, are affected by the fact that the sources of by-products continue to diminish, following, in the same proportion, the regular erosion of livestock farming activity in France. The combined effects of rising costs, the burden of investments, and the decrease in volumes have led the Parties, each concerning their own situation, to the conclusion that they must undertake substantial restructuring of their current industrial and logistical organizations."</w:t>
      </w:r>
    </w:p>
    <w:p>
      <w:r>
        <w:t>71. In the agreement signed between Saria and Verdannet, it is stated:</w:t>
        <w:br/>
        <w:t>"[T]here are currently strong constraints on the economic balance of collection activities, the origins of which are diverse: (i) a trend decrease in livestock farming activity in France, which directly impacts the activities of collecting and processing animal by-products, (ii) increasingly stringent regulations regarding hygiene, safety, and the environment, leading to significant investments and further reinforcing the importance of fixed costs that characterize this industry, and (iii) regulations that have also reduced the scope of possible valorization of by-products. SARIA and VERDANNET are therefore constantly seeking sources of cost reduction that can improve the competitiveness of their activity and rationalize their industrial tools by being as close as possible to clients and particularly by limiting transportation costs. It is within the framework of these industrial restructuring projects undertaken or considered by each of the Parties that the Parties decided to come together, in order to agree, in particular, on the terms of the transfer."</w:t>
      </w:r>
    </w:p>
    <w:p>
      <w:r>
        <w:t>b) The transfers of businesses on June 26, 2015</w:t>
      </w:r>
    </w:p>
    <w:p>
      <w:r>
        <w:t>72. On June 26, 2015, several subsidiaries of the Akiolis, Saria, and Verdannet groups signed in Paris 21 business transfer agreements, including:</w:t>
        <w:br/>
        <w:t>− 11 between subsidiaries of Akiolis and Saria, summarized below;</w:t>
        <w:br/>
        <w:t>Transfers from Akiolis to Saria</w:t>
        <w:br/>
        <w:t>Collections Collections Collection C1 Collection C1 Collection C1</w:t>
        <w:br/>
        <w:t>C1 and C3 (excluding slaughterhouses) Collection C3</w:t>
        <w:br/>
        <w:t>C1 and C3 1 ATM zone 1 ATM zone</w:t>
        <w:br/>
        <w:t>2 ATM zones 2 ATM zones Castagniers</w:t>
        <w:br/>
        <w:t>Corbas Blavozy Dordogne</w:t>
        <w:br/>
        <w:t>Cruas Viriat (06)</w:t>
        <w:br/>
        <w:t>(69) (43) (24)</w:t>
        <w:br/>
        <w:t>(07) (01)</w:t>
        <w:br/>
        <w:t>Transfers from Saria to Akiolis</w:t>
        <w:br/>
        <w:t>Collection</w:t>
        <w:br/>
        <w:t>Collection C1 Collection of bones to</w:t>
        <w:br/>
        <w:t>5 ATM zones blood C3 (gelatin</w:t>
        <w:br/>
        <w:t>+ pork)</w:t>
        <w:br/>
        <w:t>Strasbourg</w:t>
        <w:br/>
        <w:t>Issé</w:t>
        <w:br/>
        <w:t>Benet</w:t>
        <w:br/>
        <w:t>(67)</w:t>
        <w:br/>
        <w:t>(85) (44)</w:t>
        <w:br/>
        <w:t>− 9 between subsidiaries of Akiolis and Verdannet, summarized below;</w:t>
        <w:br/>
        <w:t>Transfers from Akiolis to Verdannet</w:t>
        <w:br/>
        <w:t>Collections C1 and</w:t>
        <w:br/>
        <w:t>Collections C1 and Collections C1 and</w:t>
        <w:br/>
        <w:t>C3</w:t>
        <w:br/>
        <w:t>C3 C3 (excluding</w:t>
        <w:br/>
        <w:t>1 ATM zone 1 ATM zone feathers)</w:t>
        <w:br/>
        <w:t>Fontanil- Gap Viriat</w:t>
        <w:br/>
        <w:t>Cornillon</w:t>
        <w:br/>
        <w:t>(05) (01)</w:t>
        <w:br/>
        <w:t>(38)</w:t>
      </w:r>
    </w:p>
    <w:p>
      <w:r>
        <w:rPr>
          <w:b/>
        </w:rPr>
        <w:t>[Pages 19–21]</w:t>
      </w:r>
    </w:p>
    <w:p>
      <w:r>
        <w:t>Cessions by Verdannet to Akiolis</w:t>
      </w:r>
    </w:p>
    <w:p>
      <w:r>
        <w:t>Collection of</w:t>
      </w:r>
    </w:p>
    <w:p>
      <w:r>
        <w:t>Collections C1 feathers and C3</w:t>
      </w:r>
    </w:p>
    <w:p>
      <w:r>
        <w:t>Saint-Mirande</w:t>
      </w:r>
    </w:p>
    <w:p>
      <w:r>
        <w:t>Amour</w:t>
      </w:r>
    </w:p>
    <w:p>
      <w:r>
        <w:t>(32)</w:t>
      </w:r>
    </w:p>
    <w:p>
      <w:r>
        <w:t>(39)</w:t>
      </w:r>
    </w:p>
    <w:p>
      <w:r>
        <w:t>− 1 between a subsidiary of Verdannet and a subsidiary of Saria, summarized below;</w:t>
      </w:r>
    </w:p>
    <w:p>
      <w:r>
        <w:t>Cessions by Verdannet to Saria</w:t>
      </w:r>
    </w:p>
    <w:p>
      <w:r>
        <w:t>Collection of blood C3</w:t>
      </w:r>
    </w:p>
    <w:p>
      <w:r>
        <w:t>Centre-East</w:t>
      </w:r>
    </w:p>
    <w:p>
      <w:r>
        <w:t>73. The 21 operations are detailed in the table in Annex I of this decision.</w:t>
      </w:r>
    </w:p>
    <w:p>
      <w:r>
        <w:t>74. All these transfer agreements follow a common drafting framework, individually modified at the margins.</w:t>
      </w:r>
    </w:p>
    <w:p>
      <w:r>
        <w:t>75. Furthermore, they are all accompanied by a non-competition clause of 2 years prohibiting the seller from soliciting the suppliers and/or customers of the transferred business assets and from engaging in a competing activity in the transferred area.</w:t>
      </w:r>
    </w:p>
    <w:p>
      <w:r>
        <w:t>76. The diagrams below illustrate the exchanges of business assets between the three parties involved:</w:t>
      </w:r>
    </w:p>
    <w:p>
      <w:r>
        <w:t>77. The 21 operations had an impact (i) on the physical location of the collection and processing centers of the parties (ii) on customers and/or suppliers transferred without being linked to a collection center and (iii) on the ATM markets.</w:t>
      </w:r>
    </w:p>
    <w:p>
      <w:r>
        <w:t>The impact on the physical location of the parties</w:t>
      </w:r>
    </w:p>
    <w:p>
      <w:r>
        <w:t>78. Of these 21 operations, 13 had an impact on the physical locations of the three companies involved. They essentially resulted in:</w:t>
        <w:br/>
        <w:t>− in the South-East, a complete withdrawal of Akiolis's locations, excluding the collection and processing of feathers, and a strengthening of the presence of Saria and Verdannet;</w:t>
        <w:br/>
        <w:t>− in the South-West, the withdrawal of Verdannet and a strengthening of Akiolis's presence; and</w:t>
        <w:br/>
        <w:t>− in the North-East, a strengthening of Akiolis's presence.</w:t>
      </w:r>
    </w:p>
    <w:p>
      <w:r>
        <w:t>The impact of customer and/or supplier transfers without the transfer of a collection center</w:t>
      </w:r>
    </w:p>
    <w:p>
      <w:r>
        <w:t>79. The other 8 operations resulted in transfers of customers and/or suppliers without the transfer of a collection center, but which nevertheless had an impact:</w:t>
        <w:br/>
        <w:t>− Akiolis strengthened its activity in Western France by acquiring suppliers of gelatin bones and blood from Saria and developed its feather processing activity in the South-East by acquiring feather suppliers from Verdannet;</w:t>
        <w:br/>
        <w:t>− Saria strengthened its activity in the Centre-East of France by acquiring blood C3 suppliers from Verdannet;</w:t>
      </w:r>
    </w:p>
    <w:p>
      <w:r>
        <w:t>− Verdannet strengthened its activity in the South-East by acquiring the C1 slaughterhouse and C3 business assets from Viriat from Akiolis.</w:t>
      </w:r>
    </w:p>
    <w:p>
      <w:r>
        <w:t>The impact on the ATM markets</w:t>
      </w:r>
    </w:p>
    <w:p>
      <w:r>
        <w:t>80. These transfers also led to the transfer of thirteen ATM markets:</w:t>
        <w:br/>
        <w:t>− Akiolis transferred six departments (Haute-Loire, Ardèche, Drôme, Dordogne, Rhône, and Ain) to Saria;</w:t>
        <w:br/>
        <w:t>− Akiolis transferred two departments (Isère and Hautes-Alpes) to Verdannet;</w:t>
        <w:br/>
        <w:t>− Saria transferred to Akiolis the entirety of the Bas-Rhin department, a large part of the Haut-Rhin department; the parts of the Moselle and Meurthe-et-Moselle departments for which it was the awardee – thus allowing Akiolis to be the sole operator present in these departments – and part of the municipalities in the Vosges department in which it operated.</w:t>
      </w:r>
    </w:p>
    <w:p>
      <w:r>
        <w:t>3. THE EVOLUTION OF COMPETITIVE CONDITIONS FOLLOWING THE TRANSFERS OF BUSINESS ASSETS</w:t>
      </w:r>
    </w:p>
    <w:p>
      <w:r>
        <w:t>a) The degradation of pricing conditions</w:t>
      </w:r>
    </w:p>
    <w:p>
      <w:r>
        <w:t>81. Following the aforementioned transfers, some business partners of the three parties involved expressed their concerns regarding the degradation of pricing conditions and the weakening of competitive conditions among operators.</w:t>
      </w:r>
    </w:p>
    <w:p>
      <w:r>
        <w:t>82. Thus, some internal documents from Akiolis and Saria dated 2015 indicate that these groups intended to update the pricing conditions applicable to newly acquired customers as part of the contested operations.</w:t>
      </w:r>
    </w:p>
    <w:p>
      <w:r>
        <w:t>83. The file also contains several statements from former customers of Akiolis, Saria, and Verdannet, collected between late 2015 and early 2016, complaining about being imposed a new rendering service provider and that such a change was accompanied by a degradation of pricing conditions. For example:</w:t>
        <w:br/>
        <w:t>− the company Établissements Jean Chapin, a former customer of Saria transferred to Akiolis, indicated on December 15, 2015, that “the blood has been removed by the company SOLEVAL for 3 or 4 months. Before December, it was the company SIFFDA that handled this service. This change of provider was imposed on us. We indeed had no choice since SOLEVAL took over this activity from SIFFDA, which no longer handled it. They did not ask for our opinion, and we believe they agreed to divide the markets. We did not seek to find another...</w:t>
      </w:r>
    </w:p>
    <w:p>
      <w:r>
        <w:rPr>
          <w:b/>
        </w:rPr>
        <w:t>[Pages 22–24]</w:t>
      </w:r>
    </w:p>
    <w:p>
      <w:r>
        <w:t xml:space="preserve">service provider and we are already happy to have someone to ensure this service. The price charged by SOLEVAL is €80 per ton today, whereas it was €65 in September 2014 when SIFDDA was responsible for this service."85 (emphasis added); and </w:t>
        <w:br/>
        <w:t>− the COP AB of Beaune stated on December 11, 2015, "[w]e are in a situation where we are obliged to have the waste removed by the renderers and the renderers charge whatever prices they want, we have no other choice but to pay."86</w:t>
      </w:r>
    </w:p>
    <w:p>
      <w:r>
        <w:t>84. The investigation also noted that clients of Akiolis87, Saria88, and Verdannet89 not directly involved in the operations also complained about price increases:</w:t>
        <w:br/>
        <w:t>− Mr. M. Y-H, a former client of Akiolis transferred to Monnard [Verdannet], indicated in an email dated August 10, 2015 sent to the latter, "you have taken over the route of Akiolis Soleval. Until now we were charging them €80 per ton of tallow removed and I am surprised to receive an invoice for the removal of tallow and by-products at €150 per ton. I know that the market has changed and prices have dropped (sic) but under these conditions we will no longer be able to provide you with our tallow."90</w:t>
        <w:br/>
        <w:t>− The director of the Cibevial slaughterhouse, a client acquired by Saria, stated on December 17, 2015, "Since the end of 2014, there has been an increase in removal costs and a decrease in valorization prices. Starting in June 2015 with the disappearance of Akiolis, this situation has been exacerbated by the restructuring of the sector around 2 players who share the market. (...) Two weeks ago I received a letter from SARIA saying they were going to double the rates from €80 per ton to €160 per ton of blood."91 (emphasis added).</w:t>
      </w:r>
    </w:p>
    <w:p>
      <w:r>
        <w:t>85. Similarly, the file also contains statements from butchers complaining about a deterioration in the pricing conditions for the treatment of seized slaughterhouse materials and specified risk materials92 (hereinafter "SRM"). Indeed, while until October 2015 France was classified as a "country or region at controlled BSE [bovine spongiform encephalopathy or "mad cow disease"] risk" and, since October 2015, as a "country or region at negligible BSE risk," the obligations related to BSE prevention were once again strengthened in May 2016 following the detection of an isolated case of BSE.</w:t>
      </w:r>
    </w:p>
    <w:p>
      <w:r>
        <w:t>86. Some butchers, forced to conclude new agreements for the treatment of SRM, indicated that they had noticed significant price increases.93 For example, in Oise, the collection price rose from €22.99 to €50 and from €22.50 to €55 in Aisne94, without clients considering this increase justified: "[t]he reasons given to justify this increase would be the investments borne by the company [Atemax], notably the purchase of trucks. However, we observe at each collection that the company uses rental vans. This argument therefore seems unfounded."95</w:t>
      </w:r>
    </w:p>
    <w:p>
      <w:r>
        <w:t>b) The decrease in competitive pressure among renderers</w:t>
      </w:r>
    </w:p>
    <w:p>
      <w:r>
        <w:t>87. It follows from certain statements by clients of the renderers collected between late 2015 and early 2016 that competition among renderers has generally decreased, and not only in the products and geographical areas concerned by the aforementioned transfer operations96. The following statements can be cited as illustrations:</w:t>
        <w:br/>
        <w:t>− The slaughtering company Kerméné (Côtes-d'Armor) stated on December 14, 2015, "[t]here was a time when rendering companies sought to compete with each other and came to solicit us. They fought to win new clients. Today, it has become 'calm'."97</w:t>
        <w:br/>
        <w:t>− The Chapin slaughterhouse (Ille-et-Vilaine) reported on December 15, 2015, a market distribution among the renderers: "[I] do not know if another provider would agree to come collect these products from us because the companies have divided the geographical markets and do not come to 'eat each other's lunch'."98</w:t>
      </w:r>
    </w:p>
    <w:p>
      <w:r>
        <w:t>E. THE NOTIFIED GRIEVANCE</w:t>
      </w:r>
    </w:p>
    <w:p>
      <w:r>
        <w:t>88. The notification of grievances accuses the companies:</w:t>
        <w:br/>
        <w:t>− "Atemax France (RCS Le Mans 501 604 755) and Soleval France (RCS Le Mans 501 619 878) due to their direct participation, Akiolis Group (RCS Le Mans 536 550 056) due to its direct participation and as the parent company exercising a determining influence over Atemax France and Soleval France, Tefipar (RCS Lille Metropole 348 531 674) as the parent company of Akiolis Group, and Tessenderlo Group SA/NV (Belgium company number: 0412.101.728) due to its direct participation and as the parent company exercising a determining influence over Akiolis Group, for the period from April 2014 to the present;</w:t>
        <w:br/>
        <w:t>− Secanim Sud-Est (RCS Cusset 403 264 641), Sarval Ouest (RCS Nantes 403 264 450) and Secanim Centre (RCS La-Roche-Sur-Yon 403 264 161) due to their direct participation, Saria (RCS Nanterre 552 002 255) due to its direct participation and as the parent company exercising a determining influence over Secanim Sud-Est, Sarval Ouest and Secanim Centre, and the companies Saria International GmbH (Germany company number: HRB 17789), Saria SE &amp; Co. KG (Germany company number: HRA 15 432), Rethmann SE &amp; Co. KG (Germany company number: HRA 15431) in their capacity as parent companies of Saria, for the period from April 2014 to the present;</w:t>
        <w:br/>
        <w:t>− Provalt Savoie (RCS Annecy 443 337 605), Provalt Jura (RCS Lons-le-Saunier 449 427 145), Prodia SAS (RCS Orléans 317 747 731) and Prodia SNC (RCS Lons-le-Saunier 449 426 808) due to their direct participation, Société des Établissements Verdannet (RCS Annecy 796 480 283) due to its direct participation and as the parent company exercising a determining influence over Provalt Savoie, Provalt Jura, Prodia SAS and Prodia SNC, for the period from July 7, 2014 to the present;</w:t>
        <w:br/>
        <w:t>for having, in the rendering sector on the metropolitan national territory, developed and implemented an agreement for the geographical allocation of the market, ultimately realized through cross transfers of business assets. Such practice has an anti-competitive object and effect and is prohibited by Articles 101, paragraph 1, TFEU and L. 420-1 of the Commercial Code."</w:t>
      </w:r>
    </w:p>
    <w:p>
      <w:r>
        <w:t>II. Discussion</w:t>
      </w:r>
    </w:p>
    <w:p>
      <w:r>
        <w:t>A. ON THE APPLICABLE LAW</w:t>
      </w:r>
    </w:p>
    <w:p>
      <w:r>
        <w:t>89. According to the case law of the Court of Justice of the European Union (hereinafter "the Court of Justice") and the communication of the European Commission (hereinafter "the Commission") concerning guidelines on the notion of affecting trade as set out in Articles 101 and 102 TFEU99, three elements must be met for practices to be likely to significantly affect trade between Member States: the existence of exchanges between Member States concerning the products or services in question, the existence of practices likely to affect these exchanges, and the sensitive nature of this possible effect.</w:t>
      </w:r>
    </w:p>
    <w:p>
      <w:r>
        <w:t>90. The fact that agreements or abuses of a dominant position are committed only on the territory of a single Member State does not prevent the fulfillment of the first two conditions.</w:t>
      </w:r>
    </w:p>
    <w:p>
      <w:r>
        <w:t>91. In this regard, the Court of Cassation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 of exchanges between Member States, without requiring the establishment of an effect realized on intra-Community trade."100</w:t>
      </w:r>
    </w:p>
    <w:p>
      <w:r>
        <w:rPr>
          <w:b/>
        </w:rPr>
        <w:t>[Pages 25–27]</w:t>
      </w:r>
    </w:p>
    <w:p>
      <w:r>
        <w:t>92. Regarding the third element, according to the judgment of January 31, 2012, the Court of Cassation also held that "the sensitive nature of the direct or indirect, potential or actual allocation of intra-Community trade results from a set of criteria, among which are the nature of the practices, the nature of the products concerned, and the market position of the companies involved."</w:t>
      </w:r>
    </w:p>
    <w:p>
      <w:r>
        <w:t>93. In this case, the notified grievances target practices implemented throughout the national territory by companies belonging to international groups. Furthermore, the alleged practices concern a market allocation among the three main French renderers, which may have impaired their ability to respond to cross-border demand for products and which, in any event, may have had consequences on the downstream market for the valorization of by-products and sub-products sold throughout the territory of the European Union.</w:t>
      </w:r>
    </w:p>
    <w:p>
      <w:r>
        <w:t>94. It follows from all these developments that trade between Member States is likely to be significantly affected by the practices in question. The practices must therefore be examined in light of Union competition law, and in particular Article 101 TFEU, and national law, notably Article L. 420-1 of the Commercial Code.</w:t>
      </w:r>
    </w:p>
    <w:p>
      <w:r>
        <w:t>B. ON THE RELEVANT MARKET</w:t>
      </w:r>
    </w:p>
    <w:p>
      <w:r>
        <w:t>95. It should be recalled that it follows from consistent Union case law that "the obligation to delineate the relevant market in a decision adopted pursuant to Article 101 TFEU is imposed on competition authorities only when, without such delineation, it is not possible to determine whether the agreement, the decision of association of undertakings, or the concerted practice in question has as its object or effect the prevention, restriction, or distortion of competition within the common market" (emphasis added). In this case, the Court of the European Union (hereinafter "the Court") concluded that, insofar as the practice in question was an agreement aimed at market and customer allocation, it was therefore not necessary to delineate the market to conclude a violation of Article 101(1) TFEU.</w:t>
      </w:r>
    </w:p>
    <w:p>
      <w:r>
        <w:t>96. Similarly, under domestic law, when practices are examined under the prohibition of cartels, it is not necessary to define the market precisely as long as the sector has been sufficiently identified to allow for the qualification of the observed practices and to attribute them to the operators who implemented them.</w:t>
      </w:r>
    </w:p>
    <w:p>
      <w:r>
        <w:t>97. In their notification of grievances, the investigating services considered, in light of the aforementioned case law, that it was not necessary, in this case, to precisely define the markets and proposed to analyze the practices in the French rendering sector, which aims at the collection of animal by-products or sub-products from slaughterhouses or from breeders, butchers, or supermarkets for their processing or disposal.</w:t>
      </w:r>
    </w:p>
    <w:p>
      <w:r>
        <w:t>98. The companies involved, on the other hand, believe that the assessment of the practices they are accused of requires a more precise definition of the market to understand the reality of the pursued practices and, in particular, the competitive relationships between the parties involved, as well as to analyze the potential effects of the alleged practice on the market.</w:t>
      </w:r>
    </w:p>
    <w:p>
      <w:r>
        <w:t>99. Thus, regarding the product market, it would be appropriate to distinguish the market based on the origin of the products (animals found dead in farming and products collected/purchased outside of farming – slaughterhouses, supermarkets). Regarding the products collected/purchased outside of farming, the parties involved believe that segmentation would be relevant by customer type and material.</w:t>
      </w:r>
    </w:p>
    <w:p>
      <w:r>
        <w:t>100. Regarding the geographical market, the parties involved consider that, given the logistical constraints related to the specificity of the collected products, the markets can only be of a local dimension. In particular, the control of logistical costs for the collection of ATM, which must occur within two full days following the request, implies having a collection center close to the pickup location.</w:t>
      </w:r>
    </w:p>
    <w:p>
      <w:r>
        <w:t>101. In this case, the Authority notes that, regarding the definition of the product market, it is true that competition authorities have been able, in the context of merger control, to consider segmentations of the rendering sector, particularly based on the specific risk associated with the treatment of each category of by-products (C1, C2, C3). However, in this case, the three groups involved are active in each of these product categories, and the practices cover all of these products, including ATM. In this context, and in light of the case law recalled in paragraph 95 above, it is appropriate to analyze the practices in the rendering sector as a whole.</w:t>
      </w:r>
    </w:p>
    <w:p>
      <w:r>
        <w:t>102. Regarding the definition of the geographical market, it should be noted that the Commission has considered in recent cases that the markets for the collection of animal by-products had a national dimension, while leaving the question of the precise definition of the market open.</w:t>
      </w:r>
    </w:p>
    <w:p>
      <w:r>
        <w:t>103. Therefore, the sector concerned by the practices is that of the collection of animal by-products or sub-products for their processing or disposal in metropolitan France.</w:t>
      </w:r>
    </w:p>
    <w:p>
      <w:r>
        <w:t>C. ON THE QUALIFICATION OF THE PRACTICES</w:t>
      </w:r>
    </w:p>
    <w:p>
      <w:r>
        <w:t>104. In their notification of grievances, the investigating services accuse the three groups involved of developing and implementing a global plan, the purpose of which was to geographically allocate the French market for the collection of animal by-products or sub-products, which was ultimately implemented through the conclusion of 21 reciprocal business transfer agreements. They consider that such a practice is anti-competitive by object.</w:t>
      </w:r>
    </w:p>
    <w:p>
      <w:r>
        <w:t>105. The companies involved, on the other hand, believe that all the observed exchanges follow Akiolis' decision to sell the loss-making site in Viriat and are part of the negotiation of the follow-up to this concentration project that led to the reciprocal transfers of June 26, 2015. They argue that no national global plan can be identified given, on the one hand, the absence of detachable acts from the reciprocal transfers and, on the other hand, the local nature of the markets concerned by the practices. They thus consider that the observed practices fall under merger law and cannot be analyzed under cartel law. Finally, in the alternative, they argue that the alleged practice cannot constitute an infringement by object and that the analysis of its effects by the investigating services is both virtually non-existent and erroneous.</w:t>
      </w:r>
    </w:p>
    <w:p>
      <w:r>
        <w:t>106. It is therefore necessary, first of all, to verify the existence of a meeting of wills aimed at establishing a global market allocation plan (1.) and then to analyze whether the incriminated practice has an anti-competitive character (2.).</w:t>
      </w:r>
    </w:p>
    <w:p>
      <w:r>
        <w:t>1. ON THE MEETING OF WILLS AIMED AT ESTABLISHING A GLOBAL MARKET ALLOCATION PLAN</w:t>
      </w:r>
    </w:p>
    <w:p>
      <w:r>
        <w:t>107. It follows from consistent case law of the Court of Justice that to qualify a meeting of wills as anti-competitive, "it is sufficient that the companies involved have expressed their common intention to behave on the market in a determined manner."</w:t>
      </w:r>
    </w:p>
    <w:p>
      <w:r>
        <w:t>108. The proof of agreements and concerted practices can result either from self-sufficient evidence or from a set of indicators constituted by the convergence of various elements collected during the investigation, which may be drawn from one or more documents or statements and which, taken in isolation, may not have probative value.</w:t>
      </w:r>
    </w:p>
    <w:p>
      <w:r>
        <w:t>109. Both national and European case law have confirmed the evidentiary value of a set of serious, precise, and consistent indicators. Thus, "to establish the existence of an infringement of Article 101(1) TFEU, it is necessary that [the Competition Authority] presents serious, precise, and consistent evidence. However, each piece of evidence provided by it does not necessarily have to meet these criteria concerning each element of the infringement. It is sufficient that the set of indicators invoked by said institution, assessed as a whole, meets this requirement."</w:t>
      </w:r>
    </w:p>
    <w:p>
      <w:r>
        <w:t>110. In this case, the investigating services considered that the three parties involved had agreed to establish a tripartite global plan for the geographical allocation of the market, developed through multiple meetings and prior exchanges of information, initially formalized by confidentiality agreements (July 2014) and promises of transfers (March 2015), and then realized, in a second phase, by the bilateral agreements for the transfer of business assets of June 26, 2015. Thus, according to them, these transfers, which must be legally analyzed as concentration operations, are merely the modality...</w:t>
      </w:r>
    </w:p>
    <w:p>
      <w:r>
        <w:rPr>
          <w:b/>
        </w:rPr>
        <w:t>[Pages 28–30]</w:t>
      </w:r>
    </w:p>
    <w:p>
      <w:r>
        <w:t>chosen technique for the implementation of the aforementioned global plan and cannot be apprehended independently.</w:t>
      </w:r>
    </w:p>
    <w:p>
      <w:r>
        <w:t>111. Nevertheless, it follows from the analysis of the elements submitted in the file that the various acts and exchanges prior to the effective completion of the 21 transfers are actually part of bilateral discussions aimed at carrying out these transfers and are an integral part thereof.</w:t>
      </w:r>
    </w:p>
    <w:p>
      <w:r>
        <w:t>112. Firstly, the Authority notes that the exchanges submitted in the file constitute preparatory discussions for a concentration operation. Although other projects may have been considered by Akiolis and Saria (see paragraph 51 above), the elements in the file within the infraction period retained by the notified grievance do not sufficiently establish the existence of a tripartite distribution project of collection volumes and processing of by-products outside a concentration framework.</w:t>
      </w:r>
    </w:p>
    <w:p>
      <w:r>
        <w:t>113. It follows from the findings made in paragraphs 48 to 51 that Akiolis, as early as 2012, expressed the desire to divest its processing plant located in Viriat due to its low profitability. In this context, Akiolis communicated its intentions to Saria, and these two companies very quickly – as early as autumn 2012 – entered into a confidentiality agreement. All scenarios considered during the exchanges between these companies from 2012 to 2014 mentioned in paragraphs 48 to 68, including those involving Verdannet, included reciprocal transfers of business assets.</w:t>
      </w:r>
    </w:p>
    <w:p>
      <w:r>
        <w:t>114. Secondly, and as a purely contextual element, it can be noted that the elements in the file do not sufficiently demonstrate that the parties ceased to compete with each other. It is, however, established that, prior to the starting point of the notified grievance, Akiolis and Saria continued to exert mutual competitive pressure while they had already begun discussions aimed at carrying out reciprocal transfers, as evidenced, in particular, by the fact that in response to Verdannet's commercial offensive, Akiolis resumed, in 2013, significant volumes of collection previously operated by Saria (see paragraph 52 above).</w:t>
      </w:r>
    </w:p>
    <w:p>
      <w:r>
        <w:t>115. Furthermore, following the signing, on July 7, 2014, of confidentiality agreements by the three parties involved for the purpose of respective transfers, the groups continued to negotiate the scope of the transfers of business assets, as revealed by the negotiation difficulties with Verdannet, apparently reluctant to part with the collection center in Mirande, located in the Southwest, as indicated in paragraphs 63 to 64.</w:t>
      </w:r>
    </w:p>
    <w:p>
      <w:r>
        <w:t>116. Thirdly, contrary to what is suggested by the notification of grievances, the indivisibility of the bilateral transfer agreements, provided for from the letters of intent signed in March 2015 mentioned in paragraph 69 above, does not demonstrate the existence of a plan exceeding the mere execution of concentration operations. These clauses indeed only provide for the indivisibility of the various agreements for those concluded within the framework of the same bilateral relationship (namely, between Akiolis and Saria, Akiolis and Verdannet, and Saria and Verdannet). In fact, the reciprocal business asset transfer agreements had no tripartite component.</w:t>
      </w:r>
    </w:p>
    <w:p>
      <w:r>
        <w:t>117. Lastly, no document in the file establishes Verdannet's participation in the discussions prior to the formalization by the confidentiality agreements of July 7, 2014, of a negotiation framework for the reciprocal transfers of business assets. While two to three meetings between Saria and Verdannet likely took place (see paragraphs 54 and 58 above), no element in the file allows for knowledge of the content of these discussions nor, a fortiori, to demonstrate Verdannet's awareness of a global tripartite plan for the geographical distribution of markets.</w:t>
      </w:r>
    </w:p>
    <w:p>
      <w:r>
        <w:t>118. In this regard, it should be noted that the starting point of the grievance notified to Verdannet corresponds precisely to the signing of the confidentiality agreements. These agreements constitute, in this case, the foundation of a formal legal framework for negotiations aimed at carrying out the concentration operations that led to the reciprocal transfers of business assets on June 26, 2015.</w:t>
      </w:r>
    </w:p>
    <w:p>
      <w:r>
        <w:t>119. Consequently, the Authority considers that, in this case, the existence of a mutual agreement aimed at implementing a global plan for the geographical distribution of rendering markets in France, encompassing the transfer operations but not limited to them, is not demonstrated.</w:t>
      </w:r>
    </w:p>
    <w:p>
      <w:r>
        <w:t>120. On the other hand, the signing of the reciprocal transfer agreements on June 26, 2015, alone demonstrates the existence of a mutual agreement aimed at carrying out concentration operations. It is therefore necessary to verify whether these concentrations are likely to be classified as anti-competitive practices based on Articles 101 TFEU and L. 420-1 of the Commercial Code.</w:t>
      </w:r>
    </w:p>
    <w:p>
      <w:r>
        <w:t>2. ON THE ANTI-COMPETITIVE NATURE OF THE RECIPROCAL TRANSFER AGREEMENTS</w:t>
      </w:r>
    </w:p>
    <w:p>
      <w:r>
        <w:t>121. The companies involved contest the possibility of analyzing a concentration operation under antitrust law. They also argue that, in any case, the reciprocal transfers of business assets do not have an anti-competitive object or effect, and thus no violation of Articles 101 TFEU and L. 420-1 of the Commercial Code can be established. It is necessary to successively analyze these two points.</w:t>
      </w:r>
    </w:p>
    <w:p>
      <w:r>
        <w:t>122. As a preliminary point, it should be noted, like the investigation services and the companies involved, that the reciprocal transfers of business assets on June 26, 2015, constitute five distinct concentration operations. Indeed, it follows from the Commission's guidelines on the control of concentrations that "multiple operations, even subject to a reciprocal conditional link, can only be considered a single concentration if, ultimately, control is acquired by the same company or companies." These five distinct operations are as follows:</w:t>
        <w:br/>
        <w:t>− the transfers of business assets from Akiolis to Saria;</w:t>
        <w:br/>
        <w:t>− the transfers of business assets from Saria to Akiolis;</w:t>
        <w:br/>
        <w:t>− the transfers of business assets from Akiolis to Verdannet;</w:t>
        <w:br/>
        <w:t>− the transfers of business assets from Verdannet to Akiolis;</w:t>
        <w:br/>
        <w:t>− the transfer of business assets from Verdannet to Saria.</w:t>
      </w:r>
    </w:p>
    <w:p>
      <w:r>
        <w:t>123. The Authority also notes that none of these operations was subject to prior control under Article L. 430-3 of the Commercial Code as they did not exceed the thresholds set out in Article L. 430-2 of the same code.</w:t>
      </w:r>
    </w:p>
    <w:p>
      <w:r>
        <w:t>a) On the applicability of antitrust law to a concentration operation</w:t>
      </w:r>
    </w:p>
    <w:p>
      <w:r>
        <w:t>124. The parties involved consider that a concentration operation within the meaning of Article L. 430-1 of the Commercial Code cannot be subject to a posteriori control based on Articles 101 TFEU and L. 420-1 of the Commercial Code, even in the event that, as in this case, the concentration was not subject to prior control under Article L. 430-2 of the same code.</w:t>
      </w:r>
    </w:p>
    <w:p>
      <w:r>
        <w:t>125. Regarding the national legal framework, they rely, in particular, on the ruling of the Court of Cassation of November 26, 1996, in the case involving Gaumont and Pathé Cinéma, which concluded that requests made against reciprocal transfer agreements that had been authorized by the Minister of Economy under prior concentration control were inadmissible, as "the parties in dispute had not reported any illegal practices arising from these agreements that could be subject, if necessary, to a separate referral to the Competition Council."</w:t>
      </w:r>
    </w:p>
    <w:p>
      <w:r>
        <w:t>126. However, the ruling of the Paris Court of Appeal in 1994, confirmed by the ruling of the Court of Cassation cited by the parties, establishes the principle that "the procedures provided for in Title III relating to the control of agreements and in Title V relating to the control of concentrations are different and incompatible with each other."</w:t>
      </w:r>
    </w:p>
    <w:p>
      <w:r>
        <w:t>127. This case law thus has the sole purpose of establishing a principle of incompatibility of procedures, in order to exclude an examination of the same operation both under concentration control and under antitrust law. It cannot, therefore, be usefully invoked in the present case, as the concentration operations in question were not subject to ex ante control under concentration control.</w:t>
      </w:r>
    </w:p>
    <w:p>
      <w:r>
        <w:t>128. At the European level, the parties involved mention Article 3 of Regulation No. 139/2004 on the control of concentrations, which excludes the application of Regulation No. 1/2003, as well as the ruling of the Court of Justice of September 7, 2017, rendered in the Austria Asphalt case – in which the Court considered that Regulation No. 1/2003 was not a priori applicable to a concentration operation.</w:t>
      </w:r>
    </w:p>
    <w:p>
      <w:r>
        <w:t>129. However, it should be recalled that, by a ruling in the Towercast case on March 16, 2023, rendered in response to a preliminary question from the Paris Court of Appeal, the Court of Justice considered that the concentration regulation does not prevent a concentration operation, lacking a community dimension, situated below the thresholds...</w:t>
      </w:r>
    </w:p>
    <w:p>
      <w:r>
        <w:rPr>
          <w:b/>
        </w:rPr>
        <w:t>[Pages 31–33]</w:t>
      </w:r>
    </w:p>
    <w:p>
      <w:r>
        <w:t>jurisdictional controls ex ante provided for by national law and not having been referred on the basis of Article 22 of this regulation "to be analyzed by a competition authority of a Member State as constituting an abuse of a dominant position prohibited by Article 102 TFEU in light of the structure of competition in a national market."116 (emphasis added).</w:t>
      </w:r>
    </w:p>
    <w:p>
      <w:r>
        <w:t>130. The parties under scrutiny, however, believe that this case law only concerns the applicability of Article 102 TFEU and is therefore not transposable to Article 101 TFEU. They further argue, referring to the case law and decision-making practice mentioned in paragraphs 125 and 126 above, that the application of antitrust law to a concentration requires identifying an anticompetitive practice that is separable from the concentration operation.</w:t>
      </w:r>
    </w:p>
    <w:p>
      <w:r>
        <w:t>131. However, it follows from the very grounds of the Towercast judgment that this analysis is erroneous.</w:t>
      </w:r>
    </w:p>
    <w:p>
      <w:r>
        <w:t>132. On the one hand, the Court of Justice recalled, in points 38 and 39 of the judgment, that recital 7 of the concentrations regulation mentions that "[t]he articles [101] and [102 TFEU], while applicable, [...] are not sufficient to control all concentration operations that may prove incompatible with [a] non-distorted competition regime" and that, as a result, the concentrations regulation "is part of a legislative framework aimed at implementing Articles 101 and 102 TFEU as well as establishing a control system ensuring that competition is not distorted in the internal market of the Union" (emphasis added). Furthermore, it recognized in point 41 "that it is accepted that certain concentrations may, at the same time, escape ex ante control and be subject to ex post control"117, without limiting this control to the detection of a possible abuse of a dominant position based on Article 102 TFEU.</w:t>
      </w:r>
    </w:p>
    <w:p>
      <w:r>
        <w:t>133. On the other hand, and most importantly, the Court of Justice considers that Article 102 TFEU remains applicable to a concentration operation within the meaning of Article 3 of the concentrations regulation, insofar as Article 102 TFEU is "a provision of direct effect whose application is not conditional upon the prior adoption of a procedural regulation" and that a contrary reasoning "ultimately amounts to excluding the direct applicability of a provision of primary law due to the adoption of a derived act targeting certain business behaviors in the market"118 (emphasis added).</w:t>
      </w:r>
    </w:p>
    <w:p>
      <w:r>
        <w:t>134. Now, it is established that Article 101 TFEU is a provision of direct effect. Advocate General Kokott also recalled this in her conclusions delivered in the Towercast case, indicating that "the Court also deduced from this direct applicability of Articles 101 and 102 TFEU, and the primacy related to it, that national competition authorities were required to disregard the application of contrary national provisions"119. She also recalled that "the Austria Asphalt judgment therefore contains no general indication regarding the articulation between the law of concentration control, on the one hand, and Articles 101 and 102 TFEU, on the other"120, insofar as this judgment concerned the applicability of Regulation 1/2003 and not Article 101 TFEU121.</w:t>
      </w:r>
    </w:p>
    <w:p>
      <w:r>
        <w:t>135. This analysis is not called into question by the parties' arguments.</w:t>
      </w:r>
    </w:p>
    <w:p>
      <w:r>
        <w:t>136. Firstly, contrary to what the parties indicate, the fact that a concentration operation results in the takeover of one company by another and, consequently, the disappearance of the latter does not negate the multilateral nature of the practice and, therefore, the qualification of an agreement. Indeed, a violation of Article 101 TFEU can result from the very formation of the agreement underlying the concentration which, by hypothesis, occurred between two distinct companies in the sense of competition law.</w:t>
      </w:r>
    </w:p>
    <w:p>
      <w:r>
        <w:t>137. Secondly, the reference to the judgments of the Tribunal of 17 May 2023122, in which it declared an argument based on a violation of Article 101 TFEU concerning reciprocal transfer operations between two German energy operators to be ineffective, is not relevant to exclude the applicability of an ex post control of a concentration operation based on Article 101 TFEU. The Tribunal was, in fact, seized of an appeal against a decision authorizing a concentration operation rendered by the Commission on the basis of the concentrations regulation123. However, as indicated above, the concentrations regulation excludes the applicability of Regulation 1/2003 concerning the implementation of Articles 101 and 102 TFEU. It is therefore perfectly coherent that, in the context of examining a concentration operation on the basis of the concentrations regulation, the Commission cannot analyze the same behavior from the perspective of Article 101 TFEU, just as it could not do so from the perspective of Article 102 TFEU. This observation, however, cannot exclude the possibility for a national competition authority that, by hypothesis, would not fall within the scope of the concentrations regulation, to conduct an ex post control of a concentration operation based on Article 101 TFEU.</w:t>
      </w:r>
    </w:p>
    <w:p>
      <w:r>
        <w:t>138. Thirdly, the parties under scrutiny cannot validly assert that Article 101 TFEU cannot be implemented outside the procedural framework of Regulation 1/2003 because, unlike the practices referred to in Article 102 TFEU, an anticompetitive agreement within the meaning of Article 101, paragraph 1, TFEU is likely to be exempted if the conditions set out in the third paragraph of that same article are met. Besides the fact that this assertion contradicts the established case law of the Court of Justice regarding the direct effect of Article 101 TFEU (see, above, paragraph 134), Regulation 1/2003 does not specify the conditions for applying the exemption referred to in Article 101, paragraph 3, TFEU124. Thus, the implementation of this exemption does not require that Regulation 1/2003 be applicable.</w:t>
      </w:r>
    </w:p>
    <w:p>
      <w:r>
        <w:t>139. In light of these elements, the Authority considers that, in accordance with the case law of the Court of Justice, a concentration operation that is "devoid of community dimension, within the meaning of Article 1 of this regulation [concentrations], situated below the thresholds of mandatory ex ante control provided for by national law and not having given rise to a referral to the Commission under Article 22 of the said regulation"125 is subject to ex post control on the basis of Articles 101 TFEU and L. 420-1 of the Commercial Code (emphasis added).</w:t>
      </w:r>
    </w:p>
    <w:p>
      <w:r>
        <w:t>140. In this case, as indicated in paragraphs 122 and 123 above, it is established that the 21 reciprocal transfers of business assets between renderers constitute five distinct concentration operations. None of them reached the national thresholds for concentration control provided for in Article L. 430-2 of the Commercial Code, nor, a fortiori, those provided for in Article 1 of the concentrations regulation – excluding any community dimension – nor were they referred to the Commission under Article 22 of that same regulation.</w:t>
      </w:r>
    </w:p>
    <w:p>
      <w:r>
        <w:t>141. Therefore, the Authority is well-founded in assessing whether these reciprocal transfers constitute an anticompetitive agreement within the meaning of Articles 101 TFEU and L. 420-1 of the Commercial Code.</w:t>
      </w:r>
    </w:p>
    <w:p>
      <w:r>
        <w:t>b) On the anticompetitive nature of the reciprocal transfers of business assets</w:t>
      </w:r>
    </w:p>
    <w:p>
      <w:r>
        <w:t>Reminder of the principles</w:t>
      </w:r>
    </w:p>
    <w:p>
      <w:r>
        <w:t>142. Agreements, concerted practices, and decisions by associations of undertakings are prohibited by Articles 101, paragraph 1, TFEU, and L. 420-1 of the Commercial Code when they have the object or may have the effect of preventing, restricting, or distorting competition on a market.</w:t>
      </w:r>
    </w:p>
    <w:p>
      <w:r>
        <w:t>143. It follows from the very terms of these provisions that the anticompetitive object and effect of a practice are alternative conditions for the implementation of the prohibition provided for therein.</w:t>
      </w:r>
    </w:p>
    <w:p>
      <w:r>
        <w:t>144. In this context, the Court of Justice has specified that it is appropriate to examine, first, the very object of the agreement, and that it is only appropriate to examine its effects if the analysis of the object does not reveal a sufficient degree of harmfulness to competition to characterize a prohibited agreement126.</w:t>
      </w:r>
    </w:p>
    <w:p>
      <w:r>
        <w:t>145. In this regard, the Court of Justice has emphasized that "certain types of coordination between undertakings reveal a sufficient degree of harmfulness to competition such that it can be considered that the examination of their effects is not necessary. This case law is due to the circumstance that certain forms of coordination between undertakings can be considered, by their very nature, as harmful to the proper functioning of competition."</w:t>
      </w:r>
    </w:p>
    <w:p>
      <w:r>
        <w:rPr>
          <w:b/>
        </w:rPr>
        <w:t>[Pages 34–36]</w:t>
      </w:r>
    </w:p>
    <w:p>
      <w:r>
        <w:t>competition"127. It also recalled that the notion of restriction of competition by object must be interpreted restrictively128.</w:t>
      </w:r>
    </w:p>
    <w:p>
      <w:r>
        <w:t>146. In general, the assessment of the existence of a sufficient degree of harmfulness requires a concrete and cumulative examination of the content and objectives of the restrictive competition provision, as well as the economic and legal context in which it is situated129. In the context of assessing said context, it is also necessary to take into account the nature of the goods or services affected as well as the actual conditions of operation and structure of the relevant market(s)130.</w:t>
      </w:r>
    </w:p>
    <w:p>
      <w:r>
        <w:t>147. Furthermore, the existence of sufficiently solid and reliable experience regarding the harmfulness of certain types of agreements is taken into account to assess their qualification as restrictions by object131. The Court of Justice has nevertheless recalled that the fact that a competition authority has never qualified an agreement similar to the one under analysis as a restriction by object does not, in itself, prevent it from retaining such a qualification in the future132.</w:t>
      </w:r>
    </w:p>
    <w:p>
      <w:r>
        <w:t>148. Regarding the consideration of the objectives pursued by a measure being assessed under Article 101, paragraph 1, TFEU, the Court of Justice has already ruled "that the fact that a measure is considered to pursue a legitimate objective does not exclude that, in light of the existence of another objective pursued by it, which must be regarded as illegitimate, taking into account also the content of the provisions of that measure and the context in which it is situated, said measure may be considered to have a restrictive object on competition"133.</w:t>
      </w:r>
    </w:p>
    <w:p>
      <w:r>
        <w:t>149. Finally, although the intention of the parties is not a necessary element for determining the restrictive nature of an agreement between businesses, nothing prevents competition authorities or national and Union courts from taking it into account134.</w:t>
      </w:r>
    </w:p>
    <w:p>
      <w:r>
        <w:t>150. Moreover, agreements that aim to "allocate markets or sources of supply" are, on the one hand, expressly targeted by Articles 101 TFEU and L. 420-1 of the Commercial Code and, on the other hand, considered, according to consistent case law, as constituting "particularly serious violations of competition" and having "a restrictive object on competition in themselves"135.</w:t>
      </w:r>
    </w:p>
    <w:p>
      <w:r>
        <w:t>151. In a judgment of November 20, 2008, BIDS, the Court of Justice noted, in assessing the anti-competitive object of capacity-reducing agreements concluded between competitors, that the companies that entered into these agreements "would have had, in the absence of these agreements, no other means to improve their profitability than to intensify their commercial rivalry or to resort to concentration operations"136.</w:t>
      </w:r>
    </w:p>
    <w:p>
      <w:r>
        <w:t>152. Regarding the assessment of anti-competitive effects, the Court of Justice considers that "[i]n the event that the analysis of a type of coordination between companies does not present a sufficient degree of harmfulness to competition, it would be necessary, on the other hand, to examine its effects and, to prohibit it, to require the gathering of elements establishing that the play of competition has, in fact, either been prevented, restricted, or significantly distorted"137 (emphasis added).</w:t>
      </w:r>
    </w:p>
    <w:p>
      <w:r>
        <w:t>153. In his conclusions rendered in the Budapest Bank case, Advocate General Bobek specified that "[s]uch an analysis aims to determine the impact on competition that the agreement is likely to produce in the relevant market. Essentially, the authority must make a comparison between the competitive structure induced by the incriminated agreement and that which would have prevailed in its absence. Therefore, the analysis cannot be limited to highlighting only the ability of the agreement to produce negative effects on competition in the relevant market, but must specify whether the net effects of the agreement are positive or negative"138 (emphasis added).</w:t>
      </w:r>
    </w:p>
    <w:p>
      <w:r>
        <w:t>154. National courts refer to the same standard of analysis of anti-competitive effects, as recently recalled by the Paris Court of Appeal in a judgment of November 16, 2023, in which it stated that "to assess whether an agreement should be considered prohibited due to the alterations of the play of competition that result from it, it is necessary to examine the play of competition in the actual framework in which it would occur in the absence of the disputed agreement"139. In the same judgment, it also recalled that the analysis of the effects of an agreement is not limited to its current effects alone, this assessment must also take into account its potential effects140.</w:t>
      </w:r>
    </w:p>
    <w:p>
      <w:r>
        <w:t>Application in this case</w:t>
      </w:r>
    </w:p>
    <w:p>
      <w:r>
        <w:t>155. Since the Authority has ruled out the existence of a global market allocation plan between the parties involved, it is necessary to verify whether the reciprocal transfer agreements of business assets dated June 26, 2015, are likely to be qualified as anti-competitive agreements by their object and/or by their effects within the meaning of Articles 101 TFEU and L. 420-1 of the Commercial Code.</w:t>
      </w:r>
    </w:p>
    <w:p>
      <w:r>
        <w:t>156. In this case, it is established that the reciprocal transfers of business assets led to a geographical redistribution of the presence of the parties involved in the relevant market affected by the practices, namely that of the collection of animal by-products or sub-products for their processing or disposal in mainland France. In particular, as evidenced by the findings in paragraphs 77 to 79 above, these operations led to Akiolis withdrawing from the South-East area (except for the feathers activity) and Verdannet from the South-West area.</w:t>
      </w:r>
    </w:p>
    <w:p>
      <w:r>
        <w:t>157. Nevertheless, the elements in the file do not allow for the conclusion, as proposed by the notification of grievances and the report, that these concentration agreements are assimilable to a geographical market allocation agreement within the meaning of the case law recalled above in paragraph 150 nor that they have an anti-competitive object.</w:t>
      </w:r>
    </w:p>
    <w:p>
      <w:r>
        <w:t>158. As a preliminary point, the Authority notes the absence of national decision-making practice regarding the application of Articles 101 TFEU and L. 420-1 of the Commercial Code to concentration operations below national thresholds.</w:t>
      </w:r>
    </w:p>
    <w:p>
      <w:r>
        <w:t>159. Next, firstly, regarding the content of the agreements, it should be noted, as previously recalled, that the transfers of June 26, 2015, constitute five distinct concentration operations, the price of which is determined based on the acquisition of other assets of the acquirer by the seller. The agreements are accompanied by a two-year non-compete clause, the legality of which has not been challenged by the investigating services and which appears a priori directly linked and necessary to the realization of the concentrations within the meaning of the Commission's guidelines on ancillary restrictions141. Finally, the agreements do not contain provisions that are not directly related to the realization of the operation to which they pertain.</w:t>
      </w:r>
    </w:p>
    <w:p>
      <w:r>
        <w:t>160. They therefore constitute structural measures involving a definitive transfer of the assets subject to the agreement and, consequently, the risks associated with their operation. In this respect, they differ substantially from anti-competitive agreements of a behavioral nature that substitute for the normal play of competition and which, generally, are secretive and accompanied by monitoring mechanisms.</w:t>
      </w:r>
    </w:p>
    <w:p>
      <w:r>
        <w:t>161. Secondly, it emerges from the excerpts of the memoranda of understanding from March 2015 cited in paragraphs 70 and 71 that the parties involved sought to restructure their activity, through concentration operations, to improve their competitiveness, and this in a context of reduced activity linked to the decline of livestock farming in France and rising costs. This objective appears legitimate and does not present, as such, an anti-competitive object, especially since the location of collection and processing centers represents, in this sector, a major issue, as indicated in paragraphs 16 and 25 to 28 above.</w:t>
      </w:r>
    </w:p>
    <w:p>
      <w:r>
        <w:t>162. Thirdly, the tripartite component of the incriminated transfers cannot, as such, confer an anti-competitive character to the agreements.</w:t>
      </w:r>
    </w:p>
    <w:p>
      <w:r>
        <w:t>163. On the one hand, as specified in paragraph 116 above, from a formal point of view, the incriminated agreements materialize three parallel bilateral relationships (Akiolis/Verdannet, Akiolis/Saria, and Saria/Verdannet).</w:t>
      </w:r>
    </w:p>
    <w:p>
      <w:r>
        <w:rPr>
          <w:b/>
        </w:rPr>
        <w:t>[Pages 37–39]</w:t>
      </w:r>
    </w:p>
    <w:p>
      <w:r>
        <w:t>164. On the other hand, if, as the investigating services point out, it cannot be contested that each party involved had a general knowledge of all the transfers concluded, no element in the file suggests that the three competitors had access to precise information about the agreements in which they were not participating or that they were involved in these negotiations. On the contrary, the starting point of the notified grievance is concurrent with the conclusion of confidentiality agreements providing a formal negotiation framework that, in principle, guarantees the confidentiality of discussions conducted by the parties involved in a bilateral context.</w:t>
      </w:r>
    </w:p>
    <w:p>
      <w:r>
        <w:t>165. Finally, and most importantly, as indicated above (see paragraph 52 supra), the elements in the file referring to the infringement period mentioned in the notified grievance do not demonstrate that the parties did not adopt a competitive strategy in the context of the negotiations for the reciprocal transfers. On the contrary, it appears that the parties continued to negotiate the scope of the transfers after the signing of the confidentiality agreements and sought to obtain the most advantageous agreement for their business (see paragraph 63).</w:t>
      </w:r>
    </w:p>
    <w:p>
      <w:r>
        <w:t>166. Similarly, as also recalled below (see paragraph 114), it is not established that the parties ceased to exert reciprocal competitive pressure on the market during these preliminary discussions. It should be noted, in this regard, that prior to the starting point of the notified grievance, reciprocal commercial offensives were launched by the parties, while discussions aimed at carrying out the reciprocal transfers had already taken place, at least between Akiolis and Saria.</w:t>
      </w:r>
    </w:p>
    <w:p>
      <w:r>
        <w:t>167. Thus, the formal assessment of the reciprocal transfers of business assets does not identify an anti-competitive object.</w:t>
      </w:r>
    </w:p>
    <w:p>
      <w:r>
        <w:t>168. Secondly, and for all practical purposes, the Authority notes that the analysis of the legal and economic context, as it emerges from the elements of the case, corroborates the absence of an anti-competitive object of the reciprocal transfers.</w:t>
      </w:r>
    </w:p>
    <w:p>
      <w:r>
        <w:t>169. It follows, first of all, from the elements of the file that the operations in question aimed to resize the industrial tool of the operators in a sector where the location of collection and processing centers constitutes a major competitiveness issue, and this in a context marked by a decrease in demand caused by the loss of livestock density in France.</w:t>
      </w:r>
    </w:p>
    <w:p>
      <w:r>
        <w:t>170. In any case, firstly, it follows from the findings made in paragraphs 48 to 64 that the negotiations preceding the conclusion of the transfers focused on pursuing an objective consistent with that stated in the terms of the agreement, namely, the restructuring of the participants' activities. Indeed, the negotiations related to these operations were initiated by Akiolis, which wished to sell its Viriat plant (Southeast) that had been experiencing a long-standing economic and financial deficit. Subsequently, the exchanges between Akiolis and Saria aimed at carrying out a concentration project whose scope evolved according to the negotiations. In this regard, starting in 2014, a formal discussion framework including Verdannet was established through the conclusion of confidentiality agreements aimed at concluding business asset transfer agreements.</w:t>
      </w:r>
    </w:p>
    <w:p>
      <w:r>
        <w:t>171. Secondly, as already noted in the context, the parties continued to exert reciprocal competitive pressure, particularly during the year 2013, as evidenced by the findings made in paragraph 52 above. Furthermore, the elements in the file referring to the infringement period mentioned in the notified grievance do not demonstrate that the parties ceased to compete with each other.</w:t>
      </w:r>
    </w:p>
    <w:p>
      <w:r>
        <w:t>172. In light of all these elements, it is not established that the reciprocal transfers of business assets on June 26, 2015, had an anti-competitive object.</w:t>
      </w:r>
    </w:p>
    <w:p>
      <w:r>
        <w:t>On anti-competitive effects</w:t>
      </w:r>
    </w:p>
    <w:p>
      <w:r>
        <w:t>173. According to the investigating services, which specify that they conducted this analysis only as a surplus, the elements in the file would demonstrate the existence of real or potential anti-competitive effects resulting from the reciprocal transfers of business assets on June 26, 2015, on the market concerned by the practices.</w:t>
      </w:r>
    </w:p>
    <w:p>
      <w:r>
        <w:t>174. However, the documents and statements referred to in paragraphs 81 to 87 relate to a limited time period (late 2015 and early 2016), are both partial and disparate, and do not allow for determining the impact of the contested operations on the defined product and geographical market.</w:t>
      </w:r>
    </w:p>
    <w:p>
      <w:r>
        <w:t>175. In any case, the Authority notes that the volumes concerned by the contested practices represent a marginal level, around 3%, compared to the total market volume, as defined by the notification of grievances. Regarding the ATM markets, it is established that the operations only resulted in substituting one actor in a contractual monopoly for another until the organization of the next call for tenders, the acquirer being contractually bound to continue applying the same pricing conditions. These findings are sufficient to rule out any significant anti-competitive effect arising from the contested agreements in the sense of the case law recalled in paragraphs 152 to 154 above.</w:t>
      </w:r>
    </w:p>
    <w:p>
      <w:r>
        <w:t>176. Therefore, the Authority considers that the elements in the file do not establish that the reciprocal transfers of June 26, 2015, resulted in anti-competitive effects.</w:t>
      </w:r>
    </w:p>
    <w:p>
      <w:r>
        <w:t>177. It follows that, without the need to rule on the other arguments raised by the parties, the practices referred to in the notified grievance are not established.</w:t>
      </w:r>
    </w:p>
    <w:p>
      <w:r>
        <w:t>DECISION</w:t>
      </w:r>
    </w:p>
    <w:p>
      <w:r>
        <w:t>Single Article: The conditions for a prohibition under Article 101 TFEU are not met regarding the practices referred to in the grievance notified on April 28, 2022, to the companies Atemax France, Soleval France, Akiolis Group, Tefipar, Tessenderlo Group SA/NV, Secanim Sud-Est, Sarval Ouest, Secanim Centre, Saria, Saria International GmbH, Saria SE &amp; Co. KG, Rethmann SE &amp; Co. KG, Provalt Savoie, Provalt Jura, Prodia SAS, Prodia SNC, Société des Établissements Verdannet.</w:t>
      </w:r>
    </w:p>
    <w:p>
      <w:r>
        <w:t>In accordance with Article 3, paragraph 2, of Regulation (EC) No. 1/2003 of December 3, 2002, these practices cannot be prohibited on the basis of Article L. 420-1 of the Commercial Code either. There is therefore no need, under Article 5 of Regulation No. 1/2003, to continue the procedure, whether under Union law or national law.</w:t>
      </w:r>
    </w:p>
    <w:p>
      <w:r>
        <w:t>Deliberated on the oral report of Ms. Fanny Giroud and Ms. Géraldine Rousset, rapporteurs, and the intervention of Ms. Lauriane Lépine, deputy general rapporteur, by Ms. Fabienne Siredey-Garnier, vice-president, chairing the session, Mr. Savinien Grignon-Dumoulin and Mr. Jean-Yves Mano, members.</w:t>
      </w:r>
    </w:p>
    <w:p>
      <w:r>
        <w:t>The session officer, The chair of the session,</w:t>
        <w:br/>
        <w:t>Caroline Orsel Fabienne Siredey-Garnier</w:t>
        <w:br/>
        <w:t>© Competition Authority</w:t>
      </w:r>
    </w:p>
    <w:p>
      <w:r>
        <w:rPr>
          <w:b/>
        </w:rPr>
        <w:t>[Pages 40–42]</w:t>
      </w:r>
    </w:p>
    <w:p>
      <w:r>
        <w:t xml:space="preserve">ANNEX I  </w:t>
        <w:br/>
        <w:t xml:space="preserve">RECIPROCAL TRANSFERS OF BUSINESS ASSETS OF JUNE 26, 2015  </w:t>
        <w:br/>
        <w:t>BETWEEN AKIOLIS, SARIA, AND VERDANNET</w:t>
      </w:r>
    </w:p>
    <w:p>
      <w:r>
        <w:t xml:space="preserve">Business Asset | Operation | Transferor | Acquirer | Date of Effective Completion | Volumes Concerned  </w:t>
        <w:br/>
        <w:t xml:space="preserve">--- | --- | --- | --- | --- | ---  </w:t>
        <w:br/>
        <w:t xml:space="preserve">Business asset of animal by-products collection | Yes | Atemax | Sarval Sud | July 1, 2015 | [0-2] kT144  </w:t>
        <w:br/>
        <w:t xml:space="preserve">Business asset of animal by-products | Yes | Soleval | Sarval Sud | July 1, 2015 | [15-18] kT146  </w:t>
        <w:br/>
        <w:t xml:space="preserve">Business asset of collection of animal by-products of category C1 | Yes | Atemax | Sarval Sud | September 1, 2015 | [1-4] kT148  </w:t>
        <w:br/>
        <w:t>(including for ATM the departments of Drôme and Ardèche)</w:t>
      </w:r>
    </w:p>
    <w:p>
      <w:r>
        <w:t xml:space="preserve">143 Cotes 146 to 151, cote 152 VC (29 116 VNC), cotes 153 to 156, cote 157 VC (29 121 VNC), cotes 158 to 163, cotes 164 to 436 VC (cotes 10 947 and 29 414 VNC).  </w:t>
        <w:br/>
        <w:t xml:space="preserve">144 Cote 23 228 VC (cote 29 427 VNC).  </w:t>
        <w:br/>
        <w:t xml:space="preserve">145 Cotes 438 to 443, cotes 444 and 445 VC (cotes 29 134 and 29 135 VNC), cotes 446 to 450, cote 451 VC (cote 29 141 VNC), cotes 452 to 456, cotes 457 to 788 VC (cotes 10 949 and 29 415 VNC).  </w:t>
        <w:br/>
        <w:t xml:space="preserve">146 Cote 23 228 VC (cote 29 427 VNC).  </w:t>
        <w:br/>
        <w:t xml:space="preserve">147 Cotes 790 to 796, cote 797 VC (cote 29 154 VNC), cotes 798 to 802, cote 803 VC (cote 29 160 VNC), cotes 804 to 809, cotes 810 to 1,051 VC (cote 10 951 VNC).  </w:t>
        <w:br/>
        <w:t>148 Cotes 23 228 and 23 229 VC (cote 29 427 VNC).</w:t>
      </w:r>
    </w:p>
    <w:p>
      <w:r>
        <w:t xml:space="preserve">Business Asset | Operation | Transferor | Acquirer | Date of Effective Completion | Volumes Concerned  </w:t>
        <w:br/>
        <w:t xml:space="preserve">--- | --- | --- | --- | --- | ---  </w:t>
        <w:br/>
        <w:t xml:space="preserve">Business asset of collection of animal by-products of category C3 | Yes | Soleval | Sarval Sud | September 1, 2015 | [0-1] kT150  </w:t>
        <w:br/>
        <w:t xml:space="preserve">(including for ATM the departments of Drôme and Ardèche)  </w:t>
        <w:br/>
        <w:t xml:space="preserve">Business asset of collection of animal by-products C1 ATM | Yes | Atemax | Sarval Sud | September 1, 2015 | [5-8] kT152  </w:t>
        <w:br/>
        <w:t>(for the departments of Ain and Rhône) and butchery and support collection business asset operated in the Southeast region – establishment of Viriat151</w:t>
      </w:r>
    </w:p>
    <w:p>
      <w:r>
        <w:t xml:space="preserve">149 Cotes 1,053 to 1,058, cote 1,059 VC (cote 29 173 VNC), cotes 1,060 to 1,063, cote 1,064 VC (cote 29 178 VNC), cotes 1,065 to 1,070, cotes 1,071 to 1,283 VC (cote 10 953 VNC).  </w:t>
        <w:br/>
        <w:t xml:space="preserve">150 Cote 23 228 VC (cote 29 427 VNC).  </w:t>
        <w:br/>
        <w:t xml:space="preserve">151 Cotes 4,140 to 4,145, cote 4,146 VC (cote 34 254 VNC), cotes 4,147 to 4,150, cote 4,151 VC (cote 34 255 VNC), cotes 4,152 to 4,157, cotes 4,158 to 4,453 VC (cotes 11 340, 11 342, 11 345, 11 347, 11 349 VNC).  </w:t>
        <w:br/>
        <w:t>152 Cote 23 229 VC (cote 29 428 VNC).</w:t>
      </w:r>
    </w:p>
    <w:p>
      <w:r>
        <w:t xml:space="preserve">Business Asset | Operation | Transferor | Acquirer | Date of Effective Completion | Volumes Concerned  </w:t>
        <w:br/>
        <w:t xml:space="preserve">--- | --- | --- | --- | --- | ---  </w:t>
        <w:br/>
        <w:t xml:space="preserve">Business asset of collection of animal carcasses from farms or under the public service of rendering in the territory of the department of Dordogne | No | Atemax | Sifdda | July 6, 2015 | [2-5] kT154  </w:t>
        <w:br/>
        <w:t xml:space="preserve">Business asset of collection of animal by-products C1 | Yes | Atemax | Sarval Sud | July 13, 2015 | [0-1] kT156  </w:t>
        <w:br/>
        <w:t xml:space="preserve">(including the department of Haute-Loire for the ATM market and the France AgriMer market – establishment of Blavozy155  </w:t>
        <w:br/>
        <w:t xml:space="preserve">Business asset of collection of animal by-products of category 3 | Yes | Service | Sarval Sud | September 1, 2015 | [2-5] kT158  </w:t>
        <w:br/>
        <w:t>Azuréen Est 2015</w:t>
      </w:r>
    </w:p>
    <w:p>
      <w:r>
        <w:t xml:space="preserve">153 Cotes 1,634 to 1,638, cote 1,639 VC (cote 29 190 VNC), cotes 1,640 to 1,643, cote 1,644 VC (cote 29 195 VNC), cotes 1,645 to 1,650, cotes 1,651 to 1,659 VC (cote 10 971 VNC).  </w:t>
        <w:br/>
        <w:t xml:space="preserve">154 Cote 23 228 VC (cote 29 427 VNC).  </w:t>
        <w:br/>
        <w:t xml:space="preserve">155 Cotes 1,728 to 1,734, cote 1,735 VC (cote 29 209 VNC), cotes 1,736 to 1,739, cote 1,740 VC (cote 29 214 VNC), cotes 1,741 to 1,745, cotes 1,746 to 2,121 (cote 10 979 VNC).  </w:t>
        <w:br/>
        <w:t xml:space="preserve">156 Cote 23 228 VC (cote 29 427 VNC).  </w:t>
        <w:br/>
        <w:t xml:space="preserve">157 Cotes 2,123 to 2,125, cotes 2,126 and 2,127 VC (cote 29 223 and 29 224 VNC), cotes 2,128 and 2,129, cote 2,130 VC (cote 29 227 VNC), cotes 2,131 to 2,134, cote 2,135 VC (cote 29 232 VNC), cotes 2,136 to 2,141, cotes 2,142 to 2,242 (cotes 10 981 and 29 419 VNC).  </w:t>
        <w:br/>
        <w:t>158 Cote 23 228 VC (cote 29 427 VNC).</w:t>
      </w:r>
    </w:p>
    <w:p>
      <w:r>
        <w:rPr>
          <w:b/>
        </w:rPr>
        <w:t>[Pages 43–45]</w:t>
      </w:r>
    </w:p>
    <w:p>
      <w:r>
        <w:t>Business Assets Operation Transferor Acquirer Date of Volumes</w:t>
        <w:br/>
        <w:t>concerned accompanied by realization concerned</w:t>
        <w:br/>
        <w:t>the transfer or of effective</w:t>
        <w:br/>
        <w:t>the lease of a</w:t>
        <w:br/>
        <w:t>collection center</w:t>
        <w:br/>
        <w:t>Business Assets Yes Sarval Atemax July 13 [5-8] kT160</w:t>
        <w:br/>
        <w:t>of collection and South East France 2015</w:t>
        <w:br/>
        <w:t>transit of animal</w:t>
        <w:br/>
        <w:t>by-products -</w:t>
        <w:br/>
        <w:t>Establishment of</w:t>
        <w:br/>
        <w:t>Strasbourg Collection</w:t>
        <w:br/>
        <w:t>of animal by-products</w:t>
        <w:br/>
        <w:t>departing from</w:t>
        <w:br/>
        <w:t>Strasbourg as well</w:t>
        <w:br/>
        <w:t>as ATM in certain</w:t>
        <w:br/>
        <w:t>collection areas of</w:t>
        <w:br/>
        <w:t>Meurthe-et-Moselle,</w:t>
        <w:br/>
        <w:t>Moselle, Bas-Rhin,</w:t>
        <w:br/>
        <w:t>Haut-Rhin and Vosges159</w:t>
        <w:br/>
        <w:t>Business Assets No Sifdda Soleval September 1 [12-16]</w:t>
        <w:br/>
        <w:t>of blood collection Centre France 2015 kT162</w:t>
        <w:br/>
        <w:t>exclusively</w:t>
        <w:br/>
        <w:t>bovine and porcine</w:t>
        <w:br/>
        <w:t>of category C3,</w:t>
        <w:br/>
        <w:t>operated in the</w:t>
        <w:br/>
        <w:t>regions of Normandy,</w:t>
        <w:br/>
        <w:t>Pays de la Loire and</w:t>
        <w:br/>
        <w:t>Bretagne161</w:t>
        <w:br/>
        <w:t>159 Cotes 1 382 to 1 384, cote 1 385 VC (cote 29 242 VNC), cotes 1 386 and 1 387, cotes 1 388 and 1 389 VC</w:t>
        <w:br/>
        <w:t>(cotes 29 245 and 29 246 VNC), cotes 1 390 to 1 393, cote 1 394 VC (cote 29 251 VNC), cotes 1 395 to</w:t>
        <w:br/>
        <w:t>1 400, cotes 1 401 to 1 632 VC (cote 10 969 VNC).</w:t>
        <w:br/>
        <w:t>160 Cotes 23 228 and 23 229 VC (cote 29 427 VNC).</w:t>
        <w:br/>
        <w:t>161 Cotes 1 661 to 1 664, cote 1 665 VC (cote 29 262 VNC), cotes 1 666 to 1 669, cote 1 670 VC (cote 29 267</w:t>
        <w:br/>
        <w:t>VNC), cotes 1 671 to 1 675, cotes 1 676 to 1 685 VC (cote 10 973 VNC).</w:t>
        <w:br/>
        <w:t>162 Cote 23 228 VC (cote 29 427 VNC).</w:t>
        <w:br/>
        <w:t>Business Assets Operation Transferor Acquirer Date of Volumes</w:t>
        <w:br/>
        <w:t>concerned accompanied by realization concerned</w:t>
        <w:br/>
        <w:t>the transfer or of effective</w:t>
        <w:br/>
        <w:t>the lease of a</w:t>
        <w:br/>
        <w:t>collection center</w:t>
        <w:br/>
        <w:t>Business Assets No Sarval Soleval July 1 [2-6] kT164</w:t>
        <w:br/>
        <w:t>of bone collection to West France 2015</w:t>
        <w:br/>
        <w:t>gelatin operated</w:t>
        <w:br/>
        <w:t>in the West region163</w:t>
        <w:br/>
        <w:t>Business Assets Yes Atemax Monnard July 1 [2-6] kT166</w:t>
        <w:br/>
        <w:t>of collection of animal France Savoie 2015</w:t>
        <w:br/>
        <w:t>by-products of category</w:t>
        <w:br/>
        <w:t>1, including ATM</w:t>
        <w:br/>
        <w:t>markets and France</w:t>
        <w:br/>
        <w:t>Agrimer for</w:t>
        <w:br/>
        <w:t>Isère -</w:t>
        <w:br/>
        <w:t>establishment of</w:t>
        <w:br/>
        <w:t>Fontanil-Cornillon165</w:t>
        <w:br/>
        <w:t>Business Assets Yes Soleval Monnard July 1 [1-3] kT168</w:t>
        <w:br/>
        <w:t>of collection of animal France Savoie 2015</w:t>
        <w:br/>
        <w:t>by-products of category</w:t>
        <w:br/>
        <w:t>3 - establishment of</w:t>
        <w:br/>
        <w:t>Fontanil-Cornillon167</w:t>
        <w:br/>
        <w:t>163 Cotes 1 687 and 1 688, cotes 1 689 to 1 691 VC (cotes 29 275 to 29 277 VNC), cotes 1 692 to 1 694, cotes 1 695</w:t>
        <w:br/>
        <w:t>and 1 696 VC (cotes 29 281 and 29 282 VNC), cotes 1 697 to 1 701, cotes 1 702 to 1 711 VC (cote 10 975 VNC).</w:t>
        <w:br/>
        <w:t>164 Cote 23 228 VC (cote 29 427 VNC).</w:t>
        <w:br/>
        <w:t>165 Cotes 1 292 to 1 295, cote 1 296 VC (cote 29 292 VNC), cotes 1 297 to 1 300, cotes 1 301 VC (cote 29 297</w:t>
        <w:br/>
        <w:t>VNC), cotes 1 302 to 1 304, cote 1 305 VC (cote 10 957 VNC).</w:t>
        <w:br/>
        <w:t>166 Cote 23 228 VC (cote 29 427 VNC).</w:t>
        <w:br/>
        <w:t>167 Cotes 1 307 to 1 310, cote 1 311 VC (cote 29 306 VNC), cotes 1 312 to 1 315, cote 1 316 VC (cote 29 311</w:t>
        <w:br/>
        <w:t>VNC), cotes 1 317 to 1 320.</w:t>
        <w:br/>
        <w:t>168 Cote 23 228 VC (cote 29 427 VNC).</w:t>
        <w:br/>
        <w:t>Business Assets Operation Transferor Acquirer Date of Volumes</w:t>
        <w:br/>
        <w:t>concerned accompanied by realization concerned</w:t>
        <w:br/>
        <w:t>the transfer or of effective</w:t>
        <w:br/>
        <w:t>the lease of a</w:t>
        <w:br/>
        <w:t>collection center</w:t>
        <w:br/>
        <w:t>Business Assets Yes Atemax Monnard July 1 [1-3] kT170</w:t>
        <w:br/>
        <w:t>of collection of animal France Savoie 2015</w:t>
        <w:br/>
        <w:t>by-products category 1,</w:t>
        <w:br/>
        <w:t>including the ATM</w:t>
        <w:br/>
        <w:t>market and France</w:t>
        <w:br/>
        <w:t>Agrimer for the</w:t>
        <w:br/>
        <w:t>department of</w:t>
        <w:br/>
        <w:t>Hautes-Alpes -</w:t>
        <w:br/>
        <w:t>establishment of</w:t>
        <w:br/>
        <w:t>Gap169</w:t>
        <w:br/>
        <w:t>Business Assets Yes Soleval Monnard July 1 [1-4] kT172</w:t>
        <w:br/>
        <w:t>of collection of animal France Savoie 2015</w:t>
        <w:br/>
        <w:t>by-products of category</w:t>
        <w:br/>
        <w:t>3 - establishment of</w:t>
        <w:br/>
        <w:t>Gap171</w:t>
        <w:br/>
        <w:t>Business Assets Yes SNC Atemax July 1 [1-4] kT174</w:t>
        <w:br/>
        <w:t>of collection of animal Monnard France 2015</w:t>
        <w:br/>
        <w:t>by-products category 1 -</w:t>
        <w:br/>
        <w:t>establishment of</w:t>
        <w:br/>
        <w:t>Mirande173</w:t>
        <w:br/>
        <w:t>169 Cotes 1 322 to 1 325, cote 1 326 VC (cote 29 320 VNC), cotes 1 327 to 1 330, cote 1 331 VC (cote 29 325</w:t>
        <w:br/>
        <w:t>VNC), cotes 1 332 to 1 335.</w:t>
        <w:br/>
        <w:t>170 Cote 23 228 VC (cote 29 427 VNC).</w:t>
        <w:br/>
        <w:t>171 Cotes 1 337 to 1 340, cote 1 341 VC (cote 29 334 VNC), cotes 1 342 to 1 345, cote 1 346 VC (cote 29 339</w:t>
        <w:br/>
        <w:t>VNC), cotes 1 347 to 1 350.</w:t>
        <w:br/>
        <w:t>172 Cote 23 229 VC (cote 29 428 VNC).</w:t>
        <w:br/>
        <w:t>173 Cotes 1 352 to 1 355, cote 1 356 VC (cote 29 348 VNC), cotes 1 357 to 1 359, cotes 1 360 to 1 361 VC (cotes</w:t>
        <w:br/>
        <w:t>29 352 to 29 353 VNC), cotes 1 362 to 1 365.</w:t>
        <w:br/>
        <w:t>174 Cote 23 228 VC (cote 29 427 VNC).</w:t>
      </w:r>
    </w:p>
    <w:p>
      <w:r>
        <w:rPr>
          <w:b/>
        </w:rPr>
        <w:t>[Pages 46–47]</w:t>
      </w:r>
    </w:p>
    <w:p>
      <w:r>
        <w:t>Business assets Operation Transferor Acquirer Date of Volumes</w:t>
        <w:br/>
        <w:t>concerned accompanied by realization concerned</w:t>
        <w:br/>
        <w:t>the transfer or of effective</w:t>
        <w:br/>
        <w:t>the rental of a</w:t>
        <w:br/>
        <w:t>collection center</w:t>
        <w:br/>
        <w:t>Business assets Yes SNC Soleval July 1 [10-15]</w:t>
        <w:br/>
        <w:t>of collection of animal Monnard France 2015 kT176</w:t>
        <w:br/>
        <w:t>by-products category 3</w:t>
        <w:br/>
        <w:t>– establishment of</w:t>
        <w:br/>
        <w:t>Mirande C3175</w:t>
        <w:br/>
        <w:t>Business assets No SNC Soleval July 1 [2-5] kT178</w:t>
        <w:br/>
        <w:t>of collection of Monnard France 2015</w:t>
        <w:br/>
        <w:t>feathers in the</w:t>
        <w:br/>
        <w:t>East region –</w:t>
        <w:br/>
        <w:t>establishment of</w:t>
        <w:br/>
        <w:t>Saint Amour177</w:t>
        <w:br/>
        <w:t>Business assets No Atemax Monnard July 1 [7-10]</w:t>
        <w:br/>
        <w:t>of collection of France Savoie 2015 kT180</w:t>
        <w:br/>
        <w:t>category 1 "slaughterhouses" -</w:t>
        <w:br/>
        <w:t>establishment of</w:t>
        <w:br/>
        <w:t>Viriat179</w:t>
        <w:br/>
        <w:t>Business assets No Soleval Monnard July 1 [5-8] kT182</w:t>
        <w:br/>
        <w:t>of collection of France Savoie 2015</w:t>
        <w:br/>
        <w:t>category 3 excluding feathers -</w:t>
        <w:br/>
        <w:t>establishment of</w:t>
        <w:br/>
        <w:t>Viriat181</w:t>
      </w:r>
    </w:p>
    <w:p>
      <w:r>
        <w:t>Business assets Operation Transferor Acquirer Date of Volumes</w:t>
        <w:br/>
        <w:t>concerned accompanied by realization concerned</w:t>
        <w:br/>
        <w:t>the transfer or of effective</w:t>
        <w:br/>
        <w:t>the rental of a</w:t>
        <w:br/>
        <w:t>collection center</w:t>
        <w:br/>
        <w:t>Business assets No Monnard Sarval Sud September 1 17.2 kT184</w:t>
        <w:br/>
        <w:t>of collection of animal SNC East 2015</w:t>
        <w:br/>
        <w:t>blood from the region</w:t>
        <w:br/>
        <w:t>Centre-East of</w:t>
        <w:br/>
        <w:t>category C3183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