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https://www.autoritedelaconcurrence.fr/fr/decision/relative-des-pratiques-mises-en-oeuvre-dans-le-secteur-de-lexploitation-des-films-en</w:t>
      </w:r>
    </w:p>
    <w:p>
      <w:r>
        <w:t>Pages translated : 8</w:t>
      </w:r>
    </w:p>
    <w:p/>
    <w:p>
      <w:r>
        <w:rPr>
          <w:b/>
        </w:rPr>
        <w:t>[Pages 1–3]</w:t>
      </w:r>
    </w:p>
    <w:p>
      <w:r>
        <w:t xml:space="preserve">FRENCH REPUBLIC  </w:t>
        <w:br/>
        <w:t xml:space="preserve">Decision No. 07-D-17 of May 10, 2007  </w:t>
        <w:br/>
        <w:t xml:space="preserve">regarding practices implemented in the sector of  </w:t>
        <w:br/>
        <w:t xml:space="preserve">film exhibition in cinema theaters  </w:t>
        <w:br/>
        <w:t xml:space="preserve">The Competition Council (permanent commission),  </w:t>
        <w:br/>
        <w:t xml:space="preserve">Having regard to decision No. F 1284 (01/0001 F) dated January 9, 2001, by which the Competition Council initiated an investigation on its own motion into the state of competition in the cinema exhibition sector;  </w:t>
        <w:br/>
        <w:t xml:space="preserve">Having regard to decision No. 04-D-10 of April 1, 2004, by which the Council ordered a stay of proceedings concerning an agreement dated January 6, 1999, entitled "Code of Good Conduct on Promotional Policies of Cinema Theaters," an act concluded between the National Federation of Film Distributors (FNDF), the National Federation of French Cinemas (FNCF), the Trade Union of Producers and Exporters of French Films (CSPF), and the Union of Independent Producers (SPI);  </w:t>
        <w:br/>
        <w:t xml:space="preserve">Having regard to Book IV of the Commercial Code relating to price freedom and competition;  </w:t>
        <w:br/>
        <w:t xml:space="preserve">Having regard to the commitments proposed by the National Federation of Film Distributors (FNDF), the National Federation of French Cinemas (FNCF), the Trade Union of Producers and Exporters of French Films (CSPF), and the Union of Independent Producers (SPI);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representatives of the National Federation of Film Distributors (FNDF), the National Federation of French Cinemas (FNCF), the Trade Union of Producers and Exporters of French Films (CSPF), and the Union of Independent Producers (SPI) heard during the session of March 7, 2007;  </w:t>
        <w:br/>
        <w:t>Adopts the following decision:</w:t>
      </w:r>
    </w:p>
    <w:p>
      <w:r>
        <w:t xml:space="preserve">I. Findings  </w:t>
        <w:br/>
        <w:t xml:space="preserve">A. PROCEDURE BEFORE THE COUNCIL  </w:t>
        <w:br/>
        <w:t xml:space="preserve">1. By decision of January 9, 2001, the Competition Council initiated an investigation on its own motion into the state of competition in the cinema exhibition sector. This self-referral was decided in the context of the examination of the case concerning so-called "unlimited" cinema cards to which it was attached.  </w:t>
        <w:br/>
        <w:t xml:space="preserve">2. According to decision No. 04-D-10 of April 1, 2004, regarding the marketing conditions of the UGC "unlimited" card, the Council ordered a stay of proceedings concerning an agreement dated January 6, 1999, entitled "Code of Good Conduct on Promotional Policies of Cinema Theaters" and concluded between the National Federation of Film Distributors (FNDF), the National Federation of French Cinemas (FNCF), the Trade Union of Producers and Exporters of French Films (CSPF), and the Union of Independent Producers (SPI).  </w:t>
        <w:br/>
        <w:t xml:space="preserve">B. THE RELEVANT SECTOR  </w:t>
        <w:br/>
        <w:t xml:space="preserve">3. In its decision No. 04-D-10 of April 1, 2004, the Competition Council identified a market for the operation of performance venues by distinguishing within the film industry three segments: "the market for film production, that of film distribution, and that of cinema exhibition (...)". It specified that: "The circuits of cinema theaters that market subscription cards are those that exhibit films not classified as "X" in their first release, it is this relevant market that should be taken into account at the national level."  </w:t>
        <w:br/>
        <w:t xml:space="preserve">4. Throughout the French territory, cinema attendance has experienced significant fluctuations in recent years, with the lowest point reached in 1991 and 1992 with less than 120 million admissions. The gradual recovery between 1993 and 1998 allowed attendance to return to the levels of the 1980s, around 175 million spectators.  </w:t>
        <w:br/>
        <w:t xml:space="preserve">5. However, with only 153 million spectators, the sector experienced another difficult year in 1999, the year the code of good conduct was signed. Since this alert, attendance has rebounded to 166 million in 2000, and 187 million in 2001.  </w:t>
        <w:br/>
        <w:t xml:space="preserve">6. As shown in the table below, since the beginning of the 2000s, there has been an alternation of good and bad years: 184 million admissions in 2002 but only 174 million in 2003; the record year of 2004, with 195 million admissions, was followed by the mediocre year of 2005, with 175 million admissions, then a good year in 2006, with 188 million admissions.  </w:t>
        <w:br/>
        <w:t xml:space="preserve">Year 2001 2002 2003 2004 2005 2006  </w:t>
        <w:br/>
        <w:t>Attendance (millions) 187 184 174 195 175 188</w:t>
      </w:r>
    </w:p>
    <w:p>
      <w:r>
        <w:t xml:space="preserve">7. The year 2007 appears to have attendance as strong as 2006 according to the figures provided by the National Center of Cinematography for the first quarter.  </w:t>
        <w:br/>
        <w:t xml:space="preserve">8. It remains that the financial situation of the distribution and exhibition sector may experience some instability and that vertical relationships between actors tend to become strained during difficult periods, as during the 1999 crisis.  </w:t>
        <w:br/>
        <w:t xml:space="preserve">9. Regarding the three main groups present in France, the companies UGC, Gaumont, and Pathé, it is noted in the decision of the Competition Council of April 1, 2004, that: "The sector has evolved towards a vertical integration of the different trades, so that these groups are both producer, distributor, and exhibitor, whether in theaters they own or in theaters for which they ensure programming."  </w:t>
        <w:br/>
        <w:t xml:space="preserve">10. The UGC group, whose entire cinema exhibition activities are grouped within the company UGC-Ciné-Cité, primarily generated its revenue in 2005, which amounted to 288 million euros, of which 69% was generated solely from the cinema exhibition sector.  </w:t>
        <w:br/>
        <w:t xml:space="preserve">11. The Pathé group also integrates the entire film industry, with activities in production, film distribution, management of a catalog of audiovisual rights, and cinema exhibition.  </w:t>
        <w:br/>
        <w:t xml:space="preserve">12. The Gaumont group also integrates the entire film industry and owns, with the company Pathé Palaces, the company Europalaces, which groups the operation of its cinema theaters.  </w:t>
        <w:br/>
        <w:t xml:space="preserve">13. It is also noted, during the examined period, the development of multiplexes, which appeared in France in 1993 and led to the establishment of specific regulations.  </w:t>
        <w:br/>
        <w:t xml:space="preserve">14. The creation of multiplexes is controlled by the departmental commission for cinema equipment (CDEC) competent to grant authorization for projects aimed, in particular, at the creation or extension of a set of cinema performance venues with more than 1,000 seats (law No. 73-1193 of December 27, 1973).  </w:t>
        <w:br/>
        <w:t xml:space="preserve">15. In 2002, a new legislative framework modified this authorization procedure for cinema equipment by adding new criteria for examining requests for installation authorizations, including: compliance with programming commitments possibly contracted by the operator; the proposed programming project for the establishment and relations with the cinema establishments in the catchment area (decree of October 11, 2002).  </w:t>
        <w:br/>
        <w:t xml:space="preserve">16. The emergence of these multiplexes has forced all cinema operators to modify their approach to the sector. According to the CNC, since 2002, there has been a marked slowdown in the pace of openings, but the expansion of the multiplexes has continued.  </w:t>
        <w:br/>
        <w:t>17. The three major networks hold about 78% of the theaters and seats offered in multiplexes, as shown in the table below. "Independent" operators are increasingly limited in number, even if they can maintain strong positions in certain cities.</w:t>
      </w:r>
    </w:p>
    <w:p>
      <w:r>
        <w:rPr>
          <w:b/>
        </w:rPr>
        <w:t>[Pages 4–6]</w:t>
      </w:r>
    </w:p>
    <w:p>
      <w:r>
        <w:t xml:space="preserve">Operators  </w:t>
        <w:br/>
        <w:t xml:space="preserve">Multiplexes Screens Seats  </w:t>
        <w:br/>
        <w:t xml:space="preserve">(in May 2006)  </w:t>
        <w:br/>
        <w:t xml:space="preserve">Europalace 42 513 110,566  </w:t>
        <w:br/>
        <w:t xml:space="preserve">CGR 28 314 60,258  </w:t>
        <w:br/>
        <w:t xml:space="preserve">UGC 15 217 45,586  </w:t>
        <w:br/>
        <w:t xml:space="preserve">Kinépolis 6 79 22,691  </w:t>
        <w:br/>
        <w:t xml:space="preserve">Cinéville 5 45 9,938  </w:t>
        <w:br/>
        <w:t xml:space="preserve">Lemoine 4 55 9,871  </w:t>
        <w:br/>
        <w:t xml:space="preserve">Friedmann 3 30 4,807  </w:t>
        <w:br/>
        <w:t xml:space="preserve">Davoine 3 39 7,366  </w:t>
        <w:br/>
        <w:t xml:space="preserve">Adira 2 16 4,450  </w:t>
        <w:br/>
        <w:t xml:space="preserve">MK2 1 14 2,711  </w:t>
        <w:br/>
        <w:t>Total 109 1,322 278,244</w:t>
      </w:r>
    </w:p>
    <w:p>
      <w:r>
        <w:t xml:space="preserve">C. PRELIMINARY ASSESSMENT OF PRACTICES  </w:t>
        <w:br/>
        <w:t xml:space="preserve">18. While the principle of price freedom and competition law fully apply to the sector of cinematographic works exploitation, it is also subject to specific provisions relating to the remuneration of intellectual property rights, notably Article L. 131-4 of the Intellectual Property Code, which establishes the principle of an author's remuneration proportional to the revenue from the sale or exploitation of his work.  </w:t>
        <w:br/>
        <w:t xml:space="preserve">19. Regarding the cinema exhibition sector, the Cinematographic Industry Code provides for a proportional participation in the receipts collected by the operator (Art. 24); the basis for this proportional participation is "determined by the revenue from the sale of admission tickets to cinema theaters" (Art. 25), with the CNC responsible for setting the rate (Art. 26), it being understood that: "the rate is freely negotiated between the parties within a minimum set at 25% and a maximum set at 50% of the full program" (minimum reduced to 20% for films over 2 years old) (Art. 3 of the CNC regulatory decision of October 7, 1998).  </w:t>
        <w:br/>
        <w:t xml:space="preserve">20. In practice, the distribution contract, which binds the producer and the distributor, includes the right to make copies and the right to grant operators the public representation of the cinematographic work in cinemas, in exchange for a price paid by the operator. This price can be set as a flat fee but, more often, it is equal to a percentage of the ticket price for each ticket purchased by the viewer (between 20% and 50%). This price paid to the distributor then allows for the payment of rights holders upstream in the chain, notably the producer.  </w:t>
        <w:br/>
        <w:t xml:space="preserve">21. The various stakeholders are thus bound by a system in which the number of admissions not only determines the profits of the operators but also, through the flow of revenues, the income that will be obtained by the producers and distributors.  </w:t>
        <w:br/>
        <w:t xml:space="preserve">22. It is in this context that the National Federation of Film Distributors, the National Federation of French Cinemas, the Union of Producers and Exporters of French Films, and the Union of Independent Producers agreed to develop a document entitled: "Code of Good Conduct on Promotional Policies of Cinema Theaters" signed on January 6, 1999, which they widely disseminated.  </w:t>
        <w:br/>
        <w:t xml:space="preserve">23. In the first section of this document, entitled: "Transparency of Pricing and Promotional Policies," it is stipulated that operators are required to inform distributors in advance of promotional operations that have a pricing impact that they intend to implement, and this no later than two weeks before the start of these operations. In the second section, entitled: "Promotional Operations," it is stipulated that these operations must not exceed two weeks per year and per establishment when they apply indiscriminately to all viewers.  </w:t>
        <w:br/>
        <w:t xml:space="preserve">24. The elements of the case revealed that following information communicated by certain operators to the FNDF and their distributors regarding planned promotional operations, pressures were allegedly exerted on these operators to modify the duration of these operations. In light of the continuation of these operations by certain operators, their usual distributors also decided to refuse to provide the copies of the films that were to be screened.  </w:t>
        <w:br/>
        <w:t xml:space="preserve">25. This was notably the case during the promotional operation conducted in November 2005 by Kinépolis in Nancy as part of the opening of its multiplex. Kinépolis had planned to conduct a promotional operation offering tickets at 4 euros for four weeks (instead of the two weeks provided for in the code of good conduct). On October 28, 2005, Kinépolis informed the FNCF of this, of which it is a member. On the same day, a letter signed by the FNDF and the FNCF was sent to it reminding it of the existence of the code of good conduct and asking it to abandon this operation.  </w:t>
        <w:br/>
        <w:t xml:space="preserve">26. On November 10, 2005, the FNDF sent a letter to Kinépolis ordering it to "(cease) this operation immediately." At the same time, the production and distribution company, SND, informed Kinépolis that: "The letter received this morning by the FNDF regarding the pricing issue in Nancy obliges us to refuse you the release of the film 'The Matador'."  </w:t>
        <w:br/>
        <w:t xml:space="preserve">27. Following this incident, the FNCF reissued the code of good conduct in December 2005, with the subtitle: "Reminder of the Main Rules." In addition to recalling the "two main rules regarding promotional policies," it was specified: "New: the code of good conduct provides that distributors be informed directly but it is also now possible to inform the National Federation of Film Distributors, which will communicate the information to the distributors." The text concludes with: "Additional clarifications (...) The code of good conduct has recognized legal significance."  </w:t>
        <w:br/>
        <w:t>28. It also appears that on several occasions, one of the signatories of the code directly intervened during conflicts between distributors and operators to obtain compliance with said code from the latter.</w:t>
      </w:r>
    </w:p>
    <w:p>
      <w:r>
        <w:t xml:space="preserve">D. PROPOSED COMMITMENTS  </w:t>
        <w:br/>
        <w:t xml:space="preserve">29. The findings presented in the previous paragraphs led the rapporteur to express competition concerns and to note that the dissemination of the code and its use by professional organizations constituted a concerted action that could have anti-competitive objectives and effects, notably by obstructing certain price reductions.  </w:t>
        <w:br/>
        <w:t xml:space="preserve">30. In light of this preliminary assessment, the signing organizations wished to propose commitments, in accordance with the procedure provided for in I of Article L. 464-2 of the Commercial Code. A procedural press release and a summary of the proposed commitments were published on December 27, 2006, on the Council's website for the attention of potentially interested third parties, with the deadline for receiving observations set for January 31, 2007.  </w:t>
        <w:br/>
        <w:t xml:space="preserve">31. The signatories of the code of good conduct, namely the National Federation of Film Distributors, the National Federation of French Cinemas, the Union of Producers and Exporters of French Films, and the Union of Independent Producers, proposed to amend the preamble of said code by recalling that "the establishment of a minimum price for cinema tickets is illegal."  </w:t>
        <w:br/>
        <w:t xml:space="preserve">32. The proposed commitments are as follows: an Article 1°) that leaves no ambiguity regarding the non-binding nature of the information provided by operators to distributors on planned promotional operations; an Article 2°) removing any reference to a limited duration per year for any promotional operation that applies to all viewers.  </w:t>
        <w:br/>
        <w:t xml:space="preserve">33. Regarding the dissemination of this new code of good conduct, the signing professional organizations proposed to circulate it to all their members and to publish a press release in the magazine Le Film Français.  </w:t>
        <w:br/>
        <w:t xml:space="preserve">34. The non-binding nature of the code is reaffirmed by the proposed commitment to remind, within the framework of the commitments procedure, that: "The signing professional organizations commit not to confer a coercive nature to the New Code of Good Conduct," that "each operator remains free to determine its own promotional policy," and that Articles 1 and 2 "are devoid of any mandatory character."  </w:t>
        <w:br/>
        <w:t>35. Finally, a general commitment is proposed from the signing professional organizations to "not intervene in the contractual relationships established between film distributors and cinema operators": notably to "not intervene in procedures initiated before the courts to enforce the provisions of Articles 1 and 2 (...) or to sanction their non-application" and to "refrain from disseminating any instructions regarding the duration of promotions implemented by cinema operators."</w:t>
      </w:r>
    </w:p>
    <w:p>
      <w:r>
        <w:t xml:space="preserve">E. OBSERVATIONS FROM INTERESTED THIRD PARTIES  </w:t>
        <w:br/>
        <w:t>36. Following the publication of the proposed commitments, the Council did not receive any observations from third parties.</w:t>
      </w:r>
    </w:p>
    <w:p>
      <w:r>
        <w:rPr>
          <w:b/>
        </w:rPr>
        <w:t>[Pages 7–8]</w:t>
      </w:r>
    </w:p>
    <w:p>
      <w:r>
        <w:t xml:space="preserve">II. Discussion  </w:t>
        <w:br/>
        <w:t xml:space="preserve">37. According to the provisions of I of Article L. 464-2 of the Commercial Code as amended by the ordinance of November 4, 2004, the Competition Council "may accept commitments proposed by companies or organizations that are likely to put an end to anti-competitive practices."  </w:t>
        <w:br/>
        <w:t xml:space="preserve">38. Regarding the oversight rights of upstream actors in the sector over the situation of exploitation revenues of works, the Council notes that operators are required to communicate to their distributors the number of spectators per day and to send them a report per theater and per week with the number of entries by ticket price. The total revenue is monitored by the CNC in the form of weekly revenue declarations by the operators, so that while the cinema operator is the last link in the chain, the intertwining of economic interests among the actors in the chain up to the operation of cinema theaters has led to the establishment, upstream, of an information system on ticket prices and notably on promotional operations.  </w:t>
        <w:br/>
        <w:t xml:space="preserve">39. Thus, the interdependence created by the revenue-sharing system between distributors and cinema operators, along with the pricing policies of the latter, who have the ability to adjust ticket prices according to their commercial interests, has a direct impact on the calculation base for rights, and therefore on the revenues that distributors and producers will benefit from.  </w:t>
        <w:br/>
        <w:t xml:space="preserve">40. It is therefore legitimate, from an economic standpoint, for upstream actors to be concerned about the ticket prices on which their remuneration is based. It is also not illegitimate for this factual situation to be brought to the attention of the various market actors through a general information document.  </w:t>
        <w:br/>
        <w:t xml:space="preserve">41. However, the interdependence between the revenues of the actors in the sector, which results from the revenue-sharing arrangements related to exploitation, constitutes only a constraint on the vertical organization of the sector and cannot justify coordination among actors at the same level of the chain to influence price setting or constrain pricing policies.  </w:t>
        <w:br/>
        <w:t xml:space="preserve">42. In this regard, the new wording of this code is satisfactory in that it explicitly mentions the absence of any coercive or incentivizing nature regarding references to promotional policies. The public dissemination of this new document, which will have the same scope as the previous dissemination, will inform the profession that the old code of good conduct from January 1999 has been abolished. The commitments also appear to be appropriate in that they allow for a clear message from the signatories to the entire sector, which will be enforceable against them in the event of the new code being used for coercive purposes.  </w:t>
        <w:br/>
        <w:t xml:space="preserve">43. The Council considers, under these conditions, that the proposed commitments, which were improved during the session, address its competition concerns and present a credible and verifiable nature.  </w:t>
        <w:br/>
        <w:t>44. It therefore decides to accept them and to close the procedure.</w:t>
      </w:r>
    </w:p>
    <w:p>
      <w:r>
        <w:t xml:space="preserve">DECISION  </w:t>
        <w:br/>
        <w:t xml:space="preserve">Article 1: The Council accepts the commitments presented by the National Federation of Film Distributors, the National Federation of French Cinemas, the Trade Union Chamber of French Film Producers and Exporters, and the Union of Independent Producers, signatories of the code of good conduct of January 6, 1999. These commitments, made mandatory by this decision upon its notification, are an integral part of this decision and are reproduced in the annex.  </w:t>
        <w:br/>
        <w:t xml:space="preserve">Article 2: The procedure registered under number 01/0001 F is hereby terminated.  </w:t>
        <w:br/>
        <w:t xml:space="preserve">Deliberated on the oral report of Ms. Cramesnil de Laleu, by Mr. Lasserre, president, Mr. Nasse, Ms. Aubert, and Ms. Perrot, vice-presidents.  </w:t>
        <w:br/>
        <w:t xml:space="preserve">The session secretary, The president,  </w:t>
        <w:br/>
        <w:t xml:space="preserve">Rita Sougoumarane Bruno Lasserre  </w:t>
        <w:br/>
        <w:t xml:space="preserve">© Competition Council  </w:t>
        <w:br/>
        <w:t>&gt; To consult the commitments, click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