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https://www.autoritedelaconcurrence.fr/fr/decision/relative-des-pratiques-mises-en-oeuvre-dans-le-secteur-de-lhebergement-dentreprises</w:t>
      </w:r>
    </w:p>
    <w:p>
      <w:r>
        <w:t>Pages translated : 8</w:t>
      </w:r>
    </w:p>
    <w:p/>
    <w:p>
      <w:r>
        <w:rPr>
          <w:b/>
        </w:rPr>
        <w:t>[Pages 1–3]</w:t>
      </w:r>
    </w:p>
    <w:p>
      <w:r>
        <w:t xml:space="preserve">FRENCH REPUBLIC  </w:t>
        <w:br/>
        <w:t xml:space="preserve">Decision No. 21-D-13 of June 22, 2021  </w:t>
        <w:br/>
        <w:t xml:space="preserve">regarding practices implemented in the business hosting sector  </w:t>
        <w:br/>
        <w:t xml:space="preserve">The Competition Authority (Vice-President ruling alone),  </w:t>
        <w:br/>
        <w:t xml:space="preserve">Having regard to the letter registered on December 13, 2019, under number 19/0085 F, by which the company Actiburo referred practices implemented in the business hosting sector to the Competition Authority;  </w:t>
        <w:br/>
        <w:t xml:space="preserve">Having regard to Book IV of the Commercial Code;  </w:t>
        <w:br/>
        <w:t xml:space="preserve">Having regard to the other documents in the file;  </w:t>
        <w:br/>
        <w:t xml:space="preserve">Having regard to Decision No. 21-JU-04 of May 18, 2021, by which the President of the Competition Authority designated Ms. Irène Luc, Vice-President, to adopt alone the decision resulting from the examination of the referral registered under number 19/0085 F;  </w:t>
        <w:br/>
        <w:t xml:space="preserve">The rapporteur, the general rapporteur, and the representatives of the company Actiburo heard during the session of June 15, 2021, the Government Commissioner having been regularly summoned;  </w:t>
        <w:br/>
        <w:t>Adopts the following decision:</w:t>
      </w:r>
    </w:p>
    <w:p>
      <w:r>
        <w:t xml:space="preserve">Summary1:  </w:t>
        <w:br/>
        <w:t xml:space="preserve">The Competition Authority dismisses the referral by the company Actiburo due to a lack of sufficiently convincing evidence.  </w:t>
        <w:br/>
        <w:t xml:space="preserve">This company, providing business hosting and domiciliation services, accused the Rouen Métropole Chamber of Commerce and Industry of offering the same services at predatory or abusively low prices, using public subsidies and disregarding legislation, which it considered contrary to fair competition to the detriment of companies active in this sector.  </w:t>
        <w:br/>
        <w:t xml:space="preserve">However, this practice could not be examined on the basis of Article L. 420-2 of the Commercial Code, due to insufficient evidence regarding the Chamber of Commerce's holding of a dominant position in a relevant market.  </w:t>
        <w:br/>
        <w:t xml:space="preserve">The same applied to the qualification of abusively low prices, within the meaning of Article L. 420-5 of the Commercial Code, as the services were offered by the Chamber of Commerce to companies, and not to consumers, contrary to the provisions of said article.  </w:t>
        <w:br/>
        <w:t xml:space="preserve">1 This summary is strictly informative. Only the reasons for the decision numbered below are authoritative.  </w:t>
        <w:br/>
        <w:t>2</w:t>
      </w:r>
    </w:p>
    <w:p>
      <w:r>
        <w:t xml:space="preserve">I. Findings  </w:t>
        <w:br/>
        <w:t xml:space="preserve">1. By letter registered on December 13, 2019, the company Actiburo referred practices implemented in the business hosting sector to the Competition Authority.  </w:t>
        <w:br/>
        <w:t xml:space="preserve">2. In its referral, the company Actiburo accused the Rouen Métropole Chamber of Commerce and Industry (hereinafter "CCI Rouen Métropole") of hosting and domiciling companies at "unreasonably low" prices in the Madrillet business incubator-hotel and in the coworking space called "Opensèn," of using subsidies to finance the hosting activity, and of accommodating companies without the seniority criterion required by the regulations. It argued, therefore, that the behavior of the CCI Rouen Métropole was contrary to Articles L. 420-2 and L. 420-5 of the Commercial Code.  </w:t>
        <w:br/>
        <w:t xml:space="preserve">A. THE SECTOR OF ACTIVITY AND THE ENTITIES CONCERNED  </w:t>
        <w:br/>
        <w:t xml:space="preserve">1. THE SECTOR OF ACTIVITY  </w:t>
        <w:br/>
        <w:t xml:space="preserve">3. Business hosting can be defined as the provision, to companies, of real estate infrastructures, as well as various services, allowing them to carry out their professional activity within a shared services center. Depending on the nature and extent of the services offered, these centers are referred to as business centers and "coworking" spaces or domiciliation centers.  </w:t>
        <w:br/>
        <w:t xml:space="preserve">4. Business and coworking centers offer their clients services including the provision of premises (individual offices, meeting or conference rooms, etc.) with the necessary equipment (furniture, telephones, fax machines, printers, computers, internet connection, etc.), as well as access to various services.  </w:t>
        <w:br/>
        <w:t xml:space="preserve">5. Domiciliation centers primarily engage in providing an address for their clients, allowing them to legally domicile their company with the administration and to have a professional address.  </w:t>
        <w:br/>
        <w:t xml:space="preserve">6. The business hosting activity is carried out by both private companies (such as Actiburo) and public operators (mainly local authorities or chambers of commerce and industry).  </w:t>
        <w:br/>
        <w:t xml:space="preserve">7. In its opinion No. 14-A-12 of July 31, 2014, regarding the state of competition in the business hosting sector, the Competition Authority specified the conditions under which public bodies can provide commercial services related to this sector of activity.  </w:t>
        <w:br/>
        <w:t>8. First, in this opinion, the Authority recalled that a public entity can undertake an economic activity, independently of the public service missions it is entrusted with, under two conditions: that the public entity acts within the limits of its competencies and that its intervention in the market is justified by a public interest, which may result notably from the lack of private initiative (see Council of State, Assembly, May 31, 2006, Order of Lawyers at the Paris Bar, Lebon p. 272). The assessment of compliance with these conditions, which respectively result from the application of the principles of specialty and freedom of commerce and industry, falls solely within the competence of the</w:t>
      </w:r>
    </w:p>
    <w:p>
      <w:r>
        <w:rPr>
          <w:b/>
        </w:rPr>
        <w:t>[Pages 4–6]</w:t>
      </w:r>
    </w:p>
    <w:p>
      <w:r>
        <w:t xml:space="preserve">administrative jurisdictions and the Competition Council has already had the opportunity to clarify that it is not within its purview to rule on these issues.  </w:t>
        <w:br/>
        <w:t xml:space="preserve">9. In the same opinion, the Authority then emphasized that public entities, as soon as they engage in economic activity, are subject to competition law, particularly the provisions of the Commercial Code and the Treaty on the Functioning of the European Union (TFEU) prohibiting cartels (Article L. 420-1 of the Commercial Code and Article 101 of the TFEU) and abuses of dominant position (Article L. 420-2 of the Commercial Code and Article 102 of the TFEU) (paragraph 30).  </w:t>
        <w:br/>
        <w:t xml:space="preserve">10. The Authority finally specified that certain anti-competitive practices are particularly likely to be implemented by public operators, as they hold a dominant position in the relevant market or in a related market. This is particularly the case for predatory pricing practices and cross-subsidization practices (paragraph 35) (emphasis added).  </w:t>
        <w:br/>
        <w:t xml:space="preserve">2. THE COMPANY ACTIBURO  </w:t>
        <w:br/>
        <w:t xml:space="preserve">11. The company Actiburo is a limited liability company (SARL) whose registered office is located in Rouen. It engages in business hosting and domiciliation activities in a building located at 57 avenue de Bretagne in Rouen, in the same geographical area as the premises offered by the CCI Rouen Métropole. At this address, it offers for rent 222 m², for a usable area of approximately 360 m² (annual turnover of around 100,000 euros).  </w:t>
        <w:br/>
        <w:t xml:space="preserve">3. THE CCI ROUEN METROPOLE  </w:t>
        <w:br/>
        <w:t xml:space="preserve">12. The network of Chambers of Commerce and Industry (CCI), led by the national establishment CCI France, constitutes a network of 123 national, regional, and local public establishments of an administrative nature. Beyond their historical and traditional role of representing the interests of their members (commercial, industrial, and service companies in a given geographical area), the CCIs contribute to the economic development of territories and businesses by providing certain services, such as assistance for administrative procedures, international development, training, land use planning, and management of facilities or infrastructures.  </w:t>
        <w:br/>
        <w:t xml:space="preserve">13. The CCI Rouen Métropole offers the rental of offices and shared spaces, as well as a domiciliation service, at two distinct sites:  </w:t>
        <w:br/>
        <w:t xml:space="preserve">- the Madrillet business incubator-hotel in Saint-Etienne-du-Rouvray, comprising 1,200 m² of offices for rent;  </w:t>
        <w:br/>
        <w:t xml:space="preserve">- the Opensèn at the Vauban site in Rouen, offering approximately 300 m² of offices for rent and about 200 m² for coworking spaces as well as a domiciliation service;  </w:t>
        <w:br/>
        <w:t xml:space="preserve">Thus, a total rental area of approximately 1,700 m² of offices and coworking space.  </w:t>
        <w:br/>
        <w:t xml:space="preserve">B. THE PRACTICES ALLEGED  </w:t>
        <w:br/>
        <w:t xml:space="preserve">14. The company Actiburo claims that the CCI Rouen Métropole practices "unreasonably low prices" or "predatory pricing," using public subsidies to finance its hosting activity. Thus, the CCI Rouen Métropole allegedly offered, as of January 1, 2018, an annual package of 260.16 euros excluding tax per m² at the Madrillet site and an annual rate of 342 euros excluding tax per m² at the Opensèn coworking space (assuming an office of 14 m² and a domiciliation), rates that would be below the average annual selling price and the annual costs of the company Actiburo, which would be 597.87 euros excluding tax per m² and 474.01 euros excluding tax per m², respectively. It adds that the CCI Rouen Métropole benefits from direct and indirect subsidies, which would constitute prohibited state aid, and that in the probable absence of analytical accounting, these subsidies would be used to finance the hosting activity. Finally, the company Actiburo emphasizes that the CCI Rouen Métropole would host, in its incubator, companies that have been established for more than four years, without respecting the seniority criteria required by the regulations.  </w:t>
        <w:br/>
        <w:t xml:space="preserve">15. It argues that these practices could have the effect of eliminating companies like Actiburo from the market, which has seen its turnover decrease by 21% between 2014 and 2018, and that these practices would be contrary to Articles L. 420-2 and L. 420-5 of the Commercial Code.  </w:t>
        <w:br/>
        <w:t xml:space="preserve">II. Discussion  </w:t>
        <w:br/>
        <w:t xml:space="preserve">16. The second paragraph of Article L. 462-8 of the Commercial Code states that "the Competition Authority may (...) dismiss the referral by reasoned decision when it considers that the facts invoked are not supported by sufficiently convincing evidence."  </w:t>
        <w:br/>
        <w:t xml:space="preserve">A. ON THE ALLEGATION OF ABUSE OF DOMINANT POSITION  </w:t>
        <w:br/>
        <w:t xml:space="preserve">1. THE APPLICABLE PRINCIPLES  </w:t>
        <w:br/>
        <w:t xml:space="preserve">17. Article L. 420-2 of the Commercial Code specifies: "The abusive exploitation by an enterprise or a group of enterprises of a dominant position on the internal market or a substantial part of it is prohibited under the conditions provided for in Article L. 420-1."  </w:t>
        <w:br/>
        <w:t xml:space="preserve">18. As consistently recalled by the Union and national jurisdictions, the analysis of behaviors constituting an abuse of dominant position in light of Articles L. 420-2 of the Commercial Code and 102 of the Treaty on the Functioning of the European Union requires that the market where the company in question is supposed to hold a dominant position and has abused it be previously defined and that it be established that it holds a dominant position there.  </w:t>
        <w:br/>
        <w:t xml:space="preserve">19. A dominant position is defined as "a position of economic power held by an enterprise that gives it the ability to hinder the maintenance of effective competition in the relevant market by providing it with the possibility of independent behavior to a significant extent in relation to its competitors, its customers, and ultimately, consumers" (ECJ, February 14, 1978, Case C-27/76, United Brands v. Commission, ECLI:EU:C:1978:22; GC, January 30, 2007, Case T-340/03, France Télécom v. Commission, ECLI:EU:T:2007:22; EU Court, January 21, 2015, Case T-355/13, easyJet Airline v. Commission, ECLI:EU:T:2015:36; Cass. commercial chamber, November 24, 2009, No. 07-21.739).  </w:t>
        <w:br/>
        <w:t xml:space="preserve">20. To determine whether a company is in a dominant position, competition authorities use the technique of a bundle of indicators. Their analysis takes into account the market shares of the targeted company as well as other criteria (Guidelines on the priorities set by the Commission for the application of Article 82 of the EC Treaty to abusive exclusionary practices by dominant companies, pt. 12, OJ C 45, February 24, 2009). Generally, a market share of less than 40% is considered a good indicator of the absence of any dominant position (Guidelines on the priorities set by the Commission for the application of Article 82 of the EC Treaty to abusive exclusionary practices by dominant companies, pt. 14; ECJ, October 25, 1977, Case C-26/76, Metro, ECLI:EU:C:1977:167; ECJ, October 22, 1986, Case C-75/84, Metro II, ECLI:EU:C:1986:399).  </w:t>
        <w:br/>
        <w:t xml:space="preserve">21. For example, in decision No. 04-D-77 of December 22, 2004, regarding a referral by the company Productiv against the laboratory GlaxoSmithKline, the Competition Council dismissed a referral on the grounds that the referrer limited itself to asserting the existence of an abuse without first defining the relevant market or the dominant position of the company in question.  </w:t>
        <w:br/>
        <w:t xml:space="preserve">2. APPLICATION IN THIS CASE  </w:t>
        <w:br/>
        <w:t xml:space="preserve">22. In its referral, the company Actiburo relies on opinion No. 14-A-12 to describe the sector but provides no information on the relevant market(s) concerned and on the dominant position of the CCI Rouen Métropole.  </w:t>
        <w:br/>
        <w:t xml:space="preserve">23. In a letter dated March 31, 2021, in response to a questionnaire from the rapporteur, the referrer specified that the geographical limits of the "competitive area" would extend to the urban unit of Rouen, including the cities of Rouen, Bois-Guillaume, Mont-Saint-Aignan, Saint-Martin-du-Vivier, Darnetal, Déville-lès-Rouen, Petit-Quevilly, Grand-Quevilly, Sotteville-lès-Rouen, and Saint-Etienne-du-Rouvray, without further details.  </w:t>
        <w:br/>
        <w:t xml:space="preserve">24. Regarding the dominant position, the company Actiburo limits itself, in its referral, to recalling the terms of Article L. 420-2 of the Commercial Code. Subsequently, the referrer specified that in the aforementioned geographical sector, Actiburo and the CCI Rouen Métropole would be in competition with private companies Regus, Alfa Affaires, and Now Coworking, as well as the business incubators managed by the Rouen Metropolis, covering an area of 15,200 m². It adds that "taking into account the business incubators, it is possible to consider that the market share of the CCI in business hosting is approximately 10%."  </w:t>
        <w:br/>
        <w:t>25. However, the mere holding of a market share of around 10% cannot, by itself, characterize a dominant position.</w:t>
      </w:r>
    </w:p>
    <w:p>
      <w:r>
        <w:rPr>
          <w:b/>
        </w:rPr>
        <w:t>[Pages 7–8]</w:t>
      </w:r>
    </w:p>
    <w:p>
      <w:r>
        <w:t xml:space="preserve">26. In light of the above, the referral by the company Actiburo is not supported by sufficiently convincing evidence to substantiate the existence of a dominant position of the CCI Rouen Métropole, a necessary prerequisite for analyzing potential abuses.  </w:t>
        <w:br/>
        <w:t xml:space="preserve">27. Consequently, there is no need to examine whether the practices denounced (predatory pricing, use of subsidies to finance the hosting activity, and accommodation of companies established for more than four years) are likely to constitute abuses.  </w:t>
        <w:br/>
        <w:t xml:space="preserve">B. ON THE ALLEGATION OF ABUSIVELY LOW PRICES  </w:t>
        <w:br/>
        <w:t xml:space="preserve">28. Article L. 420-5 of the Commercial Code states: "Offers of prices or pricing practices to consumers that are abusively low compared to production, transformation, and marketing costs are prohibited, provided that these offers or practices have the object or may have the effect of eliminating a company or one of its products from a market or preventing access to a market."  </w:t>
        <w:br/>
        <w:t xml:space="preserve">29. As the Council recalled in decision No. 06-D-23 of July 21, 2006, "the qualification of abusively low prices requires the meeting of three cumulative conditions: first, the price in question must be a selling price to the consumer; second, the proposed price level must be insufficient in relation to production, transformation, and marketing costs (...); third, the price practiced must reflect an intention to eliminate or must contain a potential for eliminating the competitor or the competing product (...)."  </w:t>
        <w:br/>
        <w:t xml:space="preserve">30. The companies to which the hosting services in question are sold cannot be assimilated to consumers, thus the first condition is not met.  </w:t>
        <w:br/>
        <w:t xml:space="preserve">III. Conclusion  </w:t>
        <w:br/>
        <w:t>31. Under these conditions, it must be noted that the facts denounced in the referral are not supported by sufficiently convincing evidence. Therefore, it should be rejected in application of the second paragraph of Article L. 462-8 of the Commercial Code.</w:t>
      </w:r>
    </w:p>
    <w:p>
      <w:r>
        <w:t xml:space="preserve">DECISION  </w:t>
        <w:br/>
        <w:t xml:space="preserve">Sole Article: The referral registered under number 19/0085 F is rejected.  </w:t>
        <w:br/>
        <w:t xml:space="preserve">Deliberated on the oral report of Ms. Isabelle Sévajols, rapporteur, and the intervention of Mr. Stanislas Martin, general rapporteur, by Ms. Irène Luc, vice-president, presiding over the session.  </w:t>
        <w:br/>
        <w:t xml:space="preserve">The session secretary, The session president,  </w:t>
        <w:br/>
        <w:t xml:space="preserve">Caroline Orsel Irène Luc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