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https://www.autoritedelaconcurrence.fr/fr/decision/relative-des-pratiques-mises-en-oeuvre-dans-le-secteur-de-lhebergement-des-equipements-de</w:t>
      </w:r>
    </w:p>
    <w:p>
      <w:r>
        <w:t>Pages translated : 27</w:t>
      </w:r>
    </w:p>
    <w:p/>
    <w:p>
      <w:r>
        <w:rPr>
          <w:b/>
        </w:rPr>
        <w:t>[Pages 1–3]</w:t>
      </w:r>
    </w:p>
    <w:p>
      <w:r>
        <w:t xml:space="preserve">FRENCH REPUBLIC  </w:t>
        <w:br/>
        <w:t xml:space="preserve">Decision No. 15-D-09 of June 4, 2015  </w:t>
        <w:br/>
        <w:t xml:space="preserve">regarding practices implemented in the sector of  </w:t>
        <w:br/>
        <w:t>hosting mobile telephony equipment</w:t>
      </w:r>
    </w:p>
    <w:p>
      <w:r>
        <w:t xml:space="preserve">The Competition Authority (Section V),  </w:t>
        <w:br/>
        <w:t xml:space="preserve">Having regard to the letters registered on July 30, 2014, under numbers 14/0066 F and 14/0067 M, by which the company FPS Towers referred to the Competition Authority concerning practices implemented by the company TDF in the sector of hosting mobile telephony equipment on pylon sites and requested that interim measures be ordered based on Article L. 464-1 of the Commercial Code;  </w:t>
        <w:br/>
        <w:t xml:space="preserve">Having regard to Article 102 of the Treaty on the Functioning of the European Union;  </w:t>
        <w:br/>
        <w:t xml:space="preserve">Having regard to Book IV of the amended Commercial Code;  </w:t>
        <w:br/>
        <w:t xml:space="preserve">Having regard to Opinion No. 2014-1220 of the Regulatory Authority for Electronic Communications and Postal Services dated October 21, 2014, issued based on the provisions of Article R. 463-9 of the Commercial Code;  </w:t>
        <w:br/>
        <w:t xml:space="preserve">Having regard to Opinion No. 2014-15 of the Higher Audiovisual Council dated November 5, 2014, issued based on the provisions of Article R. 463-9 of the Commercial Code;  </w:t>
        <w:br/>
        <w:t xml:space="preserve">Having regard to the observations submitted by FPS Towers and TDF;  </w:t>
        <w:br/>
        <w:t xml:space="preserve">Having regard to the business secrecy decisions No. 14-DSA-255 of September 10, 2014, No. 14-DSA-278 of October 3, 2014, No. 14-DSA-281 of October 8, 2014, No. 14-DSA-285 of October 20, 2014, No. 14-DSA-286 of October 20, 2014, No. 14-DSA-292 of October 22, 2014, No. 14-DSADEC-04 of October 23, 2014, No. 14-DSA-296 of October 27, 2014, No. 14-DSA-298 of November 3, 2014, No. 14-DSA-299 of November 3, 2014, No. 14-DSA-306 of November 5, 2014, No. 14-DSA-316 of November 12, 2014, No. 14-DSA-317 of November 13, 2014, No. 14-DSA-322 of November 13, 2014, No. 14-DSADEC-05 of November 17, 2014, No. 14-DSA-325 of November 17, 2014, No. 14-DSA-326 of November 17, 2014, No. 14-DECR-42 of November 28, 2014, No. 14-DECR-43 of November 28, 2014, No. 14-DSADEC-06 of December 4, 2014, No. 14-DSA-349 of December 8, 2014, No. 14-DECR-44 of December 9, 2014, No. 14-DECR-45 of December 9, 2014, No. 14-DSADEC-07 of December 9, 2014, No. 14-DSA-352 of December 10, 2014, No. 14-DSADEC-08 of December 15, 2014, No. 14-DSA-357 of December 15, 2014, No. 14-DSA-361 of December 16, 2014, No. 14-DSA-377 of December 22, 2014, No. 15-DSADEC-01 of January 8, 2015, No. 15-DSA-12 of January 8, 2015, No. 15-DSA-14 of January 8, 2015, No. 15-DSA-15 of January 8, 2015, No. 15-DECR-02 of January 9, 2015, No. 15-DECR-03 of January 9, 2015, No. 15-DECR-06 of January 9, 2015, No. 15-DSA-19 of January 9, 2015, No. 15-DECR-07 of January 12, 2015, No. 15-DSA-115 of March 10, 2015, No. 15-DSADEC-03 of March 31, 2015;  </w:t>
        <w:br/>
        <w:t xml:space="preserve">Having regard to the commitments proposed by TDF on January 29, 2015, and published online on February 3 for a market test, and modified following the session of May 7;  </w:t>
        <w:br/>
        <w:t xml:space="preserve">Having regard to the other documents in the file;  </w:t>
        <w:br/>
        <w:t xml:space="preserve">The rapporteur, the deputy general rapporteur, the Government commissioner, and the representatives of the companies FPS Towers and TDF, heard during the sessions of the Competition Authority on January 13 and 27 and May 7;  </w:t>
        <w:br/>
        <w:t>Adopts the following decision:</w:t>
      </w:r>
    </w:p>
    <w:p>
      <w:r>
        <w:t xml:space="preserve">SUMMARY  </w:t>
        <w:br/>
        <w:t xml:space="preserve">I. Findings .................................................................................... 4  </w:t>
        <w:br/>
        <w:t xml:space="preserve">A. THE REFERRAL ...................................................................................................................................... 4  </w:t>
        <w:br/>
        <w:t xml:space="preserve">B. THE RELEVANT SECTOR ............................................................................................................ 4  </w:t>
        <w:br/>
        <w:t xml:space="preserve">1. THE COMPANIES INVOLVED .......................................................................................... 4  </w:t>
        <w:br/>
        <w:t xml:space="preserve">a) FPS Towers .......................................................................................................... 4  </w:t>
        <w:br/>
        <w:t xml:space="preserve">b) TDF ....................................................................................................................... 5  </w:t>
        <w:br/>
        <w:t xml:space="preserve">2. THE HOSTING OF RADIO EQUIPMENT OF MOBILE OPERATORS ..................... 6  </w:t>
        <w:br/>
        <w:t xml:space="preserve">3. THE USE OF HIGH POINTS BY MOBILE OPERATORS ............................................... 6  </w:t>
        <w:br/>
        <w:t xml:space="preserve">C. THE CONDEMNED PRACTICES ............................................................................................ 7  </w:t>
        <w:br/>
        <w:t xml:space="preserve">II. The preliminary assessment ............................................................ 8  </w:t>
        <w:br/>
        <w:t xml:space="preserve">A. ON THE APPLICABILITY OF EU LAW ................................................................. 8  </w:t>
        <w:br/>
        <w:t xml:space="preserve">B. ON THE RELEVANT MARKETS CONCERNED BY THE REFERRAL .......................... 8  </w:t>
        <w:br/>
        <w:t xml:space="preserve">1. THE MARKET FOR HOSTING MOBILE TELEPHONY EQUIPMENT ......................... 8  </w:t>
        <w:br/>
        <w:t xml:space="preserve">2. DISCUSSION ON THE RELEVANT MARKET FOR SERVICES ................................................... 9  </w:t>
        <w:br/>
        <w:t xml:space="preserve">a) Regarding the broadcast services .......................................................................... 9  </w:t>
        <w:br/>
        <w:t xml:space="preserve">b) Regarding the types of sites .................................................................................. 10  </w:t>
        <w:br/>
        <w:t xml:space="preserve">c) Regarding self-produced pylons by mobile operators. ......................................... 12  </w:t>
        <w:br/>
        <w:t xml:space="preserve">C. ON TDF'S DOMINANT POSITION .................................................................................. 13  </w:t>
        <w:br/>
        <w:t xml:space="preserve">1. THE DETERMINATION OF MARKET SHARES ............................................................ 13  </w:t>
        <w:br/>
        <w:t xml:space="preserve">2. THE COMPENSATING PURCHASING POWER OF OPERATORS .................................. 14  </w:t>
        <w:br/>
        <w:t xml:space="preserve">D. COMPETITION CONCERNS .......................................................................................... 15  </w:t>
        <w:br/>
        <w:t xml:space="preserve">III. Implementation of the commitment procedure .................... 17  </w:t>
        <w:br/>
        <w:t xml:space="preserve">A. ON THE USE OF THE COMMITMENT PROCEDURE ............................................... 17  </w:t>
        <w:br/>
        <w:t xml:space="preserve">B. THE COMMITMENTS PROPOSED BY TDF ON JANUARY 29, 2015 .......................... 17  </w:t>
        <w:br/>
        <w:t xml:space="preserve">C. THE OBSERVATIONS RECEIVED DURING THE MARKET TEST ............................... 18  </w:t>
        <w:br/>
        <w:t xml:space="preserve">D. THE COMMITMENTS PROPOSED BY TDF ON MAY 11, 2015 ..................................... 18  </w:t>
        <w:br/>
        <w:t xml:space="preserve">E. DISCUSSION .................................................................................................................................. 19  </w:t>
        <w:br/>
        <w:t xml:space="preserve">1. THE DURATION OF CONTRACTS .................................................................................. 19  </w:t>
        <w:br/>
        <w:t xml:space="preserve">2. THE LIMITATION OF EARLY EXIT INDEMNITIES ....................................................... 19  </w:t>
        <w:br/>
        <w:t xml:space="preserve">3. THE QUOTAS FOR EARLY TERMINATION ..................................................................... 20  </w:t>
        <w:br/>
        <w:t xml:space="preserve">4. THE DISTINCTION MADE BETWEEN CONTRACTS ....................................................... 21  </w:t>
        <w:br/>
        <w:t xml:space="preserve">5. THE DURATION OF COMMITMENTS ................................................................................ 21  </w:t>
        <w:br/>
        <w:t xml:space="preserve">6. CONCLUSION ....................................................................................................................... 22  </w:t>
        <w:br/>
        <w:t>DECISION ......................................................................................................................... 22</w:t>
      </w:r>
    </w:p>
    <w:p>
      <w:r>
        <w:rPr>
          <w:b/>
        </w:rPr>
        <w:t>[Pages 4–6]</w:t>
      </w:r>
    </w:p>
    <w:p>
      <w:r>
        <w:t>I. Findings</w:t>
        <w:br/>
        <w:t>A. THE REFERRAL</w:t>
        <w:br/>
        <w:t>1. By letter dated July 30, 2014, registered under number 14/0066 F, the Competition Authority (hereinafter "the Authority") was referred to by the company FPS Towers (hereinafter "FPS") regarding practices implemented by the company TDF in the sector of hosting mobile telephony equipment on pylon sites. In its referral, FPS denounces, on the basis of Articles L. 420-2 of the Commercial Code and 102 of the TFEU, exclusionary and locking practices.</w:t>
        <w:br/>
        <w:t>2. Based on Article L. 464-1 of the Commercial Code, this referral was accompanied by a request for interim measures, submitted the same day by a separate document and registered under number 14/0067 M.</w:t>
        <w:br/>
        <w:t>3. Consulted under the provisions of Article R. 463-9 of the Commercial Code, the Regulatory Authority for Electronic Communications and Posts (hereinafter "ARCEP") as well as the Higher Council for Audiovisual (hereinafter "CSA") issued their opinions on October 21, 2014, and November 5, 2014, respectively.</w:t>
        <w:br/>
        <w:t>B. THE RELEVANT SECTOR</w:t>
        <w:br/>
        <w:t>1. THE COMPANIES INVOLVED</w:t>
        <w:br/>
        <w:t>a) FPS Towers</w:t>
        <w:br/>
        <w:t>4. The telecommunications operator Bouygues Telecom has gradually built a network of pylon sites to host its equipment (antennas, radio bays, etc.) as part of the deployment of its mobile telephony network. It then created, on December 8, 2011, a subsidiary, the company France Pylônes Services, to which it transferred a large part of the lease contracts related to its pylon network and then, subsequently, almost all of its pylon sites.</w:t>
        <w:br/>
        <w:t>5. This subsidiary was then sold to the investment fund Antin Infrastructure Partners, which was at the time a subsidiary of the BNP Paribas group. The transfer protocol concluded on November 21, 2012, stipulates that Antin holds 85% of the capital of France Pylônes Services, with Bouygues Telecom retaining the remaining 15%.</w:t>
        <w:br/>
        <w:t>6. On February 25, 2013, following the acquisition of the majority of its share capital by Antin, France Pylônes Services adopted its current corporate name of FPS Towers. It currently relies on a network of 2,045 pylons located in metropolitan France, exclusively in peri-urban and rural areas.</w:t>
        <w:br/>
        <w:t>7. The services offered to Bouygues Telecom by FPS are part of a specific hosting contract, lasting 20 years, as it was concluded in exchange for the transfer protocol of the 2,045 pylon sites (the so-called "sale and lease back" contract).</w:t>
      </w:r>
    </w:p>
    <w:p>
      <w:r>
        <w:t>8. FPS also offers hosting services on pylon sites to SFR and Orange under infrastructure sharing agreements known as "bi-operator contracts" concluded by Bouygues Telecom as part of the pooling of its installations. The contract concluded with SFR expired in May 2014, and the one concluded with Orange, in September 2014. FPS specifies that discussions are currently underway with both operators for the potential conclusion of a new hosting contract. Furthermore, FPS is working with the company Free mobile (hereinafter, "Free") for the hosting of mobile equipment on its pylon sites.</w:t>
        <w:br/>
        <w:t>9. FPS is a lean structure with only about twenty employees, generating a turnover of €27.5 million in 2013.</w:t>
        <w:br/>
        <w:t>b) TDF</w:t>
        <w:br/>
        <w:t>10. At its creation in 1975, TDF was a public establishment with industrial and commercial character holding the monopoly on broadcasting and terrestrial television transmission. Following the repeal, on December 31, 2003, of Article 51 of the 1986 law, TDF lost its monopoly on broadcasting and terrestrial transmission, after a transitional period ending in 2005.</w:t>
        <w:br/>
        <w:t>11. In 1987, TDF was transformed into a public limited company with capital predominantly held by the State. In 1991, TDF became a 100% subsidiary of the France Télécom group, which, in 2002, sold its stake to an international consortium composed of investment funds and the Caisse des Dépôts et Consignations. In 2007, TDF was transformed into a simplified joint-stock company. After several changes in shareholders, TDF's capital was, at the time of the examination of this case, held 42% by Texas Pacific Group, 24% by the Caisse des Dépôts et Consignations, 18% by Ardian, and 14% by Charterhouse Capital Partners. These shareholders have since sold their stakes to a consortium led by the Canadian fund Brookfield (50%) associated with PSP (25%) and APG (25%).</w:t>
        <w:br/>
        <w:t>12. Historically, TDF's core business was the terrestrial broadcasting of television and radio programs in analog mode. With the transition to digital, the broadcasting of television programs in analog mode has gradually been supplanted by digital broadcasting. TDF has also developed a significant hosting activity for mobile operators' antennas and activities in the fields of multimedia information services and content broadcasting over the Internet.</w:t>
        <w:br/>
        <w:t>13. To ensure its broadcasting and hosting services, TDF has a network of 9,500 high points, including nearly 7,000 pylons. Among these pylons, 4,130 host technical equipment from telecom operators. Of these 4,130 sites, approximately 38% also host technical equipment from radio and/or DTT operators.</w:t>
        <w:br/>
        <w:t>14. TDF employs 2,950 people worldwide, including 2,130 people in France. For the 2013-2014 fiscal year, its global turnover amounts to €1.16 billion, of which €805 million was generated in France. The television activity still represents the most important activity of the company (32% of total turnover), followed by telecom and radio activities (27% and 22% of total turnover, respectively).</w:t>
      </w:r>
    </w:p>
    <w:p>
      <w:r>
        <w:t>2. THE HOSTING OF RADIO EQUIPMENT OF MOBILE OPERATORS</w:t>
        <w:br/>
        <w:t>15. Mobile operators have gradually developed their networks relying on an ever-expanding base of high points. In urban areas, where there are significant capacity needs, the density of antennas is high, and radio engineering is designed so that the coverage cells partially overlap. Given urban planning constraints, operators have installed their antennas on the rooftops of buildings, as the construction of pylons is impossible in the city.</w:t>
        <w:br/>
        <w:t>16. In rural or peri-urban areas, operators have had more latitude. Whenever possible, they have opted for pre-existing high points. Among these pre-existing infrastructures are particularly bell towers and water towers, but also TDF's broadcasting pylons. In addition to these high points, operators have built their own pylons. Radio engineering has been carried out on this heterogeneous basis, minimizing overlapping areas as much as possible. In rural areas where capacity constraints are the lowest, operators have deployed their networks with a wider mesh to optimize coverage costs.</w:t>
        <w:br/>
        <w:t>17. As the leases on which they rely may not be renewed, mobile operators' networks are constantly evolving. Each year, an operator must replace 150 to 200 sites. However, in rural or peri-urban areas, substituting one high point for another involves modifying the coverage cells since there are generally no alternative high points near the initially chosen site. Furthermore, constructing a new pylon in the immediate vicinity of the existing pylon is often difficult to justify to local stakeholders.</w:t>
        <w:br/>
        <w:t>18. Despite these difficulties, the operator must attempt to establish a new high point as close as possible to the old one due to two constraints.</w:t>
        <w:br/>
        <w:t>19. The first relates to maintaining the quality of its service. Since there is no cell overlap in low-density areas, the farther the new high point is from the old one, the greater the risk of being unable to cover all customers residing in the old cell.</w:t>
        <w:br/>
        <w:t>20. The second relates to the collection network of antennas, that is, the transmission links that carry communications between the antennas and the network core. In rural and peri-urban areas, these links are made using radio beams, as this transmission technology requires that the receiving and transmitting antennas be in direct line of sight. A hill or a building renders these links inoperative.</w:t>
        <w:br/>
        <w:t>21. Given these significant constraints, operators wish to stabilize their network architecture and, for that, secure and sustain their network of high points as much as possible. In fact, aside from changes primarily related to the loss of leases, it is observed that the architectures of mobile operators' networks are very stable.</w:t>
        <w:br/>
        <w:t>3. THE USE OF HIGH POINTS BY MOBILE OPERATORS</w:t>
        <w:br/>
        <w:t>22. The networks of the three historical mobile operators consist of 16,000 to 20,000 high points distributed across several types of supports. On average, these networks use pylons in 56% of cases, rooftops in 31% of cases, and water towers in 8% of cases. The remaining 5% consists of a wide variety of supports.</w:t>
      </w:r>
    </w:p>
    <w:p>
      <w:r>
        <w:rPr>
          <w:b/>
        </w:rPr>
        <w:t>[Pages 7–9]</w:t>
      </w:r>
    </w:p>
    <w:p>
      <w:r>
        <w:t>(clochers, metro, stadiums, tunnels…). It is also noted that, specifically regarding pylons, nearly 60% of them belong to the operators themselves.</w:t>
      </w:r>
    </w:p>
    <w:p>
      <w:r>
        <w:t>23. In addition to the self-produced high points by mobile operators and the parks of TDF and FPS, the supply of high points is also constituted by two other operators specialized in radio and DTT broadcasting, Itas Tim and Towercast. Although its activity in telephony is still limited, Itas Tim nevertheless considers the hosting of mobile operators as an important development axis and offers operators specific offers intended for them.</w:t>
      </w:r>
    </w:p>
    <w:p>
      <w:r>
        <w:t>24. The supply of locations is itself very dispersed. It mainly comes from various landlords for roof-terraces, landowners, general councils for pylons built under the white zone programs, municipalities for bell towers and water towers, highway companies, Arteria (a subsidiary of RTE dedicated to "telecom" activities), or SNCF and RFF.</w:t>
      </w:r>
    </w:p>
    <w:p>
      <w:r>
        <w:t>25. The demand for hosting expressed by mobile operators is currently subject to contradictory developments with, on the one hand, a significant need for new high points for the establishment of the Free mobile network, and, on the other hand, the conclusion of the mutualization agreement between SFR and Bouygues Telecom, which implies in the medium term the removal of a large number of sites in the mutualized area.</w:t>
      </w:r>
    </w:p>
    <w:p>
      <w:r>
        <w:t>26. Regarding the supply, in addition to the arrival of FPS on the market in 2013, the high points removed by Bouygues Telecom and SFR should also, for some of them, be reintroduced to the market, either following an acquisition by a mobile operator or following an acquisition by another operator.</w:t>
      </w:r>
    </w:p>
    <w:p>
      <w:r>
        <w:t>C. THE DENOUNCED PRACTICES</w:t>
      </w:r>
    </w:p>
    <w:p>
      <w:r>
        <w:t>27. In its substantive application, FPS denounces several practices that would be implemented by TDF in the context of the recently negotiated or still under negotiation hosting contracts. It justifies the need for an emergency measure by the fact that TDF signed a 20-year hosting contract with Orange in January 2014 and would be attempting, at the time of the application, to conclude a similar contract with Bouygues Telecom. However, this contract and those that would be under negotiation would contain several provisions likely to lock the market.</w:t>
      </w:r>
    </w:p>
    <w:p>
      <w:r>
        <w:t>28. Firstly, FPS argues that TDF's pricing offer – which it allegedly proposed to Orange and is currently proposing to Bouygues Telecom – would consist of conditioning the granting of a price reduction for the hosting service on maintaining the existing scope of the current contract regarding the number of pylon sites. According to FPS, TDF would grant significant discounts, on the condition of concluding a new contract covering 100% of the existing pylon site portfolio already hosting the operator's equipment, and significantly smaller discounts otherwise. According to FPS, no other player in the market would be able to make such an offer due to the lack of a perfectly substitutable site portfolio to that of TDF.</w:t>
      </w:r>
    </w:p>
    <w:p>
      <w:r>
        <w:t>29. Secondly, FPS denounces the duration, deemed excessive, of 20 years of the hosting contract between TDF and Orange and argues that TDF is currently attempting to conclude a contract of the same duration with Bouygues Telecom.</w:t>
      </w:r>
    </w:p>
    <w:p>
      <w:r>
        <w:t>30. Lastly, FPS criticizes the early termination clauses provided in TDF's contracts. Not only would the possibilities of terminating a site before the end of the contract be extremely limited - FPS mentioning a figure of less than ten sites per year - but the termination of these sites would involve a long notice period as well as the payment of penalties.</w:t>
      </w:r>
    </w:p>
    <w:p>
      <w:r>
        <w:t>II. THE PRELIMINARY EVALUATION</w:t>
      </w:r>
    </w:p>
    <w:p>
      <w:r>
        <w:t>31. The examination of the request for precautionary measures led the investigation services to identify practices of TDF that could be prohibited by competition law. According to established decision-making practice and case law, these analyses, presented orally to the parties during the session, may constitute competition concerns likely to allow the implementation of the commitment procedure provided for in I of Article L 464-2 of the Commercial Code. The company TDF thus proposed, at the end of the debates, to implement such a procedure.</w:t>
      </w:r>
    </w:p>
    <w:p>
      <w:r>
        <w:t>A. ON THE APPLICABILITY OF EUROPEAN UNION LAW</w:t>
      </w:r>
    </w:p>
    <w:p>
      <w:r>
        <w:t>32. Articles 101 and 102 of the Treaty on the Functioning of the European Union (TFEU) apply to agreements and abuses of dominance that are likely to affect trade between Member States in a significant way.</w:t>
      </w:r>
    </w:p>
    <w:p>
      <w:r>
        <w:t>33. According to consistent case law, practices committed on the territory of a single Member State are likely to affect intra-Community trade, and the European Commission specifies, in point 96 of its guidelines, that "any abusive practice that makes it more difficult to enter the national market must therefore be considered as significantly affecting trade."</w:t>
      </w:r>
    </w:p>
    <w:p>
      <w:r>
        <w:t>34. In this case, the practices of TDF that have been denounced cover the entire French territory and could deter European operators from engaging in mobile telephony hosting activities on French territory. If proven, these practices would therefore be likely to significantly affect trade between Member States. They could thus be qualified under Article 102 TFEU.</w:t>
      </w:r>
    </w:p>
    <w:p>
      <w:r>
        <w:t>35. The application of European law is not contested by the parties to the proceedings.</w:t>
      </w:r>
    </w:p>
    <w:p>
      <w:r>
        <w:t>B. ON THE RELEVANT MARKETS CONCERNED BY THE APPLICATION</w:t>
      </w:r>
    </w:p>
    <w:p>
      <w:r>
        <w:t>1. THE MARKET FOR HOSTING MOBILE TELEPHONY EQUIPMENT</w:t>
      </w:r>
    </w:p>
    <w:p>
      <w:r>
        <w:t>36. During the review in 2002 of a concentration operation aimed at the sale by Bouygues Telecom of 2,200 of its pylons to TDF, then a subsidiary of France Télécom, the Minister of Economy and Finance, following an opinion issued by the Competition Council, authorized the operation under conditions.</w:t>
      </w:r>
    </w:p>
    <w:p>
      <w:r>
        <w:t>37. In its opinion, the Competition Council had defined a rather narrow market, not including the pre-existing infrastructures likely to host mobile telephony equipment, particularly roof-terraces. Regarding the latter, and insofar as this type of infrastructure constitutes the majority of high points in urban areas, the Council considered that roof-terraces are not possible substitutes for pylons, but complementary sites. Ultimately, the market retained was "the market for hosting mobile telecommunications equipment on pylon sites," which had a national dimension.</w:t>
      </w:r>
    </w:p>
    <w:p>
      <w:r>
        <w:t>38. In its authorization decision, the Minister of Economy concluded with the same definition of the national service market, following a two-step analysis. Firstly, it was necessary to segment the national territory by distinguishing a market for mobile telephony equipment hosting sites in urban areas, unaffected by the operation (as it concerns roof-terraces and not pylons) and a market for pylon sites in peri-urban and rural areas, fully concerned by the concentration operation, on which all the pylon sites of Bouygues Telecom are established.</w:t>
      </w:r>
    </w:p>
    <w:p>
      <w:r>
        <w:t>39. This common analysis by the independent authority and the minister in the context of concentration control has, to date, never been called into question.</w:t>
      </w:r>
    </w:p>
    <w:p>
      <w:r>
        <w:t>40. In its observations, TDF, echoing the position taken by the Competition Council and then by the minister in 2002, considers that a market "limited to the metropolitan French territory" should be retained. The national dimension of the market is therefore not contested.</w:t>
      </w:r>
    </w:p>
    <w:p>
      <w:r>
        <w:t>41. In contrast, TDF proposes a broader relevant market for services, which goes beyond just pylons and can be defined as "the metropolitan French market for hosting mobile telephony equipment on high point sites." This high point market would notably include all pylons, dedicated or not, water towers, churches, and roof-terraces. TDF also considers that the hosting offer of mobile operators on their own high points should be taken into account in the market delineation, particularly given the various provisions aimed at promoting network mutualization.</w:t>
      </w:r>
    </w:p>
    <w:p>
      <w:r>
        <w:t>2. DISCUSSION ON THE RELEVANT MARKET FOR SERVICES</w:t>
      </w:r>
    </w:p>
    <w:p>
      <w:r>
        <w:t>42. In the following developments, the scope of (i) the services provided, (ii) the type of high points taken into account, and finally (iii) the limitation of the relevant market to only the pylons operated by specialized operators, the "tower companies," commonly referred to by the abbreviation TowerCo (hereinafter "TowerCo") will be analyzed.</w:t>
      </w:r>
    </w:p>
    <w:p>
      <w:r>
        <w:t>a) Regarding the services provided</w:t>
      </w:r>
    </w:p>
    <w:p>
      <w:r>
        <w:t>43. Hosting on high points is necessary for several categories of users who use a part of the radio spectrum for their activities, mainly digital television broadcasting, analog radio broadcasting, and mobile telephony services.</w:t>
      </w:r>
    </w:p>
    <w:p>
      <w:r>
        <w:rPr>
          <w:b/>
        </w:rPr>
        <w:t>[Pages 10–12]</w:t>
      </w:r>
    </w:p>
    <w:p>
      <w:r>
        <w:t>44. All of these services require a network of high points to cover vast areas of the territory. With the exception of local radios, most of these users have an objective of nearly complete coverage of the territory or the population. In addition to coverage objectives, each of these activities may have specific needs regarding the height of service points or transmission power.</w:t>
      </w:r>
    </w:p>
    <w:p>
      <w:r>
        <w:t>45. Regarding the question of the market position of mobile operators' hosting offers and the hosting of radio and television broadcasting services, the CSA concludes in its opinion of November 7, 2014, issued in this case, that there is an absence of substitutability.</w:t>
      </w:r>
    </w:p>
    <w:p>
      <w:r>
        <w:t>46. Indeed, it appears that the main network of DTT uses high sites (sometimes exceeding 300 m) and high transmission powers in order to cover vast areas. In contrast, the secondary network provides complementary coverage to the main network and relies on lower height sites (from 20 to 50 m) and lower transmission powers.</w:t>
      </w:r>
    </w:p>
    <w:p>
      <w:r>
        <w:t>47. A site offering a significant maximum height to host, at its top, an antenna broadcasting DTT can also accommodate other service points at lower heights, but it will not be able to multiply service points primarily due to the weight and wind resistance of the aerial part of the antenna systems (antenna panels and feeders), as well as the radioelectric disturbances that the different systems may produce on each other.</w:t>
      </w:r>
    </w:p>
    <w:p>
      <w:r>
        <w:t>48. The CSA, in its opinion of November 7, 2014, specifies that 59% of the pylon sites used for the broadcasting of television services and 69% of the pylon sites used for the broadcasting of radio services also host mobile telephony equipment. In contrast, only 36% of the pylon sites that host mobile telephony equipment also host audiovisual broadcasting services, which "suggests that the degree of substitutability of pylon sites is limited."</w:t>
      </w:r>
    </w:p>
    <w:p>
      <w:r>
        <w:t>49. Furthermore, this low substitutability is reinforced by the specificities of the location of these pylon sites since, according to the CSA, only 300 pylon sites are located in an area where the population density exceeds 300 inhabitants per square kilometer, whereas FM broadcasting sites, whose characteristics seem closer to those of telephony sites, are often located in much denser areas.</w:t>
      </w:r>
    </w:p>
    <w:p>
      <w:r>
        <w:t>50. Given these elements, it can be considered that the pylon sites used for hosting mobile telephony equipment and the pylon sites used for broadcasting audiovisual communication services do not belong to the same market. This analysis is not contested by TDF.</w:t>
      </w:r>
    </w:p>
    <w:p>
      <w:r>
        <w:t>b) Regarding the types of sites</w:t>
      </w:r>
    </w:p>
    <w:p>
      <w:r>
        <w:t>51. In its opinion of October 22, issued in this case, ARCEP indicates that "the metropolitan area has approximately 40,000 distinct mobile sites (it being specified that the same site can host several operators)." There is a great diversity of sites, the main ones being pylons, roof terraces, and water towers. However, there are a very large number of other types of high points: silos, engineering structures, tunnels, subways, shopping centers, most of which are located in urban areas, the distribution of which is illustrated by the diagram below:</w:t>
      </w:r>
    </w:p>
    <w:p>
      <w:r>
        <w:t>Chateaux Other 5%</w:t>
        <w:br/>
        <w:t>Water towers 8%</w:t>
        <w:br/>
        <w:t>Roofs-</w:t>
        <w:br/>
        <w:t>Terraces Pylons</w:t>
        <w:br/>
        <w:t>31% 56%</w:t>
      </w:r>
    </w:p>
    <w:p>
      <w:r>
        <w:t>52. All stakeholders interviewed by the investigation services (TDF, FPS, Orange, SFR, Bouygues Telecom, and Free) indicated that, to meet their needs for high points, they primarily seek sites offering good population coverage. Other criteria, such as operating costs, the durability and stability of the hosting, or the ease of connection to the network core, are only considered subsequently. Thus, regardless of the nature of the site (roof-terrace, bell towers, water towers, pylons, etc.), the one that best meets these prioritized criteria will be chosen by the operators.</w:t>
      </w:r>
    </w:p>
    <w:p>
      <w:r>
        <w:t>53. It is nevertheless necessary to distinguish between two types of geographical areas: urban areas, on the one hand, where operators have no choice but to use roof terraces, and rural and peri-urban areas, on the other hand, where there is a greater diversity of high points. This distinction between geographical areas implies considering roof terraces as complementary and not substitutable supports to other types of high points, a distinction validated by current case law that does not appear to be called into question in this case.</w:t>
      </w:r>
    </w:p>
    <w:p>
      <w:r>
        <w:t>54. Regarding deployment in rural and peri-urban areas, operators have primarily turned to existing infrastructures, for reasons of speed but also for the quality of coverage of these infrastructures. Operators have thus first used bell towers and water towers, located within cities and towns, or in immediate proximity, as well as the best-located TDF pylons.</w:t>
      </w:r>
    </w:p>
    <w:p>
      <w:r>
        <w:t>55. However, these infrastructures were not initially designed to host telecommunications equipment. They therefore require specific investments during installation aimed at adapting the site to the operators' needs. Modifications are often necessary for the installation of antennas or for the passage of various cables. They also present particular constraints regarding accessibility (inaccessibility at certain times, advance notice for access, etc.), which complicate their maintenance.</w:t>
      </w:r>
    </w:p>
    <w:p>
      <w:r>
        <w:t>56. Furthermore, while water towers have long constituted an important source of hosting for mobile operators, they are no longer used by them, given the difficulties related to the implementation of the Vigipirate plan. This is also the observation made by ARCEP: "It should be noted, however, that operators today tend to prefer pylons over water towers for new sites, as the latter present access constraints that have increased over time (Vigipirate plans in particular), making them less attractive than in the past."</w:t>
      </w:r>
    </w:p>
    <w:p>
      <w:r>
        <w:t>57. These elements, which describe the particular difficulties of using pre-existing infrastructures located in rural and peri-urban areas, support the delimitation of the market for pylon sites retained since 2002 and lead to dismissing TDF's arguments in favor of extending the market to other types of high points.</w:t>
      </w:r>
    </w:p>
    <w:p>
      <w:r>
        <w:t>c) Regarding the pylons self-constructed by mobile operators.</w:t>
      </w:r>
    </w:p>
    <w:p>
      <w:r>
        <w:t>58. The pylons, of which nearly 60% of the total stock, according to ARCEP, have been erected by the operators themselves, thus constitute the main category of infrastructure on which operators rely today to develop their network in rural and peri-urban areas. In opposition to established case law, TDF argues that the pylons owned by the operators who exploit them in self-production should be included in the market to take into account cases of sharing between mobile operators.</w:t>
      </w:r>
    </w:p>
    <w:p>
      <w:r>
        <w:t>59. In fact, site sharing is common and, moreover, encouraged by public authorities. In its opinion, ARCEP details the legislative and regulatory framework favoring the sharing of high points and recalls that the Postal and Electronic Communications Code (CPCE) provides in its Article D. 98-6-1 (II) for a mechanism intended to promote site sharing between mobile operators. According to the provisions of this article: "The operator shall, to the extent possible, ensure the sharing of radioelectric sites with other users of these sites" and even provides that each operator who operates a high point shall respond "to reasonable requests for sharing its sites or pylons from other operators." Furthermore, 3G licenses contain provisions favorable to the co-location of equipment, and Article L. 1425-1 of the General Code of Local Authorities also provides that high points made available by local authorities may be subject to shared use of infrastructures.</w:t>
      </w:r>
    </w:p>
    <w:p>
      <w:r>
        <w:t>60. However, ARCEP specifies that of the 15,600 pylons owned by mobile operators, only 3,500 are subject to sharing with at least one other mobile operator, representing 23% of the sites, of which nearly 1,400 are within the framework of public programs (white zones and coverage of priority routes). Sharing, when not imposed, is therefore practically rare and does not exceed 14% of the operators' stock, despite the legislative and regulatory framework that is nonetheless encouraging.</w:t>
      </w:r>
    </w:p>
    <w:p>
      <w:r>
        <w:t>61. This can first be explained by the fact that the pylons of mobile operators, unlike those of TowerCo, were not built to accommodate multiple services, whereas this is one of the objectives of hosts to improve the profitability of sites.</w:t>
      </w:r>
    </w:p>
    <w:p>
      <w:r>
        <w:t>62. Operators indicate that, on most of their sites, the pylons would be at their maximum load and that the installation of additional antennas would necessarily involve reinforcement work. This investment economy is consistent with the infrastructure competition model that leads each operator to lower the deployment cost of its own network. This initial choice also has medium- and long-term consequences because the leases negotiated with the landowners on which the pylons are built generally do not provide for the possibility of hosting another mobile operator.</w:t>
      </w:r>
    </w:p>
    <w:p>
      <w:r>
        <w:t>63. Operators also indicate that hosting constitutes the main activity of TowerCo, which has dedicated teams for producing hosting solutions, sales forces aimed at promoting existing installations, and conducts preliminary studies, including weight and wind resistance studies, whereas they themselves do not have these mobile means, which shifts these burdens onto operators wishing to obtain hosting and lengthens delivery times in case of agreement.</w:t>
      </w:r>
    </w:p>
    <w:p>
      <w:r>
        <w:rPr>
          <w:b/>
        </w:rPr>
        <w:t>[Pages 13–15]</w:t>
      </w:r>
    </w:p>
    <w:p>
      <w:r>
        <w:t>64. This last point was confirmed by Orange, SFR, and Bouygues during the investigation. A study presented by Bouygues shows that the average time to make a mobile operator's pylon site available would be 5 months when the pylons are ready and nearly 9 months when construction work is necessary, whereas it would be just under 3.5 months for a TDF site and just under 4 months for an FPS site.</w:t>
      </w:r>
    </w:p>
    <w:p>
      <w:r>
        <w:t>65. Given all these elements, it seems that the hosting offers marketed by TowerCo and those marketed by mobile operators are quite different. Despite legislative and regulatory provisions aimed at promoting it, it appears, on the one hand, that pooling is relatively little implemented - especially if one does not take into account the coverage programs for white areas that fall under public policy - and, on the other hand, that the offers from these two categories of actors remain significantly different, both in terms of service quality and actual availability or delivery time.</w:t>
      </w:r>
    </w:p>
    <w:p>
      <w:r>
        <w:t>66. Under these conditions, there are not sufficient reasons to challenge, as TDF requests, the traditional analysis of the sector which considers that the hosting services offered by TowerCo and those offered by mobile operators are not in the same relevant market and that thus the pylons of operators operated in self-production should not be taken into account for the calculation of market shares.</w:t>
      </w:r>
    </w:p>
    <w:p>
      <w:r>
        <w:t>C. ON THE DOMINANT POSITION OF TDF</w:t>
        <w:br/>
        <w:t>1. DETERMINATION OF MARKET SHARES</w:t>
        <w:br/>
        <w:t>67. The responses from the various mobile operators show that the annual amount of their expenditures with the different TowerCo is concentrated on TDF, which alone represents nearly 85% of the sector's revenue for the year 2013. As a subsidiary and indicative point, it is noted that even considering a broader market, extended to pylons operated in self-production by the operators themselves and available for pooling, TDF's market share still stands at nearly 55% in value.</w:t>
      </w:r>
    </w:p>
    <w:p>
      <w:r>
        <w:t>68. However, the holding by a company of a significant market share, while it is the primary criterion for assessing the existence of a dominant position, is not always sufficient to demonstrate it, and it is also necessary to examine other factors characterizing the market itself: barriers to entry, the particular situation of the company such as, for example, belonging to a large group in the face of smaller competitors, holding a technological lead or specific know-how, and the countervailing market power of demand.</w:t>
      </w:r>
    </w:p>
    <w:p>
      <w:r>
        <w:t>69. In this regard, it is undisputed that the construction of new sites constitutes in itself a significant barrier to entry, given the administrative authorizations to be obtained and the construction timelines, these obstacles tending to strengthen with the increase in environmental and health concerns. Furthermore, the duration of current contracts, such as those denounced in this case, which bind clients for a very long period, with very limited possibilities for early exit, also tends to raise barriers to entry in the market, particularly concerning existing sites.</w:t>
      </w:r>
    </w:p>
    <w:p>
      <w:r>
        <w:t>70. This specificity of the market is likely to strengthen the market power of the operator with the most extensive historical network.</w:t>
      </w:r>
    </w:p>
    <w:p>
      <w:r>
        <w:t>2. THE COUNTERVAILING PURCHASING POWER OF OPERATORS</w:t>
        <w:br/>
        <w:t>71. TDF's main argument to contest its dominant position is the existence of strong market power among telecommunications operators, which are powerful companies capable of negotiating favorable terms, thereby limiting its own potential market power.</w:t>
      </w:r>
    </w:p>
    <w:p>
      <w:r>
        <w:t>72. Although self-production, in accordance with consistent case law, is not counted in the calculation of market shares, it must be taken into account in the analysis of the competitive pressure exerted on suppliers. Indeed, the self-production of telecommunications operators exerts potential competition on TowerCo by constituting an alternative solution capable of satisfying hosting needs that could have been, in whole or in part, purchased on the market.</w:t>
      </w:r>
    </w:p>
    <w:p>
      <w:r>
        <w:t>73. In fact, operators retain, in most rural or peri-urban areas, the possibility of building a new pylon themselves that could substitute for a TDF pylon. They can also engage in such early exit policies from the contract as discussions approach to improve their negotiating capacity.</w:t>
      </w:r>
    </w:p>
    <w:p>
      <w:r>
        <w:t>74. However, this potential competition is limited and may even appear costly in many cases. Operators emphasize that they do not wish to leave TDF sites in cases where the choice of this pylon is explained by the fact that there is no equally advantageous replacement site nearby. If an operator chooses to abandon a TDF site, it will be necessary for them to build another, often less well-located. Moreover, this one-for-one substitution only holds in the best-case scenario, and operators agree that, given the good quality of TDF's historical sites, their replacement could lead them to build not one but several substitute sites to avoid losses in population coverage.</w:t>
      </w:r>
    </w:p>
    <w:p>
      <w:r>
        <w:t>75. Finally, if one moves away from the local analysis to broaden the perspective to the national level, one must take into account the fact that operators have built their networks around TDF sites and that the collection architectures are still marked by this historical legacy. The massive abandonment of these sites in favor of new sites would therefore prove very costly for them and pose a delicate problem of investment programming.</w:t>
      </w:r>
    </w:p>
    <w:p>
      <w:r>
        <w:t>76. Indeed, operators cannot afford to challenge their framework hosting contracts with TDF at the last moment when these contracts come to an end if they do not have an already operational alternative solution, unless they wish to jeopardize the quality of their network.</w:t>
      </w:r>
    </w:p>
    <w:p>
      <w:r>
        <w:t>77. The countervailing power of buyers remains limited, as confirmed by the price analysis. It emerges, indeed, from the investigation that Bouygues has never been able to obtain any price reduction from TDF and that SFR was only able to obtain a reduction in unit prices in 2009 by incorporating an additional 350 sites into the contract, of which 250 are still unused, and by subscribing to new services, which led to stability in the revenue billed by TDF.</w:t>
      </w:r>
    </w:p>
    <w:p>
      <w:r>
        <w:t>78. Ultimately, only Orange has been able to obtain a significant reduction in its rents thanks to the specific negotiating leverage constituted by the concrete towers of the DVRN network that it owns but have been operated by TDF for many years. When TDF was sold by the France Télécom group in 2002, the DVRN network was retained by Orange, but a lease contract was concluded with TDF for its operation. Given the expiration of this contract, TDF was obliged to sign a new lease with Orange in advance to avoid jeopardizing past contracts with third-party operators hosted on these sites. This obligation was all the more pressing as TDF generates very significant revenue from these towers. Orange confirmed the existence of a cross-negotiation and indicated that the price reduction obtained on its hosting contract with TDF is partly explained by TDF's need to renew its lease contract on the DVRN towers.</w:t>
      </w:r>
    </w:p>
    <w:p>
      <w:r>
        <w:t>79. In light of all these elements, it appears that, on the pylons hosting mobile operators, TDF is likely to have strong negotiating power against operators who, despite the price levels practiced and their repeated requests for reductions, are unable to find credible alternative solutions. The purchasing power of operators is therefore not likely to challenge the analysis of TDF's dominant position assessed based on the criterion of market shares and the existence of barriers to entry.</w:t>
      </w:r>
    </w:p>
    <w:p>
      <w:r>
        <w:t>D. COMPETITION CONCERNS</w:t>
        <w:br/>
        <w:t>80. During the investigation of the request for interim measures and during their hearing as witnesses, telecommunications operators unanimously indicated that they primarily seek stability and durability of the sites on which their radio access networks rely, in order to ensure continuity and quality of service for all their current or potential subscribers. Thus, SFR indicates that it seeks hosting contracts of ten to twelve years, Bouygues mentions contracts of ten to fifteen years, and Orange states that it is satisfied with the last twenty-year contract concluded with TDF.</w:t>
      </w:r>
    </w:p>
    <w:p>
      <w:r>
        <w:t>81. However, the twenty-year hosting contract concluded between Orange and TDF is particularly long and constitutes a first in hosting, as previous contracts concluded by TDF with mobile operators were generally for a duration of ten years. Exceptions concerned the transfer of pylon portfolios, such as the hosting contract for the pylons transferred by Bouygues to TDF in 2002, which extends over fifteen years.</w:t>
      </w:r>
    </w:p>
    <w:p>
      <w:r>
        <w:t>82. The same applies to other operators whose contracts are generally limited to ten or twelve years, except for exceptions related to a transfer, such as the twenty-year contract concluded between Bouygues and FPS concerning the pylons transferred to this former subsidiary with a revenue guarantee (the so-called "sale and lease back" contract).</w:t>
      </w:r>
    </w:p>
    <w:p>
      <w:r>
        <w:t>83. This priority given to the stability of the network architecture explains that operators can accommodate, even if they complain about it, quite restrictive early termination quotas. These termination clauses are not fully utilized, with operators often limiting themselves to using them to adjust the deployment of their network on a case-by-case basis.</w:t>
      </w:r>
    </w:p>
    <w:p>
      <w:r>
        <w:t>84. These observations show that, in the hosting market defined above, a TowerCo can compete with TDF in two ways. It can, when a framework contract comes to an end, respond to the operator's call for tenders with the hope of winning an order covering several hundred sites for a decade, a mode referred to as "competition for the market." But it can also, during the execution of such a ten-year contract, approach operators to leverage early termination clauses in its favor, which allows it to gain at best a few dozen sites each year, a mode referred to as "competition in the market."</w:t>
      </w:r>
    </w:p>
    <w:p>
      <w:r>
        <w:rPr>
          <w:b/>
        </w:rPr>
        <w:t>[Pages 16–18]</w:t>
      </w:r>
    </w:p>
    <w:p>
      <w:r>
        <w:t>85. However, neither of these two modes of competition is functioning properly today. Competition for the market is too spaced out in time to allow an alternative operator to develop at a sufficient pace, and competition in the market is constrained by the insufficient annual exit options from TDF contracts, which are also accompanied by significant penalties.</w:t>
      </w:r>
    </w:p>
    <w:p>
      <w:r>
        <w:t>86. Competition for renewal markets is even more limited as telecommunications operators tend to renegotiate these hosting contracts in advance, either to incorporate services not provided for in the contract, such as the operation of new frequency bands, or as the contract term approaches in order to maintain negotiating power with the host. Indeed, at the end of the contract, they find themselves in a situation of dependence on the contract holder, as only the latter is able to make an immediately available offer that allows them to avoid the collapse of their network.</w:t>
      </w:r>
    </w:p>
    <w:p>
      <w:r>
        <w:t>87. The early renewal of contracts does not constitute a sacrifice for TDF, which can thus extend the effective duration of operators' commitments. This practice actually leads to the deferral of the release of sites onto the market, delaying the moment when TDF's competitors can once again compete for their allocation. It therefore exacerbates the problem faced by new entrants, as it leads not to shortening but rather to lengthening the effective duration of operators' commitments. If a ten-year contract is renegotiated after eight years, giving way to a new ten-year contract, competitors are excluded from this client for eighteen years.</w:t>
      </w:r>
    </w:p>
    <w:p>
      <w:r>
        <w:t>88. The long duration of TDF's framework contracts is all the more concerning as competition on each pylon is very limited during the execution of the contract.</w:t>
      </w:r>
    </w:p>
    <w:p>
      <w:r>
        <w:t>89. Indeed, the contracts concluded between mobile operators and TDF provide for termination conditions of a few dozen sites per year, which give rise to a notice period and the payment of penalties that can correspond to 50% of the annual rent or 20% of the remaining rents due until the contract's expiration.</w:t>
      </w:r>
    </w:p>
    <w:p>
      <w:r>
        <w:t>90. Thus, the duration of the contracts, the penalties for early exit, and the very limited early exit quotas are characteristics that limit market fluidity, their effect being exacerbated by their cumulative nature. These cumulative clauses, to which is added the early renegotiation of contracts, create a situation that could harm competition, as competitors could find themselves permanently excluded from even formulating alternative offers. There is therefore a risk of market lock-in or even the eviction of competitors.</w:t>
      </w:r>
    </w:p>
    <w:p>
      <w:r>
        <w:t>91. These practices, consisting of entering into long contracts, often renegotiated in advance, and providing for very limited early termination quotas accompanied by significant penalties, implemented by a company that may be in a dominant position, could produce real or potential anti-competitive effects. They are therefore likely to be contrary to the provisions of Articles 102 TFEU and 420-2 of the Commercial Code.</w:t>
      </w:r>
    </w:p>
    <w:p>
      <w:r>
        <w:t>III. Implementation of the Commitment Procedure</w:t>
        <w:br/>
        <w:t>A. ON THE USE OF THE COMMITMENT PROCEDURE</w:t>
        <w:br/>
        <w:t>92. According to the provisions of I of Article L. 464-2, the Authority may "accept commitments proposed by companies or organizations that are likely to address its competition concerns that may constitute prohibited practices referred to in Articles L. 420-1, L. 420-2, and L. 420-5."</w:t>
      </w:r>
    </w:p>
    <w:p>
      <w:r>
        <w:t>93. Furthermore, in its judgment of December 19, 2013, Cogent Communications France, confirmed by the Court of Cassation in a judgment of May 12, 2015, the Paris Court of Appeal also noted that "the commitment procedure is one of the tools that allows a competition authority to fulfill its mission of ensuring the functioning of competition in the markets, this mission of defending the economic public order enabling said authority to make commitment decisions, not to satisfy the request of a complaining party but to end situations that may be harmful to competition."</w:t>
      </w:r>
    </w:p>
    <w:p>
      <w:r>
        <w:t>94. Thus, in the present case, the commitments discussed are not intended to satisfy the requests made by FPS in its substantive complaint accompanied by a request for interim measures, nor the wishes expressed by the companies that contributed to the market test, but to alleviate the competition concerns identified by the Authority by accepting the remedies proposed by TDF if they are likely to sufficiently improve competition in the market for the hosting of mobile telephony equipment on pylon sites, in the two forms it can take: competition for the market at each contract renewal and competition in the market during partial exits during the execution of the contract.</w:t>
      </w:r>
    </w:p>
    <w:p>
      <w:r>
        <w:t>B. THE COMMITMENTS PROPOSED BY TDF ON JANUARY 29, 2015</w:t>
        <w:br/>
        <w:t>95. In order to address the competition concerns expressed in the session by the investigation services and to end the procedure, TDF submitted on January 29, 2015, to the Authority a proposal comprising three commitments. These commitments were published online on February 3, 2015, for a one-month market test.</w:t>
      </w:r>
    </w:p>
    <w:p>
      <w:r>
        <w:t>96. The first commitment consists of offering each of its clients an option allowing them to modify, if necessary, the respective framework contracts mentioned above to provide for a new ceiling of annual partial early terminations of at least 2% of the total number of specific pylon site contracts in force as of December 31 of the reference calendar year.</w:t>
      </w:r>
    </w:p>
    <w:p>
      <w:r>
        <w:t>97. The second commitment concerns the new framework contracts that will be concluded with mobile telecommunications operators after the adoption of the Authority's decision, for which TDF will propose ceilings for partial early terminations, at the client's choice: either 3% per year of the total number of specific pylon site contracts in force as of December 31 of the reference calendar year, or 4% of the total number of specific pylon site contracts in force over two consecutive reference calendar years, which can be carried over within the limit of these two consecutive calendar years. It is subscribed for a duration of six years.</w:t>
      </w:r>
    </w:p>
    <w:p>
      <w:r>
        <w:t>98. The third commitment concerns the new framework contracts for which TDF proposes a maximum initial duration of ten years, extendable by mutual agreement for a maximum of five years. It is also subscribed for a duration of six years.</w:t>
      </w:r>
    </w:p>
    <w:p>
      <w:r>
        <w:t>C. OBSERVATIONS RECEIVED DURING THE MARKET TEST</w:t>
        <w:br/>
        <w:t>99. During the market test, the Authority collected observations from six companies (Orange, Bouygues Telecom, SFR, Itas Tim, TowerCast, and FPS Towers). Most contributors believe that the commitments proposed by TDF are very insufficient and need to be improved on several points: the scope, duration, early termination clauses, and exit penalties.</w:t>
      </w:r>
    </w:p>
    <w:p>
      <w:r>
        <w:t>100. In general, all note that there is no reason to treat ongoing contracts differently from new contracts as long as this difference in treatment is not based on any objective justification, whether technical or legal. FPS and Itas Tim particularly observe that most of the so-called "new" contracts are actually just renewals of past contracts and concern already amortized sites.</w:t>
      </w:r>
    </w:p>
    <w:p>
      <w:r>
        <w:t>101. With the exception of Orange, which expresses support for long contracts, and Bouygues Telecom, which does not comment on this commitment, all contributors believe that the duration of ten years should be a maximum, given the numerous five-year contracts that exist in the market, particularly the contracts for digital audiovisual broadcasting which, however, rely on heavier investments.</w:t>
      </w:r>
    </w:p>
    <w:p>
      <w:r>
        <w:t>102. Similarly, the majority of contributors believe that the proposed early termination quotas are insufficient, that they are unrelated to the competition problems described by the investigation services, whose analysis they emphasize they share. For these contributors, only a significant increase in early termination quotas would genuinely address the competition concerns. Itas Tim and SFR believe that an annual quota of at least 15% should be retained, and Towercast proposes 10% per year, with these annual quotas also needing to be cumulative over several years in case of non-use.</w:t>
      </w:r>
    </w:p>
    <w:p>
      <w:r>
        <w:t>103. This accumulation is deemed necessary by TDF's competitors, who believe that below a minimum number of pylons, it is not economically feasible to undertake construction and substitution programs, as the economies of scale are not sufficient to offset the costs associated with the change, especially since these costs are exacerbated by the contractual penalties owed to TDF, which they consider unjustified as the sites in question are already largely amortized.</w:t>
      </w:r>
    </w:p>
    <w:p>
      <w:r>
        <w:t>D. THE COMMITMENTS PROPOSED BY TDF ON MAY 11, 2015</w:t>
        <w:br/>
        <w:t>104. After being informed of the results of the market test, TDF communicated to the investigation services, on May 4, 2015, a new version of its commitments, which was then discussed and improved during the session on May 7 on several major points.</w:t>
      </w:r>
    </w:p>
    <w:p>
      <w:r>
        <w:t>105. For all contracts, except those negotiated under a mutualization agreement, the annual quotas for early terminations are raised to 4% per year, cumulative over several years up to 10% of the number of leased pylons, with exit indemnities capped at three months' rent. For these two provisions, it</w:t>
      </w:r>
    </w:p>
    <w:p>
      <w:r>
        <w:rPr>
          <w:b/>
        </w:rPr>
        <w:t>[Pages 19–21]</w:t>
      </w:r>
    </w:p>
    <w:p>
      <w:r>
        <w:t>therefore no longer exists a distinction between ongoing contracts and future contracts. The duration of future contracts is, moreover, limited to ten years without the possibility of tacit renewal. Finally, the duration of these commitments is increased from six to eleven years.</w:t>
      </w:r>
    </w:p>
    <w:p>
      <w:r>
        <w:t>106. The final version of TDF's commitments was communicated to the Authority on May 11, 2015, and is attached to this decision.</w:t>
      </w:r>
    </w:p>
    <w:p>
      <w:r>
        <w:t>E. DISCUSSION</w:t>
        <w:br/>
        <w:t>1. THE DURATION OF CONTRACTS</w:t>
        <w:br/>
        <w:t>107. In the latest version of its commitments, TDF proposes to set the maximum duration of its future framework contracts at ten years. This commitment represents an improvement compared to the version that was subject to the market test, which provided for a duration of ten years with an option for tacit extension for an additional five years. It is, a fortiori, an even more significant improvement compared to the twenty-year duration of the contract concluded between TDF and Orange.</w:t>
      </w:r>
    </w:p>
    <w:p>
      <w:r>
        <w:t>108. Although relatively long compared to the amortization needs of the investments made to host the operators, such a duration nonetheless corresponds to the expectations of TDF's clients who, during the investigation, generally stated that they seek contracts of ten or twelve years, offering a certain sustainability to their radio architecture. This proposal also allows a return to the previous practice that seemed well established in the market. It should be noted that the five-year duration of audiovisual broadcasting contracts is linked to the duration of the CSA authorizations and cannot therefore constitute a market standard for telecommunications operators whose licenses for operating the radio spectrum granted by ARCEP are much longer.</w:t>
      </w:r>
    </w:p>
    <w:p>
      <w:r>
        <w:t>2. THE LIMITATION OF EARLY TERMINATION INDEMNITIES</w:t>
        <w:br/>
        <w:t>109. The previous contracts of TDF generally provide, in the event of early terminations, for the payment of an indemnity corresponding to six months' rent. In some cases, the indemnity can even rise to 20% of the rents remaining due until the end of the contracts, which, for a ten-year contract, is less favorable than the six-month indemnity during the first seven years of the contract, equivalent to this indemnity in the eighth year, and is only favorable in the last two years of the contract when negotiations for its renewal are already underway and one can no longer truly speak of early termination.</w:t>
      </w:r>
    </w:p>
    <w:p>
      <w:r>
        <w:t>110. As part of its commitments, TDF proposes to limit early termination indemnities to three months' rent, indicating that this amount reflects the average statistical cost of dismantling pylons that would remain unused after a termination. It is therefore a fixed penalty whose amount is oriented towards the costs incurred by the operator at TDF due to its early departure. This commitment thus significantly reduces the exit cost per pylon and allows competing operators to take greater advantage of the contractual quotas for early termination. This commitment, which will apply to both ongoing and future contracts, thus addresses the competition concerns expressed by the Authority.</w:t>
      </w:r>
    </w:p>
    <w:p>
      <w:r>
        <w:t>3. EARLY TERMINATION QUOTAS</w:t>
        <w:br/>
        <w:t>111. Alternative hosts argue that, to make credible offers, they must anticipate potential requests from telecommunications operators and therefore need time and minimum quotas to cover their fixed prospecting costs. The construction of additional pylons involves specifically dedicating teams to this activity responsible for finding available locations and obtaining the various administrative authorizations necessary for the establishment of high points. These teams represent a relatively significant cost that partly depends on the size of the prospecting area but also on the number of pylons considered.</w:t>
      </w:r>
    </w:p>
    <w:p>
      <w:r>
        <w:t>112. When questioned during the session on May 7 about the minimum number of sites necessary for the development of a genuine activity of deploying new sites, Itas Tim indicated the figure of 200 sites while Towercast mentioned 300 sites. FPS did not formally contest these estimates. These levels generally correspond to the annual quota of 10% for early termination requested by the operators.</w:t>
      </w:r>
    </w:p>
    <w:p>
      <w:r>
        <w:t>113. This demand for a sufficient volume of site changes also responds to the interests of the clients. Indeed, for them as well, a change of supplier involves numerous costs: dedicated personnel charges, costs of relocating sites, in addition to the payment of contractual indemnities for early termination. The rent savings made possible by hosting with a competitor of TDF must therefore be sufficient to justify these additional charges, especially since the potential savings are only realized gradually. Thus, for an operator to genuinely initiate a substitution policy, it must be able to prepare in advance and implement the transition of a sufficiently large portfolio of sites without risking the continuity of its service.</w:t>
      </w:r>
    </w:p>
    <w:p>
      <w:r>
        <w:t>114. This observation leads not to aim for significant and repeated annual exits, which would be unrealistic, but to favor exit conditions that allow "savings" of unused exit quotas from one year to the next in order to reach the critical mass demanded by TDF's competitors, if possible several times during the same ten-year contract. For this, it is necessary on the one hand that the annual quotas for early termination be set at a sufficient level and on the other hand that their accumulation allows quickly reaching the minimal objective indicated by the alternative operators, which was discussed in the session without being seriously contested.</w:t>
      </w:r>
    </w:p>
    <w:p>
      <w:r>
        <w:t>115. The commitment proposed by TDF of an annual quota of 4% of the operated sites that can be carried over to subsequent years up to a limit of 10% allows reaching the objective for most contracts covering 2000 pylons or more. The cumulative quota of 10% allows obtaining the volume of 200 sites as early as the third year of contract execution and then renewing the operation twice before the end of a ten-year contract.</w:t>
      </w:r>
    </w:p>
    <w:p>
      <w:r>
        <w:t>116. This last proposal thus responds to the competition concerns as expressed by the investigation services and reiterated during the session. It provides a proportionate response not only to the risk of market lock-in during the execution of contracts but also compensates for the deficit of competition arising from the practices of early renegotiation of TDF contracts.</w:t>
      </w:r>
    </w:p>
    <w:p>
      <w:r>
        <w:t>4. THE DISTINCTION MADE BETWEEN CONTRACTS</w:t>
        <w:br/>
        <w:t>117. In response to the market test, TDF modified its commitments to eliminate the distinction made between ongoing contracts, which were exempt from the commitments, and future contracts that were solely subject to them. Thus, the commitments relating to early termination quotas and exit penalties will apply equally to ongoing contracts and future contracts. However, the commitment regarding the maximum duration of contracts will only apply to future contracts.</w:t>
      </w:r>
    </w:p>
    <w:p>
      <w:r>
        <w:t>118. However, TDF indicated that its commitment regarding termination quotas could not apply in the future to contracts negotiated as part of a mutualization operation between two operators, such as that currently concerning the networks of Bouygues Telecom and SFR. This type of agreement, which primarily affects the least dense areas where high points are mostly pylons, provides for cost-saving measures that result in a significant reduction in the number of pylons rented by the two operators and a redeployment of their equipment. A partial mutualization of the two networks necessarily disrupts the balance of ongoing contracts.</w:t>
      </w:r>
    </w:p>
    <w:p>
      <w:r>
        <w:t>119. Thus, in March 2015, Bouygues Telecom concluded a new contract with TDF that offers the operator significant latitude regarding the termination of sites within the mutualized area for the period corresponding to the implementation timeline of the mutualization agreement. In return, the possibilities for early termination, although compliant with the current clauses of TDF contracts, will not be as favorable as those provided for in the commitments.</w:t>
      </w:r>
    </w:p>
    <w:p>
      <w:r>
        <w:t>120. The satisfaction of a specific need of the operators thus leads to a balance of the particular contract that cannot be identical to that which could result from the commitments provided for a general case of hosting. Excluding hosting contracts that provide for specific provisions related to mutualization agreements from the benefit of the commitment regarding early termination quotas appears to be a reasonable and proportionate solution. Indeed, the automatic application of the most favorable clauses would deprive both contracting parties of any negotiation margin to find a counterbalance to the possibility granted to the hosted operator to abandon a large number of sites during the contract for which it had made a long-term commitment.</w:t>
      </w:r>
    </w:p>
    <w:p>
      <w:r>
        <w:t>5. THE DURATION OF COMMITMENTS</w:t>
        <w:br/>
        <w:t>121. In the latest version of its proposal for commitments, TDF proposes to extend the duration of its commitments from six to eleven years, in order to cover a complete cycle of contracts and a first renewal. This duration, unusually long for behavioral commitments, is necessary to achieve significant effects on the concerned market, which evolves very slowly over contracts that are renewed only after an average of ten years.</w:t>
      </w:r>
    </w:p>
    <w:p>
      <w:r>
        <w:rPr>
          <w:b/>
        </w:rPr>
        <w:t>[Pages 22–24]</w:t>
      </w:r>
    </w:p>
    <w:p>
      <w:r>
        <w:t xml:space="preserve">6. CONCLUSION  </w:t>
        <w:br/>
        <w:t xml:space="preserve">122. The accumulation of the three commitments over a period of eleven years thus appears proportionate and relevant to address the expressed competition concerns. It establishes a satisfactory balance by allowing for an improvement in the intensity of competition between TDF and competing hosts, particularly during the contract period, while responding to the stability demands of the client operators.  </w:t>
        <w:br/>
        <w:t>123. The commitments enhanced during the session of May 7 meet the expressed competition concerns and present a substantial, credible, and verifiable nature. Therefore, they should be accepted, made mandatory, and the procedure closed.</w:t>
      </w:r>
    </w:p>
    <w:p>
      <w:r>
        <w:t xml:space="preserve">DECISION  </w:t>
        <w:br/>
        <w:t xml:space="preserve">Article 1: The Competition Authority accepts the commitments made by TDF, which are an integral part of this decision to which they are annexed. These commitments are made mandatory as of the notification of this decision.  </w:t>
        <w:br/>
        <w:t xml:space="preserve">Article 2: The requests recorded under numbers 14/0066F and 14/0067M are closed.  </w:t>
        <w:br/>
        <w:t xml:space="preserve">Deliberated on the oral report of Mr. Sylvain Moll, rapporteur, and the intervention of Mr. Nicolas Deffieux, deputy general rapporteur, by Mr. Thierry Dahan, vice-president, session president, Ms. Pierrette Pinot and Carol Xueref, and Mr. Philippe Choné, members.  </w:t>
        <w:br/>
        <w:t xml:space="preserve">The session secretary, The session president,  </w:t>
        <w:br/>
        <w:t xml:space="preserve">Béatrice Déry-Rosot Thierry Dahan  </w:t>
        <w:br/>
        <w:t>© Competition Authority</w:t>
      </w:r>
    </w:p>
    <w:p>
      <w:r>
        <w:t xml:space="preserve">May 11, 2015  </w:t>
        <w:br/>
        <w:t xml:space="preserve">REQUESTS 14/0066F AND 14/0067M  </w:t>
        <w:br/>
        <w:t xml:space="preserve">PROPOSAL OF COMMITMENTS BY TDF  </w:t>
        <w:br/>
        <w:t xml:space="preserve">1. Preliminary Observations  </w:t>
        <w:br/>
        <w:t xml:space="preserve">1.1. The present commitments are formulated by the company TDF (hereinafter, "TDF"), a simplified joint-stock company with a capital of €166,956,512, registered with the Nanterre Trade and Companies Register under number 342 404 399, whose registered office is located at 106, avenue Marx Dormoy, 92120 Montrouge, based on the provisions of Articles L. 464-2 I and R. 464-2 of the Commercial Code.  </w:t>
        <w:br/>
        <w:t xml:space="preserve">They aim to appropriately, credibly, and verifiably address, in accordance with the aforementioned provisions, the competition concerns expressed by the investigation services of the Competition Authority, within the framework of requests 14/0066F and 14/0067M, during the session of January 13, 2015, dedicated to examining the request for interim measures from FPS Towers, as well as the observations made by competitors and mobile network operators during the market test published on February 3, 2015.  </w:t>
        <w:br/>
        <w:t xml:space="preserve">1.2. It is specified that:  </w:t>
        <w:br/>
        <w:t xml:space="preserve">(i) the commitments below are proposed by TDF, with all reservations of its rights, solely to allow the Competition Authority to close the procedure by accepting these commitments;  </w:t>
        <w:br/>
        <w:t xml:space="preserve">(ii) the commitments do not in any way constitute an acknowledgment by TDF of any violation of European or French competition rules, nor of any other provision concerning the competition concerns.  </w:t>
        <w:br/>
        <w:t xml:space="preserve">1.3. That being specified, TDF undertakes the following commitments, in accordance with Articles L. 464-2 I and R. 464-2 of the Commercial Code.  </w:t>
        <w:br/>
        <w:t xml:space="preserve">2. Commitment to offer mobile network operator clients an annual cap on partial early terminations of four percent (4%), transferable to reach a maximum annual of 10% of partial early terminations, concerning framework contracts for hosting on pylon sites in metropolitan France  </w:t>
        <w:br/>
        <w:t xml:space="preserve">(i) Scope of the commitment  </w:t>
        <w:br/>
        <w:t xml:space="preserve">2.1. This commitment concerns:  </w:t>
        <w:br/>
        <w:t xml:space="preserve">• the framework contract for hosting known as Service Points Hauts (hereinafter, "SPH framework contract") concluded on December 23, 2013, between TDF and Orange for hosting its equipment on TDF's pylon sites;  </w:t>
        <w:br/>
        <w:t xml:space="preserve">• the SPH framework contract concluded on July 29, 2010, between TDF and Free for hosting its equipment on TDF's pylon sites;  </w:t>
        <w:br/>
        <w:t xml:space="preserve">• the SPH framework contract concluded on March 19, 2015, between TDF and Bouygues Telecom for hosting its equipment on TDF's pylon sites;  </w:t>
        <w:br/>
        <w:t xml:space="preserve">• the SPH framework contract concluded on January 8, 2010, between TDF and SFR for hosting its equipment on TDF's pylon sites;  </w:t>
        <w:br/>
        <w:t xml:space="preserve">• the new SPH framework contracts that will be concluded between TDF and public mobile network operators for the provision of hosting services for mobile telephony equipment on pylon sites (existing and to be constructed) in metropolitan France, subsequent to the adoption of the decision by the Competition Authority making this commitment mandatory and whose duration will be equal to the maximum duration defined in point 3 below, excluding contracts known as sale and lease back.  </w:t>
        <w:br/>
        <w:t xml:space="preserve">(ii) Content of the commitment  </w:t>
        <w:br/>
        <w:t xml:space="preserve">2.2. TDF undertakes to offer its clients who are public mobile network operators (Orange, Free, Bouygues Telecom, and SFR) in the framework contracts referred to in (i) an annual rate of partial early terminations of four percent (4%) of the total number of specific pylon site contracts in force as of December 31 of the reference calendar year1. The rate of four percent (4%) may be used, in whole or in part, for a calendar year. If this rate is not fully utilized, the remainder may be carried over from year to year, provided that the termination rate that may be used by the mobile network operator in a given calendar year does not exceed a maximum limit of 10% of partial early terminations.  </w:t>
        <w:br/>
        <w:t xml:space="preserve">Thus, for example, in the event that the mobile network operator does not terminate any site in year "n", the rate of partial early terminations that it could use in year "n+1" would amount to 8% (4% not used as of December 31 of year "n" + 4% acquired during year "n+1"). If the mobile network operator again does not terminate any site during year "n+1", the rate of partial early terminations that it could use in year "n+2" would rise to 10% (the total accumulation of 12% [4% not used in year "n" + 4% not used in year "n+1" + 4% acquired during year "n+2"] being reduced to the overall cap of 10%). If, during year "n+2", the mobile network operator still does not terminate any site, the rate of partial early terminations that it could use in year "n+3" would still be 10%. Conversely, if in year "n+2" the operator terminated...  </w:t>
        <w:br/>
        <w:t>1 The reference calendar year corresponds to the previous calendar year.</w:t>
      </w:r>
    </w:p>
    <w:p>
      <w:r>
        <w:rPr>
          <w:b/>
        </w:rPr>
        <w:t>[Pages 25–27]</w:t>
      </w:r>
    </w:p>
    <w:p>
      <w:r>
        <w:t>10% of the total specific contracts for pylon sites in effect as of December 31 of year "n+1", the rate of partial early terminations that it could use during year "n+3" would be equal to 4%, and so on. In the same example, if, in year "n+2", the operator terminated 8% of the total specific contracts for pylon sites in effect as of December 31 of year "n+1", the rate of partial early terminations that it could use during year "n+3" would be equal to 6%.</w:t>
      </w:r>
    </w:p>
    <w:p>
      <w:r>
        <w:t>The table below presents an example of the implementation of the system over 10 years, which leads to a termination rate of 4% for each year of the contract, capped at a maximum of 10 terminations.</w:t>
      </w:r>
    </w:p>
    <w:p>
      <w:r>
        <w:t xml:space="preserve">n n+1 n+2 n+3 n+4 n+5 n+6 n+7 n+8 n+9  </w:t>
        <w:br/>
        <w:t xml:space="preserve">Termination rate accrued for the current year 4% 4% 4% 4% 4% 4% 4% 4% 4% 4%  </w:t>
        <w:br/>
        <w:t xml:space="preserve">Termination rate actually used during the year, as an example 1% 0% 1% 0% 0% 1% 10% 4% 1% 6%  </w:t>
        <w:br/>
        <w:t xml:space="preserve">Carried forward termination rate (remaining), from the previous year 0% 3% 7% 9% 10% 10% 9% 0% 0% 3%  </w:t>
        <w:br/>
        <w:t xml:space="preserve">Termination rate usable during the current year (capped at 10%) 4% 7% 10% 10% 10% 10% 10% 4% 4% 7%  </w:t>
        <w:br/>
        <w:t>Unused termination rate as of December 31 of the current year, carryover to the following year (remaining) 3% 7% 9% 10% 10% 9% 0% 0% 3% 1%</w:t>
      </w:r>
    </w:p>
    <w:p>
      <w:r>
        <w:t>2.3. When a framework contract under (i) contains specific provisions regarding the implementation of a "RAN sharing" agreement, given the need to ensure the overall contractual balance of said framework contract, the regime of partial early terminations applicable to areas not covered by "RAN sharing" and to areas covered by "RAN sharing" beyond the application period of the specific provisions allowing for its implementation shall not be subject to the commitment described in point 2.2. In such a case, in accordance with common law, TDF and the concerned mobile network operator will freely negotiate the terms of partial early terminations applicable to areas not covered by RAN sharing and the areas covered by it upon the expiration of the application period of the specific provisions allowing for its implementation.</w:t>
      </w:r>
    </w:p>
    <w:p>
      <w:r>
        <w:t>2.4. The early termination of each specific contract concluded under the framework contracts referred to in (i) will be accompanied by a fixed and liberating indemnity, the amount of which will be limited to three (3) months of the annual price paid by the concerned mobile network operator under the specific contract in question.</w:t>
      </w:r>
    </w:p>
    <w:p>
      <w:r>
        <w:t xml:space="preserve">3. Commitment to limit the maximum duration of new framework contracts for hosting on pylon sites to ten (10) years  </w:t>
        <w:br/>
        <w:t xml:space="preserve">(i) Scope of the commitment  </w:t>
        <w:br/>
        <w:t>3.1. This commitment concerns new SPH framework contracts that will be concluded between TDF and public mobile network operators for the provision of hosting services for mobile telephony equipment on pylon sites (existing and to be constructed) in metropolitan France, subsequent to the adoption of the decision of the Competition Authority making this commitment mandatory, excluding contracts known as sale and lease back.</w:t>
      </w:r>
    </w:p>
    <w:p>
      <w:r>
        <w:t xml:space="preserve">(ii) Content of the commitment  </w:t>
        <w:br/>
        <w:t>3.2. TDF commits to ensuring that the framework contracts referred to in (i) are concluded for a maximum duration of ten (10) years.</w:t>
      </w:r>
    </w:p>
    <w:p>
      <w:r>
        <w:t xml:space="preserve">4. Duration and deadlines for the implementation of commitments  </w:t>
        <w:br/>
        <w:t>4.1. TDF commits to ensuring that the commitment described in point 2 comes into effect immediately from the date of receipt of the notification to TDF of the decision of the Competition Authority making it mandatory. The same applies to the commitments described in points 2 and 3 regarding the new SPH framework contracts to be concluded.</w:t>
      </w:r>
    </w:p>
    <w:p>
      <w:r>
        <w:t>4.2. Regarding contracts in effect at the time of the decision of the Competition Authority making the commitments mandatory, TDF commits to implementing the commitment described in point 2 within a maximum period of one (1) month from the date of receipt of the notification to TDF of this decision. This implementation will be carried out by sending, by registered letter with acknowledgment of receipt addressed to Orange, SFR, Free, and Bouygues Telecom, a proposal for an amendment transcribing the commitment described in point 2. The commitment described in point 2 will end either upon the signature by TDF and the aforementioned operators of an amendment respecting the principles set out above or in the absence of such a signature by TDF and the operators concerned within four (4) months following the receipt of the registered letter with acknowledgment of receipt described above, upon the expiration of this period.</w:t>
      </w:r>
    </w:p>
    <w:p>
      <w:r>
        <w:t>4.3. The commitments described in point 2, regarding contracts subsequent to the adoption of the decision of the Competition Authority making them mandatory, and in point 3 are subscribed for a duration of eleven (11) years from the date of receipt of the notification to TDF of said decision. However, during this period, the Competition Authority and TDF may meet to discuss the relevance of maintaining these commitments until their expiration, particularly in light of the evolution of the competitive structure in the relevant market. This point is without prejudice to TDF's ability to submit a request to the Competition Authority for a revision or removal of all or part of the commitments described in points 2 and 3, in accordance with the provisions of point 46 of the procedural notice of the Authority dated March 2, 2009, relating to competition commitments, particularly if there is a significant change in the relevant legal or factual circumstances for assessing the appropriateness of said commitments.</w:t>
      </w:r>
    </w:p>
    <w:p>
      <w:r>
        <w:t xml:space="preserve">5. Non-circumvention  </w:t>
        <w:br/>
        <w:t>5.1. In the event that TDF is required to transfer any of its SPH framework contracts concluded with public mobile network operators for the provision of hosting services for mobile telephony equipment on pylon sites in metropolitan France to another company within the TDF group, it will ensure that the commitments continue to be respected regarding said contracts.</w:t>
      </w:r>
    </w:p>
    <w:p>
      <w:r>
        <w:t xml:space="preserve">6. Verification of the implementation of commitments  </w:t>
        <w:br/>
        <w:t xml:space="preserve">6.1. TDF commits to sending to the Competition Authority a copy of the dispatch to Orange, SFR, Free, and Bouygues Telecom of the registered letter with acknowledgment of receipt executed in accordance with the commitment described in point 2.  </w:t>
        <w:br/>
        <w:t xml:space="preserve">6.2. TDF commits to providing the Competition Authority, upon written request from the Competition Authority, a copy of the amendment(s) signed in execution of the commitment described in point 2.  </w:t>
        <w:br/>
        <w:t xml:space="preserve">6.3. TDF commits to providing the Competition Authority, upon written request from the Competition Authority, a copy of the new contracts concluded in execution of the commitments described in points 2 and 3.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