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https://www.autoritedelaconcurrence.fr/fr/decision/relative-des-pratiques-mises-en-oeuvre-dans-le-secteur-des-actes-prothetiques-ou-de-pose</w:t>
      </w:r>
    </w:p>
    <w:p>
      <w:r>
        <w:t>Pages translated : 18</w:t>
      </w:r>
    </w:p>
    <w:p/>
    <w:p>
      <w:r>
        <w:rPr>
          <w:b/>
        </w:rPr>
        <w:t>[Pages 1–3]</w:t>
      </w:r>
    </w:p>
    <w:p>
      <w:r>
        <w:t xml:space="preserve">FRENCH REPUBLIC  </w:t>
        <w:br/>
        <w:t xml:space="preserve">Decision No. 16-D-23 of October 24, 2016  </w:t>
        <w:br/>
        <w:t>concerning practices implemented in the sector of prosthetic procedures or implant placements by dental surgeons</w:t>
      </w:r>
    </w:p>
    <w:p>
      <w:r>
        <w:t xml:space="preserve">The Competition Authority (single judge),  </w:t>
        <w:br/>
        <w:t xml:space="preserve">Having regard to the letter, registered on April 30, 2015, under number 15/0044F, by which the National Confederation of Dental Unions referred to the Competition Authority practices implemented in the sector of prosthetic procedures or implant placements by dental surgeons;  </w:t>
        <w:br/>
        <w:t xml:space="preserve">Having regard to Book IV of the Commercial Code;  </w:t>
        <w:br/>
        <w:t xml:space="preserve">Having regard to Decision No. 16-JU-04 dated July 21, 2016, by which the President of the Competition Authority designated, based on the last paragraph of Article L. 461-3 of the Commercial Code, Ms. Claire Favre, Vice-President, to adopt alone the decision to be rendered on the above-mentioned referral;  </w:t>
        <w:br/>
        <w:t xml:space="preserve">Having regard to the other documents in the file;  </w:t>
        <w:br/>
        <w:t xml:space="preserve">The rapporteur, the deputy general rapporteur, the representative of the National Confederation of Dental Unions having been heard during the session of the Competition Authority on October 4, 2016, and the government commissioner having been regularly summoned;  </w:t>
        <w:br/>
        <w:t>Adopts the following decision:</w:t>
      </w:r>
    </w:p>
    <w:p>
      <w:r>
        <w:t xml:space="preserve">I. Findings  </w:t>
        <w:br/>
        <w:t>1. By letter registered on April 30, 2015, under number 15/0044F, the National Confederation of Dental Unions (hereinafter "CNSD") referred to the Competition Authority (hereinafter "the Authority") practices implemented by the company Santéclair (hereinafter "Santéclair") and the dental surgeons affiliated with its care network in the dental care sector, particularly, prosthetic procedures or implant placements by dental surgeons. By a letter registered on September 24, 2015, the CNSD provided additional documents to its referral.</w:t>
      </w:r>
    </w:p>
    <w:p>
      <w:r>
        <w:t xml:space="preserve">A. THE RELEVANT SECTOR OF ACTIVITY  </w:t>
        <w:br/>
        <w:t xml:space="preserve">1. DENTAL SURGERY  </w:t>
        <w:br/>
        <w:t xml:space="preserve">2. Dental surgery is a medical profession regulated by the Public Health Code (hereinafter "CSP").  </w:t>
        <w:br/>
        <w:t xml:space="preserve">a) The profession of dental surgeon  </w:t>
        <w:br/>
        <w:t xml:space="preserve">3. Dental surgeons may prescribe all acts, products, and services necessary for the practice of dental art, which includes the prevention, diagnosis, and treatment of diseases of the mouth, teeth, jaws, and surrounding tissues (Articles L. 4141-1 and L. 4141-2 of the CSP).  </w:t>
        <w:br/>
        <w:t xml:space="preserve">4. Entry into the profession is subject to possession of a French state diploma of Doctor of Dental Surgery or dental surgeon or an equivalent diploma for nationals of a Member State of the European Community or party to the agreement on the European Economic Area (Article L. 4141-3 of the CSP). The practice of this profession is subject to registration on the roll of the Order of Dental Surgeons (Article L. 4111-1 of the CSP).  </w:t>
        <w:br/>
        <w:t xml:space="preserve">5. The practices of dental surgeons are governed by a code of ethics, which is set out in Articles R. 4127-201 and following of the Public Health Code. Violations of the provisions of this code fall under the disciplinary jurisdiction of the order.  </w:t>
        <w:br/>
        <w:t xml:space="preserve">6. The provisions of the code of ethics establish a number of principles: the professional independence of the dental surgeon (Article R. 4127-209), the free choice of the dental surgeon by the patient, the direct payment of fees by the patient to the dental surgeon (Article R. 4127-210), the prohibition of practicing the dental profession as a business and, in particular, the prohibition of all direct and indirect advertising methods (Article R. 4127-215), the prohibition of diverting or attempting to divert clientele (Article R. 4127-262).  </w:t>
        <w:br/>
        <w:t xml:space="preserve">7. As of January 1, 2016, 42,076 dental surgeons were practicing this activity in France, of which 88.6% were in private practice. The profession is subject to a numerus clausus (1,199 in 2016)1.  </w:t>
        <w:br/>
        <w:t>1 Source: http://www.cnsd.fr/actualite/news/618-les-chirurgiens-dentistes-en-chiffres.</w:t>
      </w:r>
    </w:p>
    <w:p>
      <w:r>
        <w:t xml:space="preserve">b) Dental care fees  </w:t>
        <w:br/>
        <w:t xml:space="preserve">8. Dental surgeons provide several types of medical procedures (consultations, dental care, and prosthetic and orthodontic care) whose fees fall under different pricing regimes.  </w:t>
        <w:br/>
        <w:t xml:space="preserve">9. In this regard, the CNSD states in a document related to dental surgeons on its website: "The fees for conservative care (cavities, root canals, etc.) and surgical care (extractions, etc.) are set by the Convention without the possibility of 'exceeding' them. For dental prostheses and orthodontic procedures, Health Insurance only provides reimbursement bases: these are procedures with free fees. Prostheses accounted for 53% of total fees in 2013 and 12% of the activity."  </w:t>
        <w:br/>
        <w:t xml:space="preserve">The conventional fees for conservative and surgical care  </w:t>
        <w:br/>
        <w:t xml:space="preserve">10. Dental care includes conservative care (scaling, treatment of a cavity, root canal, etc.) and surgical care (extraction, etc.), whose fees are set within the framework of a convention concluded with health insurance: the national convention of dental surgeons intended to govern the relations between dental surgeons and health insurance funds (concluded on May 11 and 19, 2006, between, on the one hand, the National Union of Health Insurance Funds and, on the other hand, the National Confederation of Dental Unions and the Union of Young Dental Surgeons Dental Union).  </w:t>
        <w:br/>
        <w:t>11. These responsibility fees (opposable tariff) are binding on contracted practitioners (98% of practitioners) who can only deviate from them in the case of exceptional patient requirements, for example regarding the timing or location of the consultation.</w:t>
      </w:r>
    </w:p>
    <w:p>
      <w:r>
        <w:t xml:space="preserve">The free fees for prosthetic and orthodontic care  </w:t>
        <w:br/>
        <w:t xml:space="preserve">12. Prosthetic and orthodontic care (dental prostheses, implants, and orthodontic treatments) fall under the regime of price freedom, respecting the ethical obligation of dental surgeons who must determine the amount of their fees "with tact and measure" (Article R. 4127-240 of the CSP) and inform the patient in advance through a written estimate.  </w:t>
        <w:br/>
        <w:t xml:space="preserve">13. Two main elements, independent of the nature of the care, can thus be taken into account by the practitioner to determine their fees: their reputation and the financial situation of the patient (Article R. 4127-240 of the CSP).  </w:t>
        <w:br/>
        <w:t xml:space="preserve">14. Dental prostheses are covered by health insurance and reimbursed at 70%, based on so-called responsibility fees which are "well below their actual cost"2.  </w:t>
        <w:br/>
        <w:t xml:space="preserve">15. An exception concerns beneficiaries of complementary universal health coverage (hereinafter "CMU C"): contracted dental surgeons must adhere to maximum fees set by decree for dental prostheses and orthodontic treatments included in the CMU C care basket.  </w:t>
        <w:br/>
        <w:t>2 Senate report made on behalf of the Social Affairs Committee on the bill concerning the operation of care networks created by mutual insurance companies and the implementation modalities of conventions concluded between complementary social protection organizations and health professionals, July 17, 2013.</w:t>
      </w:r>
    </w:p>
    <w:p>
      <w:r>
        <w:rPr>
          <w:b/>
        </w:rPr>
        <w:t>[Pages 4–6]</w:t>
      </w:r>
    </w:p>
    <w:p>
      <w:r>
        <w:t xml:space="preserve">2. THE FINANCING OF DENTAL CARE EXPENSES  </w:t>
        <w:br/>
        <w:t xml:space="preserve">16. In France, dental care expenses amounted to 10.6 billion euros in 2014, representing 5.6% of total consumption of medical care and goods.  </w:t>
        <w:br/>
        <w:t xml:space="preserve">17. The financing of dental care expenses is provided by three categories of stakeholders: health insurance (a), complementary health organizations (b), and households (c). Insured individuals can also benefit from the third-party payment system (d).  </w:t>
        <w:br/>
        <w:t xml:space="preserve">a) Health insurance  </w:t>
        <w:br/>
        <w:t xml:space="preserve">18. The CNSD states on its website in a document related to dentists, updated in April 2016: "The consumption of dental care represents 5.55% of the consumption of medical care and goods, but only 2.36% of the expenses of mandatory health insurance."  </w:t>
        <w:br/>
        <w:t xml:space="preserve">19. The Court of Auditors noted in its report on "oral and dental care" from September 2016 that: "In 2010, the Court drew attention to the disengagement of public authorities from the dental sector and the inequalities in access to care that it fosters. Six years later, it observes that this disengagement has continued, with detrimental consequences for the oral health status of the population, which is often poor compared to comparable European countries."  </w:t>
        <w:br/>
        <w:t xml:space="preserve">20. The Court of Auditors had indicated in a report from September 2010 that this disengagement of health insurance "is mainly explained by the significance of fee overruns that currently concern nearly half of the reimbursable fees." Observing the continuous decline in the share of coverage by health insurance since the 1980s, the Court of Auditors also noted in its aforementioned report: "This trend may have fueled the recurring criticism directed at health insurance for prioritizing the limitation of its reimbursements (...). It would have as a counterpart a wide freedom of pricing in favor of dental surgeons (overruns, non-listed procedures) and thus significant cost transfers to complementary organizations and households."  </w:t>
        <w:br/>
        <w:t xml:space="preserve">21. In its September 2016 report, the Court of Auditors found that health insurance currently covers 33% of dental expenses, down from 36% in 2006.  </w:t>
        <w:br/>
        <w:t xml:space="preserve">b) Complementary health insurance organizations  </w:t>
        <w:br/>
        <w:t xml:space="preserve">22. In return for contributions paid by clients who have taken out health insurance, complementary health insurance organizations (hereinafter "OCAM") cover all or part of the health expenses not reimbursed by health insurance. Approximately 94% of the population is affiliated with an OCAM, either through an individually subscribed contract initiated by the insured or through a collective contract subscribed by a company. The reimbursement guarantees for health care and medical goods vary according to the contracts.  </w:t>
        <w:br/>
        <w:t xml:space="preserve">23. OCAM can be classified into three categories based on their legal regime:  </w:t>
        <w:br/>
        <w:t xml:space="preserve">- mutuals, which are non-profit private law companies registered in the national mutuals register that can only operate in the field of personal insurance and are governed by the mutuality code;  </w:t>
        <w:br/>
        <w:t xml:space="preserve">- insurance companies, which are private law legal entities that primarily operate in the field of property insurance and are governed by the insurance code;  </w:t>
        <w:br/>
        <w:t xml:space="preserve">- provident institutions, which are non-profit private law companies that primarily operate in the field of collective provident insurance and can only conduct their activities in the field of personal insurance. These institutions are governed by the social security code or the rural code (for those operating in the agricultural sector).  </w:t>
        <w:br/>
        <w:t xml:space="preserve">24. This is a particularly fragmented sector where mutuals are predominant.  </w:t>
        <w:br/>
        <w:t xml:space="preserve">25. Under Law No. 2013-504 of June 14, 2013, relating to the security of employment (known as ANI), all companies must offer their employees, since January 1, 2016, complementary health insurance. This new obligation has affected approximately 500,000 structures and nearly 4 million employees.  </w:t>
        <w:br/>
        <w:t xml:space="preserve">26. In its September 2016 report, the Court of Auditors indicated that complementary insurances have become the primary funder of dental care, covering 39% of dental expenses.  </w:t>
        <w:br/>
        <w:t xml:space="preserve">c) Households  </w:t>
        <w:br/>
        <w:t xml:space="preserve">27. Households finance the remaining part of the expenses, referred to as the "out-of-pocket" expenses.  </w:t>
        <w:br/>
        <w:t xml:space="preserve">28. The Court of Auditors noted in its September 2016 report that the share of out-of-pocket expenses for households is currently 25% of dental expenses.  </w:t>
        <w:br/>
        <w:t xml:space="preserve">d) The third-party payment system  </w:t>
        <w:br/>
        <w:t xml:space="preserve">29. For their dental expenses, insured individuals can benefit from the "third-party payment" system. This system relieves the insured, under certain conditions, from advancing the reimbursable amounts, which are then paid directly to the healthcare professional by the health insurance and/or the concerned OCAM.  </w:t>
        <w:br/>
        <w:t xml:space="preserve">30. This system requires the establishment of agreements with healthcare professionals. OCAM must also implement the necessary tools for monitoring reimbursement requests, managing invoices, and teletransmission services. It is common for them to turn to specialized companies for this purpose.  </w:t>
        <w:br/>
        <w:t xml:space="preserve">3. THE CARE NETWORKS  </w:t>
        <w:br/>
        <w:t xml:space="preserve">31. As the main contributors to the financing of certain health expenses, several OCAM have sought to develop new forms of partnership with professionals, going beyond the third-party payment system and aiming to limit the amount of these expenses.  </w:t>
        <w:br/>
        <w:t xml:space="preserve">32. In recent years, OCAM have developed networks of approved professionals with the objective of offering better quality/price ratios to their insured individuals. Most of these networks have been established within the framework of partnerships between several OCAM, and their management has been entrusted to third-party companies, such as Santéclair, acting as a platform.  </w:t>
        <w:br/>
        <w:t xml:space="preserve">33. The establishment of a network is practically reflected in the existence of partnership agreements between, on one hand, healthcare professionals and, on the other hand, the network manager. Thus, when OCAM have delegated the management of the network to a platform, agreements are concluded between the platform and each of the selected dental surgeons.  </w:t>
        <w:br/>
        <w:t xml:space="preserve">34. The agreements concluded between network managers and selected dental surgeons generally provide for commitments from the parties regarding the orientation of insured individuals towards approved dental surgeons, the establishment of a third-party payment system for the benefit of the insured, the quality of services rendered, and adherence to certain pricing moderation. Indeed, most networks have maximum pricing grids per product that dental surgeons cannot exceed for network members.  </w:t>
        <w:br/>
        <w:t xml:space="preserve">35. Law No. 2014-57 of January 27, 2014, relating to the implementation modalities of agreements concluded between complementary health insurance organizations and healthcare professionals, establishments, and services (known as the Le Roux law) has strengthened care networks by extending to mutuals the right, already recognized for insurance companies and provident institutions, to provide enhanced reimbursements for members who freely choose to receive care within the networks they have established with healthcare professionals.  </w:t>
        <w:br/>
        <w:t xml:space="preserve">36. It also introduced Article L. 863-8 of the social security code, which states that partnership agreements "may not include any stipulation infringing on the fundamental right of each patient to freely choose their professional."  </w:t>
        <w:br/>
        <w:t xml:space="preserve">37. The Authority considers that the activity of care networks is rather favorable to the competitive dynamics of medical care markets. Indeed, in its opinion No. 09-A-46 of September 9, 2009, regarding the effects on competition of the development of approved care networks, the Authority expressed general support, provided that the selection process for healthcare professionals is based on merit-based competition, for the establishment of care networks. It indeed considered that, focused on regulating supply, and based on a shared interest between the complementary organization – which seeks to better control its costs – and the insured – who wish to benefit from zero or limited out-of-pocket expenses and the lowest possible insurance premium – the establishment of care networks subjects professionals wishing to be selected to the obligation to adhere to pricing moderation commitments. Furthermore, the Authority considered that the development of agreements is likely to lead to a more competitive functioning of the market, as professionals not contracted by OCAM will be incentivized to offer either additional services (such as deferred payment conditions), or superior quality of services, or attractive prices, to continue attracting insured individuals.  </w:t>
        <w:br/>
        <w:t>38. In the same vein, the Court of Auditors indicated in its September 2016 report that: "The development of dental care networks is likely to make the sector more transparent and competitive, in a field where the formation of prices for prosthetic procedures does not adhere to efficient market mechanisms and leads to pricing levels that are not sustainable for the majority of patients."</w:t>
      </w:r>
    </w:p>
    <w:p>
      <w:r>
        <w:rPr>
          <w:b/>
        </w:rPr>
        <w:t>[Pages 7–9]</w:t>
      </w:r>
    </w:p>
    <w:p>
      <w:r>
        <w:t>39. Today, in the dental care sector, the main networks are as follows: Santéclair, Itelis, Sévéane, Carte Blanche, and Istya (reference 444).</w:t>
      </w:r>
    </w:p>
    <w:p>
      <w:r>
        <w:t>B. THE ORGANIZATIONS AND COMPANIES CONCERNED</w:t>
      </w:r>
    </w:p>
    <w:p>
      <w:r>
        <w:t>1. THE COMPLAINANT: THE CNSD</w:t>
      </w:r>
    </w:p>
    <w:p>
      <w:r>
        <w:t>40. Established in 1935, the CNSD is the national majority union of the profession. It comprises 14,500 self-employed dental surgeons and consists of 100 departmental dental unions present throughout the national territory.</w:t>
      </w:r>
    </w:p>
    <w:p>
      <w:r>
        <w:t>41. According to its statutes, the CNSD "aims to defend the material and moral interests of dental surgeons and the profession" (reference 33).</w:t>
      </w:r>
    </w:p>
    <w:p>
      <w:r>
        <w:t>2. THE RESPONDENT: SANTÉCLAIR</w:t>
      </w:r>
    </w:p>
    <w:p>
      <w:r>
        <w:t>42. Established in 2003, Santéclair is a subsidiary of several complementary health insurance organizations, originating from insurance companies, mutuals, or provident institutions: Allianz, MAAF-MMA, IPECA Prévoyance, and the General Mutual of the Police.</w:t>
      </w:r>
    </w:p>
    <w:p>
      <w:r>
        <w:t>43. Santéclair is present in several care sectors: optics, dental care, audioprosthetics, hospitalization, and wellness/prevention. On its website, Santéclair states: "Thanks to recognized pricing negotiations considered the most effective in the market, the savings made by insured individuals can reach 40% in optics, 20% in dental care, 40% in dental implantology, or even 35% on audioprosthetics, with equivalent services and quality."</w:t>
      </w:r>
    </w:p>
    <w:p>
      <w:r>
        <w:t>44. Santéclair offers its services to 8.5 million insured individuals, of whom 3.5 million are covered by corporate contracts. It employs 260 staff members, including 160 health advisors and 17 health professionals. Santéclair has a network of over 7,000 health professionals, including 3,000 dental surgeons and 30 dental implantologists. It handles an average of 105,000 cases in the network each year concerning dental care.</w:t>
      </w:r>
    </w:p>
    <w:p>
      <w:r>
        <w:t>C. THE CONDEMNED PRACTICES</w:t>
      </w:r>
    </w:p>
    <w:p>
      <w:r>
        <w:t>45. According to the CNSD, Santéclair engages in denigrating practices, through an agreement with the dental surgeons affiliated with its care network, with the aim of capturing the clientele of non-affiliated dental surgeons.</w:t>
      </w:r>
    </w:p>
    <w:p>
      <w:r>
        <w:t>1. THE ANALYSIS OF CARE QUOTES OF INSURED INDIVIDUALS BY SANTÉCLAIR</w:t>
      </w:r>
    </w:p>
    <w:p>
      <w:r>
        <w:t>46. Among the services offered by Santéclair is a "Quote Analysis Advisory" service, within which insured individuals submit care quotes received from dental surgeons.</w:t>
      </w:r>
    </w:p>
    <w:p>
      <w:r>
        <w:t>47. Santéclair's website states: "In optics, refractive surgery, dental surgery, implantology, audioprosthetics, or scheduled hospitalization, have your quotes analyzed by our specialists. If you wish to consult a practitioner who does not belong to one of the Santéclair networks, we offer you our quote analysis advisory service.</w:t>
        <w:br/>
        <w:t>• This service allows you to verify that your health expenditure is appropriate to your needs while paying the price usually practiced in your region.</w:t>
        <w:br/>
        <w:t>• Our advisors analyze the quote provided by your usual practitioner, give you an objective opinion, and offer advice to reduce your out-of-pocket expenses within 72 hours.</w:t>
        <w:br/>
        <w:t>• You can send us your quotes here."</w:t>
      </w:r>
    </w:p>
    <w:p>
      <w:r>
        <w:t>48. Thus, within the framework of this service, an insured patient who has consulted a dental surgeon sends Santéclair the care quote prepared by the practitioner. A Santéclair advisor analyzes this quote and the level of reimbursement for the insured. The advisor contacts the insured patient, first by phone, then by mail, to inform them of the proposed reimbursement level on the examined quote and to offer, if applicable and upon request, an alternative solution to reduce their out-of-pocket expenses: the insured then receives a letter containing a list of Santéclair partner practitioners in dentistry around their home.</w:t>
      </w:r>
    </w:p>
    <w:p>
      <w:r>
        <w:t>49. The CNSD considers that the employees of Santéclair – who are not dental surgeons – are not capable, given their training and level of competence, of making a price comparison in the absence of technical knowledge of medical procedures. It asserts in its complaint that "to better deceive the patient, the operators of SANTÉCLAIR do not hesitate to use phrases that may lead one to believe that the medical analysis of their case has been conducted by competent and authorized individuals."</w:t>
      </w:r>
    </w:p>
    <w:p>
      <w:r>
        <w:t>50. According to the CNSD, this practice "inevitably leads to a diversion of clientele to the benefit of SANTÉCLAIR via the dental surgeons who are affiliated with it," and these behaviors would constitute deception towards patients, the illegal practice of dental surgery, and even an unfair commercial practice.</w:t>
      </w:r>
    </w:p>
    <w:p>
      <w:r>
        <w:t>2. SANTÉCLAIR'S COMMUNICATION</w:t>
      </w:r>
    </w:p>
    <w:p>
      <w:r>
        <w:t>a) The press release from the Citizen Observatory on out-of-pocket health expenses</w:t>
      </w:r>
    </w:p>
    <w:p>
      <w:r>
        <w:t>51. On November 25, 2013, Santéclair, the Inter-Associative Collective on Health, and the magazine 60 million consumers (published by the National Institute of Consumption) jointly published – within the framework of the Citizen Observatory on out-of-pocket health expenses (partnership created in early 2013) – a press release titled "Dental Care: Unacceptable Abuses" (references 125 to 141).</w:t>
      </w:r>
    </w:p>
    <w:p>
      <w:r>
        <w:t>52. This press release denounces the significance of out-of-pocket expenses for dental care. Regarding conservative care and dental extractions, the press release condemns the behaviors of dental surgeons – primarily in Paris – practicing illegal fee overruns. Concerning prosthetic procedures, the Observatory notes that dental surgeons favor the most expensive solutions for techniques that are equivalent in quality of care. The press release further emphasizes that the out-of-pocket expenses for patients are increased by so-called "non-reimbursed" procedures (implants and certain periodontal procedures that health insurance does not reimburse) and that orthodontic care is also characterized by significant fee overruns.</w:t>
      </w:r>
    </w:p>
    <w:p>
      <w:r>
        <w:t>53. According to the CNSD, this press release – of which Santéclair would be "partially the author" – has a "deceptive" nature and contains "the following denigrating statements" regarding prosthetic procedures:</w:t>
        <w:br/>
        <w:t>- "It also happens that less expensive solutions exist with quality of care recognized as equivalent... without being favored by many dentists in their therapeutic choices" (reference 130);</w:t>
        <w:br/>
        <w:t>- "Another unjustified practice in terms of the quality of dental care, but which results in a significant additional cost for users, is the generalization of placing an inlay-core before placing a crown. This practice is justified when the tooth is too damaged to receive the crown directly. However, since 2006, it has tended to become almost systematic, as it concerns more than 8 crowns out of 10" (reference 131).</w:t>
      </w:r>
    </w:p>
    <w:p>
      <w:r>
        <w:t>54. The CNSD considers that this press release "gives the impression of disseminating official data that leads the consumer to turn away from their usual practitioner," while "the press release is supported by figures of which the Observatory is the source itself."</w:t>
      </w:r>
    </w:p>
    <w:p>
      <w:r>
        <w:t>55. Regarding the effects, the CNSD notes that this press release "has been picked up by numerous media, giving it a harmful impact where only the aspect of 'fee abuse' by dental surgeons is retained" (see for example reference 143).</w:t>
      </w:r>
    </w:p>
    <w:p>
      <w:r>
        <w:t>b) Communication via social networks</w:t>
      </w:r>
    </w:p>
    <w:p>
      <w:r>
        <w:t>56. Santéclair's Facebook page shares press articles about the "abuses" of dental fees or the "excessive fees" of dental care (reference 172) and displays a caricature showing a health professional indicating to the patient that he thinks he can proceed with the removal of their checkbook (reference 176).</w:t>
      </w:r>
    </w:p>
    <w:p>
      <w:r>
        <w:t>57. Santéclair's blog also features studies and surveys published regarding fees and the quality of care in orthodontics and presents a caricature depicting a patient mailing their quote, which falls into a trash bin (reference 174).</w:t>
      </w:r>
    </w:p>
    <w:p>
      <w:r>
        <w:t>58. According to the CNSD, Santéclair uses "the denigration of health professionals" as "the main tool for commercial promotion" via its Facebook page and blog. It considers that "under the pretext of fighting against alleged fee overruns, SANTÉCLAIR permanently and insidiously denigrates dental surgeons."</w:t>
      </w:r>
    </w:p>
    <w:p>
      <w:r>
        <w:t>c) Santéclair's commercial advertising</w:t>
      </w:r>
    </w:p>
    <w:p>
      <w:r>
        <w:t>59. The CNSD accuses Santéclair of advertising for partner dental surgeons, who are bound by ethical rules of a regulatory nature prohibiting certain commercial practices, such as advertising (see paragraph 6 above).</w:t>
      </w:r>
    </w:p>
    <w:p>
      <w:r>
        <w:t>60. According to the CNSD, Santéclair's "advertising promotion" occurs at two levels:</w:t>
        <w:br/>
        <w:t>- by soliciting patients with each request for information (see paragraphs 46 and following above);</w:t>
      </w:r>
    </w:p>
    <w:p>
      <w:r>
        <w:rPr>
          <w:b/>
        </w:rPr>
        <w:t>[Pages 10–12]</w:t>
      </w:r>
    </w:p>
    <w:p>
      <w:r>
        <w:t xml:space="preserve">- by distributing leaflets, advertisements, and announcements on its website (for example: "The Santéclair advantage: a traceability certificate indicating the origin of the prosthesis. The Santéclair advantage: the dentists in the network have specialized practice in implantology and have high-quality technical facilities" (reference 178)).  </w:t>
        <w:br/>
        <w:t xml:space="preserve">61. Thus, according to the complainant, Santéclair's commercial advertising "distorts the free play of competition within the profession and creates an obvious distortion that penalizes dental surgeons who have chosen not to enter into an agreement with SANTÉCLAIR."  </w:t>
        <w:br/>
        <w:t xml:space="preserve">II. Discussion  </w:t>
        <w:br/>
        <w:t xml:space="preserve">62. Article L. 462-8 of the Commercial Code provides that the Authority may: "reject the referral by reasoned decision when the facts invoked are not supported by sufficiently probative elements."  </w:t>
        <w:br/>
        <w:t xml:space="preserve">A. REMINDER OF PRINCIPLES  </w:t>
        <w:br/>
        <w:t xml:space="preserve">1. ON THE ESTABLISHMENT OF CARE NETWORKS  </w:t>
        <w:br/>
        <w:t xml:space="preserve">63. The Authority considers that the activity of care networks is rather favorable to the competitive dynamics of medical care markets (see paragraph 37 above). In the same vein, the Court of Auditors has indicated that the development of care networks is likely to make the sector more transparent and competitive (see paragraph 38 above).  </w:t>
        <w:br/>
        <w:t xml:space="preserve">64. To qualify an agreement as an anti-competitive agreement, it must be shown that the agreement of wills concerns a practice with an anti-competitive object or effect (Decision No. 16-D-12 cited above, paragraph 73, regarding the Carte Blanche Partenaire care network).  </w:t>
        <w:br/>
        <w:t xml:space="preserve">65. However, in its opinion No. 09-A-46 on care networks and its decision No. 13-D-05 Kalivia, the Authority considered that, since the agreements did not contain "black clauses," the establishment of care networks was not a vertical agreement by object. Indeed, care networks act on behalf of OCAMs which themselves "act [...] to a certain extent as 'clients by subrogation' of the insured," which implies that the behavior of an end client cannot, by its very nature, restrict competition. Furthermore, the referencing of products likely to be sold in a network "is objectively justified by legitimate considerations," "motivated by the desire to offer the insured [...] quality products and services at competitive prices" (Opinion No. 09-A-46 of September 9, 2009, regarding the effects on competition of the development of approved care networks, paragraphs 69 to 71, and the Authority's decision No. 13-D-05 of February 26, 2013, regarding practices implemented by the company Kalivia in the optics and eyewear sector, paragraphs 161, 170, and 171. See also decision No. 16-D-12 of June 9, 2016, regarding practices implemented by Carte Blanche Partenaires in the optics sector, paragraph 75).  </w:t>
        <w:br/>
        <w:t xml:space="preserve">2. ON THE CRITERIA FOR ANALYZING DENIGRATION  </w:t>
        <w:br/>
        <w:t xml:space="preserve">66. The Authority is competent to qualify a practice as denigration with regard to competition rules in cases where it results notably from an agreement. A concerted practice aimed at denigrating a competitor to drive them out of the market was thus sanctioned by the Competition Council (Decision No. 04-D-75 of December 22, 2004, concerning practices implemented in the market for computer cables for local networks).  </w:t>
        <w:br/>
        <w:t xml:space="preserve">67. According to the consistent decision-making practice of the Authority, denigration consists of publicly discrediting an identified person, product, or service. It is distinguished from criticism insofar as it emanates from an economic actor seeking to gain a competitive advantage by penalizing their competitor (Decision No. 09-D-14 of March 25, 2009, regarding practices implemented in the electricity supply sector, paragraph 57, confirmed by a ruling of the Paris Court of Appeal of March 23, 2010. See also, decisions No. 12-D-19 of September 26, 2012, regarding practices in the teeth whitening and bleaching sector, paragraph 92, and No. 13-D-21 of December 18, 2013, regarding practices implemented in the French market for high-dose buprenorphine marketed in the community, paragraph 454, confirmed by a ruling of the Paris Court of Appeal of March 26, 2015).  </w:t>
        <w:br/>
        <w:t xml:space="preserve">68. To assess the existence of a practice of denigration, the Authority first seeks to verify whether the commercial discourse of its author is based on objective and verifiable findings or whether it consists of unverified assertions.  </w:t>
        <w:br/>
        <w:t xml:space="preserve">69. The Authority also relies on commercial case law regarding denigration (cited Decision No. 12-D-19, paragraphs 94 and following). Thus, the following do not constitute wrongful practices of denigration: a discourse presented in a humorous and caricatural form, in a moderate and non-aggressive manner (see the ruling of the Paris Commercial Court, 16th Ch., November 18, 1996, regarding denigration against the company operating the Channel Tunnel; see the ruling of the Paris Court of Appeal, 1st Ch., March 14, 1995, confirmed by the plenary assembly of the Court of Cassation on July 12, 2000, No. 99-19004, regarding the denigration of a car brand in the context of an imaginary news journal) or even media statements, moderated in form, analyzing a critical assessment of a competitor's commercial policy (ruling of the Paris Court of Appeal, 4th Ch., sect. A, November 24, 2004). In its decision No. 10-D-32 of November 16, 2010, regarding practices implemented in the pay television sector, the Authority considered that a lively discourse, reflecting a normal rivalry between companies, does not fall under denigration.  </w:t>
        <w:br/>
        <w:t xml:space="preserve">B. ANALYSIS OF THE PRACTICES DENOUNCED BY THE CNSD  </w:t>
        <w:br/>
        <w:t xml:space="preserve">1. THE PARTNERSHIP AGREEMENT BETWEEN SANTÉCLAIR AND AFFILIATED DENTAL SURGEONS  </w:t>
        <w:br/>
        <w:t xml:space="preserve">70. For the CNSD, the agreement of wills between Santéclair and the affiliated dental surgeons would be materialized by the partnership agreement linking the former to the healthcare professionals adhering to its care network.  </w:t>
        <w:br/>
        <w:t xml:space="preserve">71. The Authority notes, however, that the complainant provides no probative elements allowing for the suspicion of any anti-competitive object or effect of this agreement.  </w:t>
        <w:br/>
        <w:t xml:space="preserve">72. Indeed, the "dental practitioner network partnership agreement" in question specifies the commitments of the parties, notably in terms of quality of care, traceability, or fee setting, but does not contain any provision aimed at denigrating non-affiliated dental surgeons or even at valuing the quality of affiliated members.  </w:t>
        <w:br/>
        <w:t xml:space="preserve">73. On the contrary, the preamble of the contract recalls that "within the framework of the patient's free choice of practitioner, beneficiaries have no obligation, due to their status as insured persons in complementary health who have entered into an agreement with Santéclair, to turn to the signatories of the partnership agreements" (reference 368), in accordance with Law No. 2014-57 of January 27, 2014 (see paragraph 36 above).  </w:t>
        <w:br/>
        <w:t xml:space="preserve">74. The partnership agreement further specifies that it "contains no exclusivity, each party remains free to enter into agreements or conventions with other partners" (reference 368): it therefore does not contain any provision likely to limit the possibility for competing networks to enter the market. Finally, it includes a pricing commitment from the healthcare professional to "limit their fees" by implementing maximum fee schedules (references 371 and 372), which is likely to promote a decrease in prices.  </w:t>
        <w:br/>
        <w:t xml:space="preserve">75. Furthermore, the Authority notes that Santéclair's dental care network is open to all healthcare professionals wishing to join, without a numerus clausus.  </w:t>
        <w:br/>
        <w:t xml:space="preserve">76. Consequently, the CNSD provides no elements capable of demonstrating that the partnership agreement contains anti-competitive provisions, and more particularly those aimed at denigrating non-affiliated dental surgeons.  </w:t>
        <w:br/>
        <w:t xml:space="preserve">2. THE ANALYSIS OF ESTIMATES OF CARE FOR INSURED PERSONS BY SANTÉCLAIR  </w:t>
        <w:br/>
        <w:t xml:space="preserve">77. As a preliminary matter, the alleged offense of illegal practice of dental surgery by the CNSD does not fall within the Authority's jurisdiction.  </w:t>
        <w:br/>
        <w:t xml:space="preserve">78. Moreover, as the Authority noted in its opinion No. 09-A-46 on care networks: "all partnerships between healthcare professionals and OCAMs are based on the stated desire to allow insured persons to benefit from services at moderate cost" (paragraph 108) and this, through "the orientation of the insured of the concerned OCAM towards the healthcare professionals who are members of the network" (paragraph 36). The "Estimate Analysis Advisory" service of Santéclair corresponds to this objective.  </w:t>
        <w:br/>
        <w:t xml:space="preserve">79. Regarding the process of analyzing estimates carried out by OCAMs, the Authority indicated in this same opinion: "the Authority can only wish for the establishment of evaluation processes that effectively provide guarantees of objectivity, notably by taking into account the opinions of several practitioners representative of different sensitivities or medical schools, but it cannot make precise recommendations in this regard" (paragraph 119).  </w:t>
        <w:br/>
        <w:t xml:space="preserve">80. In this case, the complainant provides no probative elements suggesting the existence of a concerted action between Santéclair and the dental surgeons aimed at calling into question the integrity of non-affiliated dental surgeons regarding the determination of their fees and casting suspicion on their activity through this "Estimate Analysis Advisory" service.  </w:t>
        <w:br/>
        <w:t>81. First of all, the Authority notes that Santéclair's website indicates that the "Estimate Analysis Advisory" service is a service through which Santéclair assesses – not, as alleged by the CNSD, "the adequacy of care to the needs of the insured patient" – but the adequacy of healthcare expenses to the needs of the patient, by proposing, where appropriate,</w:t>
      </w:r>
    </w:p>
    <w:p>
      <w:r>
        <w:rPr>
          <w:b/>
        </w:rPr>
        <w:t>[Pages 13–15]</w:t>
      </w:r>
    </w:p>
    <w:p>
      <w:r>
        <w:t xml:space="preserve">solutions to reduce their out-of-pocket expenses (see paragraph 48 above). No element of the file allows us to consider that insured patients would be misled into believing that the advisors at Santéclair had conducted a "medical analysis of their case."  </w:t>
        <w:br/>
        <w:t xml:space="preserve">82. Furthermore, it appears from the documents in the file that Santéclair conducts an analysis of the quotes provided by insured patients in relation to the "typically observed" prices in their region. The CNSD does not provide any convincing evidence to demonstrate that the analysis of quotes compared to the market prices, conducted within the framework of this "Quote Analysis Advisory" service, would not be objective and is based on unverified assertions.  </w:t>
        <w:br/>
        <w:t xml:space="preserve">83. The elements submitted to the file by the CNSD also show that when a patient submits a quote from a practitioner whose fees correspond to those typically observed in the region, Santéclair informs the patient and does not direct them to another practitioner (reference 265: "We are pleased to inform you that the fees proposed by your practitioner correspond to those typically observed in your region for this type of procedure").  </w:t>
        <w:br/>
        <w:t xml:space="preserve">84. Finally, regarding the referral of insured individuals to members of the Santéclair care network, the Authority notes that Article 3.4 of the partnership agreement concluded between Santéclair and the affiliated dental surgeons specifies that "the contact details of the various signatories geographically closest will be communicated only at the request of the beneficiary [the insured patient], in respect of their free choice of practitioner and the public health code, and without their number being less than three" (reference 370).  </w:t>
        <w:br/>
        <w:t xml:space="preserve">85. It thus appears that Santéclair's services communicate to insured patients the contact details of dental surgeons affiliated with the care network if they request it, as evidenced by several documents in the file (see for example reference 123), without the CNSD providing serious elements demonstrating otherwise.  </w:t>
        <w:br/>
        <w:t xml:space="preserve">86. It follows from the above that the CNSD's allegations regarding the anti-competitive nature of Santéclair's "Quote Analysis Advisory" service are not supported by sufficiently convincing elements.  </w:t>
        <w:br/>
        <w:t xml:space="preserve">3. THE COMMUNICATION FROM SANTÉCLAIR  </w:t>
        <w:br/>
        <w:t xml:space="preserve">a) The press release from the Citizen Observatory on out-of-pocket health expenses  </w:t>
        <w:br/>
        <w:t xml:space="preserve">On the absence of an identified target  </w:t>
        <w:br/>
        <w:t xml:space="preserve">87. The press release from the Observatory generally states the importance of out-of-pocket expenses in dental care, resulting from practices of dental surgeons that the Observatory deems questionable (fee overruns, costly therapeutic choices, etc.).  </w:t>
        <w:br/>
        <w:t xml:space="preserve">88. The Authority notes that the press release targets the entire profession of dental surgeons: it denounces professional practices that may potentially concern a very large number of dental surgeons, without specifically targeting a particular category of professionals.  </w:t>
        <w:br/>
        <w:t xml:space="preserve">89. Neither the passages cited by the CNSD in its complaint (see paragraph 53 above) nor the other developments in the press release specifically target dental surgeons not affiliated with Santéclair. The information contained in this press release does not allow for the identification of dental surgeons affiliated with the Santéclair care network as adopting practices different from those denounced by the Observatory.  </w:t>
        <w:br/>
        <w:t xml:space="preserve">On the objectivity of the discourse  </w:t>
        <w:br/>
        <w:t xml:space="preserve">90. First, it should be noted that this press release was published by the Citizen Observatory on out-of-pocket health expenses. This observatory includes – in addition to Santéclair – the magazine 60 millions de consommateurs (published by the National Institute of Consumption) and the Inter-Associative Collective on Health, which brings together 43 patient and healthcare user associations such as the National League Against Cancer, Aides, Doctors of the World, etc. (references 364 and 365).  </w:t>
        <w:br/>
        <w:t xml:space="preserve">91. This is not a discourse emanating solely from Santéclair, but from three partners (operating in the field of health and consumer advice) who have come together for a joint exploitation of statistical data on health expenditures in France.  </w:t>
        <w:br/>
        <w:t xml:space="preserve">92. Article 1 of the partnership agreement specifies that the data used in the Observatory's work are, in particular, aggregated data from the national inter-regime health insurance information system (hereinafter "SNIIRAM") (reference 364). Such data present strong guarantees of reliability.  </w:t>
        <w:br/>
        <w:t xml:space="preserve">93. In this regard, the CNSD does not provide any convincing evidence to cast doubt on the quality and objectivity of the Observatory's work.  </w:t>
        <w:br/>
        <w:t xml:space="preserve">94. Secondly, the Authority notes that the press release is transparent about the source of the data used in its study, which are both public (Institute of Health Data and SNIIRAM) and private (averaging of quotes received by Santéclair from insured patients).  </w:t>
        <w:br/>
        <w:t xml:space="preserve">95. Indeed, the press release states on page 2: "The majority of the figures presented in this file are derived from public health data to which the CISS has access as a member of the Institute of Health Data (IDS), and based on the analysis of data for the year 2012. When figures from other data are presented, they are accompanied by their source" (reference 126). Similarly, on page 8: "The figures we have in the context of our Citizen Observatory on out-of-pocket health expenses are mainly derived from SNIIRAM data, recorded by Social Security" and "the 177,000 quotes analyzed by Santéclair provide some additional information" (reference 132) or again on page 14: "The figures from the Observatory come from anonymized databases. These are derived from the national inter-regime health insurance information system (SNIIRAM), to which the CISS has access as a member of the Institute of Health Data (IDS) and which it has decided to use in the context of a joint work" (reference 138).  </w:t>
        <w:br/>
        <w:t xml:space="preserve">96. The CNSD is therefore not justified in claiming that "the press release is supported by figures of which the Observatory is the source itself." It is also not justified in claiming that this press release "gives the impression of disseminating official data," as the terms of the document clearly specify that it is an analysis conducted by the Observatory based on the private and public health data to which the partners have access in the context of their respective activities.  </w:t>
        <w:br/>
        <w:t xml:space="preserve">97. The press release does not attempt in any way to mislead the reader about the origin and value of the data used by the Observatory.  </w:t>
        <w:br/>
        <w:t xml:space="preserve">98. Moreover, an article from the newspaper Le Monde dated November 25, 2013, which reproduces the content of the Observatory's study, clearly shows that there was no ambiguity regarding the origin of the data used, as it states that the Observatory "analyzed the data from health insurance and 177,000 quotes" and that this study "was made possible by the Inter-Associative Collective on Health: it is indeed one of the few actors able to access the anonymized databases of health insurance" (references 328 and 330).  </w:t>
        <w:br/>
        <w:t xml:space="preserve">99. Furthermore, contrary to what the CNSD indicates, nothing in the press release suggests that the Observatory is "an official body emanating from the Ministry of Health," as the document precisely states the identity and contact details of the partners who created the Observatory (reference 125).  </w:t>
        <w:br/>
        <w:t xml:space="preserve">100. Thirdly, the CNSD does not provide serious elements that would lead the Authority to consider that the disputed assertions in the press release would constitute unverified assertions that have been relayed by the press.  </w:t>
        <w:br/>
        <w:t xml:space="preserve">101. First, the precise identification of its sources, particularly those of public origin, serves to demonstrate their reliability and objectivity. Secondly, while the analysis conducted by the Observatory is critical, the discourse remains moderate. Finally, the "drifts" denounced by the Observatory correspond to a reality pointed out by public authorities.  </w:t>
        <w:br/>
        <w:t xml:space="preserve">102. Thus, regarding the practices of fee overruns for conservative care in Paris denounced in the press release, these are confirmed by the president of the CNSD, who stated on this subject: "It is known, these practices have become common in Paris" (reference 329). The CNSD thus acknowledges the existence of fee overruns concerning conservative care.  </w:t>
        <w:br/>
        <w:t xml:space="preserve">103. More specifically regarding prosthetic care, the Court of Auditors noted in its September 2010 report: "There is a continued increase in fee overruns for prosthetic care with an annual growth rate of 3.4% in 2007, then 3.8% in 2008, mainly attributable to the rise in average prices since the activity stagnated in volume (+0.4%). For prosthetic care, the weight of overruns in total fees increased, rising from 70.7% in 2006 to 72.2% in 2008."  </w:t>
        <w:br/>
        <w:t xml:space="preserve">104. The same report noted regarding the prices of dental prostheses: "(...) the fees related to prosthetic care are very variable. They depend on the quality of the materials (...), and the relative difficulty of the task, but also on the reputation of the dental surgeon, the neighborhood where they practice, the income level of the patient (hence the high prices in Paris, Nice, and a few other large cities) and, frequently, the level of coverage provided by their complementary health insurance. It is almost standard for the practitioner to inquire about this, so that this complementary coverage contributes de facto to driving prices up and benefits the healthcare provider."  </w:t>
        <w:br/>
        <w:t xml:space="preserve">105. Similarly, in its September 2016 report, the Court of Auditors emphasized the need to "imperatively control the drift of costs for prosthetic care."  </w:t>
        <w:br/>
        <w:t>106. On the occasion of its opinion No. 12-A-06 of February 29, 2012, regarding the effects on competition of the exclusivity of the sale of dental prostheses by dental surgeons, the Authority noted on this point: "According to the HCAAM, 'the prices of prostheses often deviate significantly from the responsibility tariffs.' The High Council showed that for an average dental prosthesis expenditure of €970.7 per patient in 2007, the average reimbursement was 20.1%, with an overrun representing 71.7% of the average expenditure" and considered, among the proposed remedies, that "commitments regarding the pricing of prosthetic procedures" should be taken.</w:t>
      </w:r>
    </w:p>
    <w:p>
      <w:r>
        <w:rPr>
          <w:b/>
        </w:rPr>
        <w:t>[Pages 16–18]</w:t>
      </w:r>
    </w:p>
    <w:p>
      <w:r>
        <w:t xml:space="preserve">107. With regard specifically to the unjustified placement practices of "inlay-core," the CNSD does not provide any elements to establish that the statements in the Observatory's press release are erroneous.  </w:t>
        <w:br/>
        <w:t xml:space="preserve">108. On this point, the Authority particularly notes that in 2006, health insurance set a ratio of 86% for chairside reconstructions (i.e., 8.6 reconstructions performed at regulated rates for every 10 performed at free rates). At that time, it was 78%. By 2012, this ratio had fallen to 58% (reference 297). These data indeed show a growing generalization of the placement of "inlay-core" at free rates, to the detriment of care services at regulated rates. They also attest to the failure of the 2006 convention.  </w:t>
        <w:br/>
        <w:t xml:space="preserve">109. In the same vein, the Court of Auditors noted in its report of September 2016 that: "Despite the conventional commitments aimed at favoring, with comparable effectiveness, the least expensive therapeutic strategies, the inlay-core has supplanted the acts of dental reconstruction after its rate was uncapped. While the convention planned to increase the number of dental reconstructions from 8 in 2006 to 8.8 in 2011 for every 10 inlay-cores, their proportion instead dropped to 5.8 in 2013. In 2015, dental reconstructions no longer even ranked among the ten most frequent treatments, while the inlay-core became the most frequent of the ten non-reimbursable acts."  </w:t>
        <w:br/>
        <w:t>110. The CNSD's allegations regarding the anti-competitive nature of the Observatory's press release are therefore not supported by sufficiently convincing evidence.</w:t>
      </w:r>
    </w:p>
    <w:p>
      <w:r>
        <w:t xml:space="preserve">b) Communication on social networks  </w:t>
        <w:br/>
        <w:t xml:space="preserve">111. Firstly, as noted in paragraphs 56 and 57 above, the press articles denounced by the CNSD have a moderate tone and merely reiterate a presentation of the facts pointed out by public authorities, in particular.  </w:t>
        <w:br/>
        <w:t xml:space="preserve">112. Regarding specifically the caricatures featured on the blog and on the Facebook page of Santéclair, it should be noted that:  </w:t>
        <w:br/>
        <w:t xml:space="preserve">- no target can be identified: none of the elements in these caricatures allow for the conclusion that they target the profession of dental surgeons, nor the dental surgeons not affiliated with the Santéclair care network. They target all health professionals and have a very general character;  </w:t>
        <w:br/>
        <w:t xml:space="preserve">- the caricatures in question are moderate and do not exhibit any aggressiveness: they humorously present the issue of healthcare costs.  </w:t>
        <w:br/>
        <w:t xml:space="preserve">113. The CNSD provides no evidence to demonstrate the excessive nature of these caricatures and the articles published on its blog or on its Facebook page.  </w:t>
        <w:br/>
        <w:t>114. The CNSD's allegations regarding the anti-competitive nature of Santéclair's communication on social networks are therefore not supported by sufficiently convincing evidence.</w:t>
      </w:r>
    </w:p>
    <w:p>
      <w:r>
        <w:t xml:space="preserve">c) Santéclair's commercial advertising  </w:t>
        <w:br/>
        <w:t xml:space="preserve">115. Firstly, the non-compliance with a prohibition set forth by the code of ethics for dental surgeons (which prohibits any form of commercial advertising, direct or indirect, cf. paragraph 6 above) falls under the disciplinary jurisdiction of the professional order of dental surgeons.  </w:t>
        <w:br/>
        <w:t xml:space="preserve">116. Secondly, the complainant does not provide any evidence to demonstrate that the commercial advertising conducted by Santéclair would create any distortion of competition among dental surgeons.  </w:t>
        <w:br/>
        <w:t xml:space="preserve">117. In this regard, the Authority considers, from the perspective of the competitive functioning of markets, that commercial advertising, as long as it is fair, is a factor in stimulating competition.  </w:t>
        <w:br/>
        <w:t xml:space="preserve">118. However, in this case, the CNSD does not demonstrate in any way how Santéclair's commercial advertising would constitute a concerted action between Santéclair and the affiliated dental surgeons aimed at denigrating the activity of non-affiliated dental surgeons.  </w:t>
        <w:br/>
        <w:t xml:space="preserve">119. On the one hand, the Authority notes that the announcement "The most Santéclair: a traceability certificate indicating the origin of the prosthesis" is not unfounded and is based on objective considerations.  </w:t>
        <w:br/>
        <w:t xml:space="preserve">120. Indeed, as the Authority noted in its opinion No. 09-A-46, care networks "are based on a combination of reciprocal commitments from health professionals and OCAM," among which is a "control of the quality of services provided to insured individuals (range of products and services offered, compliance with certain standards and professional practices...)" (paragraph 36). In this sense, the partnership agreement concluded between Santéclair and the dental surgeons affiliated with the care network includes commitments that they have agreed to respect. In particular, Article 4.2 of the partnership agreement imposes a commitment on the affiliated dental surgeons regarding the traceability of custom medical devices, among which are dental prostheses (reference 371).  </w:t>
        <w:br/>
        <w:t xml:space="preserve">121. On the other hand, the Authority finds that the statement "The most Santéclair: the dental surgeons of the network have specialized practice in implantology and have high-quality technical platforms" is objectively justified. Article 4.1 of the partnership agreement indeed includes a commitment from health professionals regarding the quality of care (references 370 and 371), confirming Santéclair's statements in its commercial communication denounced by the CNSD.  </w:t>
        <w:br/>
        <w:t>122. The CNSD's allegations regarding the anti-competitive nature of Santéclair's commercial advertising are therefore not supported by sufficiently convincing evidence.</w:t>
      </w:r>
    </w:p>
    <w:p>
      <w:r>
        <w:t xml:space="preserve">4. AS A SUPPLEMENTARY MATTER, THE ALLEGED EFFECTS CONSISTING OF A LOSS OF REVENUE  </w:t>
        <w:br/>
        <w:t xml:space="preserve">123. The CNSD indicates that it is "difficult" to "know the extent of the loss in activity and revenue" that Santéclair's practices would generate for a non-affiliated dental surgeon, nevertheless proposing an estimate ranging from 40,000 to 60,000 euros per year per practitioner.  </w:t>
        <w:br/>
        <w:t xml:space="preserve">124. The alleged loss of revenue – the estimation methods of which are not explained or supported by documentary evidence – is merely the consequence of a price competition generated by the activity of care networks. A practice that allows a patient to arbitrate between several professionals and several prices and ultimately leads to a decrease in the price of services is, in all likelihood, pro-competitive.  </w:t>
        <w:br/>
        <w:t>125. The CNSD therefore provides no convincing evidence suggesting the existence of anti-competitive effects from Santéclair's practices within its care network.</w:t>
      </w:r>
    </w:p>
    <w:p>
      <w:r>
        <w:t xml:space="preserve">III. Conclusion  </w:t>
        <w:br/>
        <w:t>126. It follows from all of the above that the facts invoked in the context of the CNSD's complaint are not supported by sufficiently convincing evidence to substantiate the existence of practices that would have the object or effect of hindering the free play of competition. Consequently, it is necessary to apply the provisions of Article L. 462-8 of the Commercial Code and to reject the complaint.</w:t>
      </w:r>
    </w:p>
    <w:p>
      <w:r>
        <w:t xml:space="preserve">DECISION  </w:t>
        <w:br/>
        <w:t xml:space="preserve">Sole Article: The substantive complaint registered under number 15/0044F is rejected.  </w:t>
        <w:br/>
        <w:t xml:space="preserve">Deliberated on the oral report of Ms. Céline Devienne, rapporteur, and the intervention of Mr. Éric Cuziat, deputy general rapporteur, by Ms. Claire Favre, session president.  </w:t>
        <w:br/>
        <w:t xml:space="preserve">The session secretary, The session president  </w:t>
        <w:br/>
        <w:t xml:space="preserve">Caroline Chéron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