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https://www.autoritedelaconcurrence.fr/fr/decision/relative-des-pratiques-mises-en-oeuvre-dans-le-secteur-des-arts-de-la-table-et-de-la</w:t>
      </w:r>
    </w:p>
    <w:p>
      <w:r>
        <w:t>Pages translated : 12</w:t>
      </w:r>
    </w:p>
    <w:p/>
    <w:p>
      <w:r>
        <w:rPr>
          <w:b/>
        </w:rPr>
        <w:t>[Pages 1–3]</w:t>
      </w:r>
    </w:p>
    <w:p>
      <w:r>
        <w:t xml:space="preserve">FRENCH REPUBLIC  </w:t>
        <w:br/>
        <w:t xml:space="preserve">Decision No. 17-D-01 of January 26, 2017  </w:t>
        <w:br/>
        <w:t>regarding practices implemented in the tableware and kitchen sector</w:t>
      </w:r>
    </w:p>
    <w:p>
      <w:r>
        <w:t xml:space="preserve">The Competition Authority (section III),  </w:t>
        <w:br/>
        <w:t xml:space="preserve">Having regard to Decision No. 14-SO-05 of July 2, 2014, by which the Competition Authority initiated proceedings ex officio under number 14/0056 F concerning practices implemented in the sector of online sales of household products "L'Atelier du vin";  </w:t>
        <w:br/>
        <w:t xml:space="preserve">Having regard to the settlement report dated November 15, 2016, signed by the Deputy General Rapporteur and Sanbri SAS in accordance with the provisions of III of Article L. 464-2 of the Commercial Code;  </w:t>
        <w:br/>
        <w:t xml:space="preserve">Having regard to Article 101 of the Treaty on the Functioning of the European Union;  </w:t>
        <w:br/>
        <w:t xml:space="preserve">Having regard to Book IV of the amended Commercial Code;  </w:t>
        <w:br/>
        <w:t xml:space="preserve">Having regard to the business secrecy decisions No. 15-DSA-56 of February 13, 2015, No. 15-DSA-127, 15-DSA-128, and 15-DSA-129 of March 17, 2015, No. 15-DSA-175 of March 20, 2015, No. 15-DSA-09 and 15-DSA-410 of December 3, 2015, and No. 15-DSA-428 of December 15, 2015;  </w:t>
        <w:br/>
        <w:t xml:space="preserve">Having regard to the other documents in the file;  </w:t>
        <w:br/>
        <w:t xml:space="preserve">Having regard to the observations presented by the Government Commissioner;  </w:t>
        <w:br/>
        <w:t xml:space="preserve">The rapporteur, the Deputy General Rapporteur, and the representative of Sanbri SAS, heard during the session of the Competition Authority on January 11, 2017, the Government Commissioner having been duly summoned;  </w:t>
        <w:br/>
        <w:t>Adopts the following decision:</w:t>
      </w:r>
    </w:p>
    <w:p>
      <w:r>
        <w:t xml:space="preserve">Summary:  </w:t>
        <w:br/>
        <w:t>In the following decision, the Authority fines the company Sanbri 3,200 euros for colluding from March 2011 to March 2016 with certain of its online distributors to set the resale price of products marketed under the brand "L'Atelier du vin." This practice of imposed pricing, revealed based on evidence provided by the DGCCRF, aimed to prevent, restrict, or distort competition in the market for tableware and kitchen products and is contrary to the provisions of Article L. 420-1 of the Commercial Code and Article 101, paragraph 1, of the TFEU.</w:t>
      </w:r>
    </w:p>
    <w:p>
      <w:r>
        <w:t xml:space="preserve">TABLE OF CONTENTS  </w:t>
        <w:br/>
        <w:t xml:space="preserve">I. Findings .................................................................................... 4  </w:t>
        <w:br/>
        <w:t xml:space="preserve">A. THE SECTOR AND THE COMPANIES ........................................................................................ 4  </w:t>
        <w:br/>
        <w:t xml:space="preserve">1. THE TABLEWARE AND KITCHEN SECTOR ................................................................. 4  </w:t>
        <w:br/>
        <w:t xml:space="preserve">2. THE COMPANIES ................................................................................................................. 4  </w:t>
        <w:br/>
        <w:t xml:space="preserve">a) Sanbri SAS – "L'Atelier du vin" ..................................................................... 4  </w:t>
        <w:br/>
        <w:t xml:space="preserve">General presentation of Sanbri SAS .................................................................. 4  </w:t>
        <w:br/>
        <w:t xml:space="preserve">Presentation of the Sanbri SAS distribution network ....................................... 5  </w:t>
        <w:br/>
        <w:t xml:space="preserve">b) Other companies ................................................................................................. 5  </w:t>
        <w:br/>
        <w:t xml:space="preserve">B. THE IDENTIFIED PRACTICES ....................................................................................................... 6  </w:t>
        <w:br/>
        <w:t xml:space="preserve">1. SANBRI SAS'S COMMUNICATION OF RECOMMENDED RETAIL PRICES ......................... 6  </w:t>
        <w:br/>
        <w:t xml:space="preserve">a) The recommended retail price schedules ......................................................... 6  </w:t>
        <w:br/>
        <w:t xml:space="preserve">b) The Internet Charter .......................................................................................... 7  </w:t>
        <w:br/>
        <w:t xml:space="preserve">The content of the Internet Charter ................................................................... 7  </w:t>
        <w:br/>
        <w:t xml:space="preserve">The methods of communication of the Internet Charter to distributors ........ 7  </w:t>
        <w:br/>
        <w:t xml:space="preserve">The absence of sending and then the termination of the Charter .................. 8  </w:t>
        <w:br/>
        <w:t xml:space="preserve">2. THE APPLICATION OF RECOMMENDED RETAIL PRICES BY DISTRIBUTORS ................... 8  </w:t>
        <w:br/>
        <w:t xml:space="preserve">C. THE NOTIFIED GRIEVANCE ........................................................................................................................ 8  </w:t>
        <w:br/>
        <w:t xml:space="preserve">II. Discussion ....................................................................................... 9  </w:t>
        <w:br/>
        <w:t xml:space="preserve">A. THE IMPLEMENTATION OF THE SETTLEMENT PROCEDURE ....................................... 9  </w:t>
        <w:br/>
        <w:t xml:space="preserve">B. ON THE APPLICABILITY OF UNION LAW ........................................................................... 9  </w:t>
        <w:br/>
        <w:t xml:space="preserve">C. THE EXISTENCE OF AN ANTICOMPETITIVE AGREEMENT ........................................... 10  </w:t>
        <w:br/>
        <w:t xml:space="preserve">D. ON THE SANCTION ...................................................................................................................... 11  </w:t>
        <w:br/>
        <w:t xml:space="preserve">1. ON THE SEVERITY OF THE PRACTICES AND THE DAMAGE CAUSED TO THE ECONOMY ................... 11  </w:t>
        <w:br/>
        <w:t xml:space="preserve">2. ON THE FINAL AMOUNT OF THE SANCTION ........................................................................ 11  </w:t>
        <w:br/>
        <w:t>DECISION ......................................................................................................................... 12</w:t>
      </w:r>
    </w:p>
    <w:p>
      <w:r>
        <w:rPr>
          <w:b/>
        </w:rPr>
        <w:t>[Pages 4–6]</w:t>
      </w:r>
    </w:p>
    <w:p>
      <w:r>
        <w:t>I. Findings</w:t>
      </w:r>
    </w:p>
    <w:p>
      <w:r>
        <w:t>1. By letter dated January 4, 2013, the services of the Directorate General for Competition, Consumer Affairs and Fraud Control (DGCCRF) sent to the general rapporteur of the Competition Authority (hereinafter the "Authority"), various documents collected as part of an investigation conducted in the sector of online sales of household products.</w:t>
      </w:r>
    </w:p>
    <w:p>
      <w:r>
        <w:t>2. The investigations conducted by the DGCCRF were initiated following a complaint lodged by the company Zencontact, operating the online commercial site www.zenavenue.com, concerning the implementation of allegedly anti-competitive practices by one of its suppliers, the company Sanbri, a manufacturer of products related to wine tasting under the brand "L'Atelier du vin."</w:t>
      </w:r>
    </w:p>
    <w:p>
      <w:r>
        <w:t>3. By decision dated July 2, 2014, the Authority took up the matter ex officio, under number 14-SO-05, regarding practices implemented in the sector of online sales of household products "L'Atelier du vin."</w:t>
      </w:r>
    </w:p>
    <w:p>
      <w:r>
        <w:t>A. THE SECTOR AND THE COMPANIES</w:t>
      </w:r>
    </w:p>
    <w:p>
      <w:r>
        <w:t>1. THE TABLEWARE AND KITCHEN SECTOR</w:t>
      </w:r>
    </w:p>
    <w:p>
      <w:r>
        <w:t>4. The sector involved in this case is that of the marketing of products related to wine tasting, which is part of the broader market for tableware and kitchen products.</w:t>
      </w:r>
    </w:p>
    <w:p>
      <w:r>
        <w:t>5. According to a study conducted by Xerfi-Précepta and l'Obsoco, between 2000 and 2011, the growth of the French market for tableware and kitchen products varied between -1.5% and 0.5%, reaching 3.75 billion euros in 2011.</w:t>
      </w:r>
    </w:p>
    <w:p>
      <w:r>
        <w:t>6. Within the French market for tableware and kitchen products, the segment of products related to medium/high-end wine tasting is estimated, according to the statements of the representative of Sanbri SAS, to be around ten million euros, noting that this estimate does not include products sold in large distribution and generalist brands.</w:t>
      </w:r>
    </w:p>
    <w:p>
      <w:r>
        <w:t>2. THE COMPANIES</w:t>
      </w:r>
    </w:p>
    <w:p>
      <w:r>
        <w:t>a) Sanbri SAS – "L'Atelier du vin"</w:t>
      </w:r>
    </w:p>
    <w:p>
      <w:r>
        <w:t>General Presentation of Sanbri SAS</w:t>
      </w:r>
    </w:p>
    <w:p>
      <w:r>
        <w:t>7. Sanbri is a simplified joint-stock company, established in 1926, that manufactures and distributes high-end products related to wine tasting under the brand "L'Atelier du vin." The range of products it offers includes items necessary for opening (corkscrews), serving (buckets, capsule cutters, thermometers, etc.), tasting (glasses, carafes, etc.), preserving (stoppers, cleaning brushes, etc.), storing (wine cellars, etc.), and discovering (books, games, etc.) wine.</w:t>
      </w:r>
    </w:p>
    <w:p>
      <w:r>
        <w:t>8. Sanbri SAS employs about thirty employees and achieved a turnover of 3.9 million euros in 2014.</w:t>
      </w:r>
    </w:p>
    <w:p>
      <w:r>
        <w:t>Presentation of Sanbri SAS Distribution Network</w:t>
      </w:r>
    </w:p>
    <w:p>
      <w:r>
        <w:t>Direct Distribution</w:t>
      </w:r>
    </w:p>
    <w:p>
      <w:r>
        <w:t>9. Since April 2011, Sanbri has been directly marketing its products to French consumers under the brand "L'Atelier du vin" through its website (www.atelierduvin.com). Since April 2013, this site has also been targeting foreign consumers, thanks to the implementation of an English version of the site and a logistical organization allowing for the delivery of orders abroad.</w:t>
      </w:r>
    </w:p>
    <w:p>
      <w:r>
        <w:t>10. In 2014, the Sanbri SAS website achieved a turnover of 32,260 euros, of which 23,374 euros were generated from French consumers.</w:t>
      </w:r>
    </w:p>
    <w:p>
      <w:r>
        <w:t>Independent Distributors</w:t>
      </w:r>
    </w:p>
    <w:p>
      <w:r>
        <w:t>11. Sanbri also distributes its "L'Atelier du vin" products through independent distributors, who operate physical points of sale and/or websites.</w:t>
      </w:r>
    </w:p>
    <w:p>
      <w:r>
        <w:t>12. In France, the distributor network covers almost the entire mainland (55 departments in metropolitan France) and also some overseas territories (Réunion and New Caledonia). The vast majority of resellers are located in Paris and the Île-de-France region as well as in the departments of Gironde (33) and Rhône (69).</w:t>
      </w:r>
    </w:p>
    <w:p>
      <w:r>
        <w:t>13. To date, the distributor network includes approximately 263 physical points of sale and 40 websites. Among these distributors, some specialize in business gifts (sales to companies) and do not engage in retail sales. In 2014, there were 24 internet distributors oriented towards consumers (reference 3233).</w:t>
      </w:r>
    </w:p>
    <w:p>
      <w:r>
        <w:t>14. Within the retail network, it is possible to identify different categories of distributors: department stores with specialized sections in tableware and home decoration (e.g., BHV, Galeries Lafayette, Bon Marché…), kitchen utensil distributors (e.g., Du bruit dans la cuisine which has 25 points of sale), wine merchants, cultural product distributors (Fnac, Cultura, Amazon). There are also some categories of distributors with a more marginal market share (hotels, restaurants, museum shops, etc.).</w:t>
      </w:r>
    </w:p>
    <w:p>
      <w:r>
        <w:t>15. It is with the distributors specialized in tableware that Sanbri SAS generates the majority of its turnover.</w:t>
      </w:r>
    </w:p>
    <w:p>
      <w:r>
        <w:t>16. Within the European Union, Sanbri SAS distributes its products in Belgium, Great Britain, Germany, and, to a limited extent, Bulgaria. Outside the European Union, Sanbri is present in Russia (the leading export country in 2013), Asia, and the United States.</w:t>
      </w:r>
    </w:p>
    <w:p>
      <w:r>
        <w:t>b) Other Companies</w:t>
      </w:r>
    </w:p>
    <w:p>
      <w:r>
        <w:t>17. According to the statements of the representative of Sanbri, in the market for the manufacture of wine accessories, the main competitors are primarily Chinese companies whose products are sold under private labels by distributors. Competitors also include the company Screwpull (part of the Le Creuset group), the company Peugeot with products under the "Peugeot Saveur de Vin" brand, the company Arc which manufactures wine glasses under the "Chef et Sommelier" brand, the Austrian company Riedel, specialized in glass manufacturing, and the Spanish company Pulltex, which manufactures corkscrews.</w:t>
      </w:r>
    </w:p>
    <w:p>
      <w:r>
        <w:t>18. A large number of tableware brands also offer wine tasting-related products under their own brand but are not manufacturers as such (e.g., Guy Degrenne, Geneviève Lethu).</w:t>
      </w:r>
    </w:p>
    <w:p>
      <w:r>
        <w:t>19. The distribution of tableware and kitchen products is ensured by different categories of distributors: large food retailers (the primary distributors of tableware products, accounting for nearly 40% of sales), specialists in tableware and kitchen products (Ambiance et Style, Guy Degrenne, etc.), department stores (BHV, le Printemps, etc.), furniture-decoration brands (IKEA, Alinéa, etc.), discount stores (GIFI, La Foir’Fouille), and traditional distance selling sites (La Redoute, Les 3 Suisses, etc.).</w:t>
      </w:r>
    </w:p>
    <w:p>
      <w:r>
        <w:t>B. IDENTIFIED PRACTICES</w:t>
      </w:r>
    </w:p>
    <w:p>
      <w:r>
        <w:t>1. COMMUNICATION BY SANBRI SAS OF RECOMMENDED RETAIL PRICES</w:t>
      </w:r>
    </w:p>
    <w:p>
      <w:r>
        <w:t>20. The contractual documents established by Sanbri SAS to formalize commercial relationships with its distributors include, in particular, recommended retail price schedules as well as an "Internet Partnership Charter" (hereinafter the "Internet Charter"). The Internet Charter, in its versions from 2011, 2012, and 2013, expressly provides for the obligation for the distributor to apply the recommended retail price schedules established by Sanbri SAS.</w:t>
      </w:r>
    </w:p>
    <w:p>
      <w:r>
        <w:t>a) Recommended Retail Price Schedules</w:t>
      </w:r>
    </w:p>
    <w:p>
      <w:r>
        <w:t>21. According to the statements of the representative of Sanbri SAS (reference 872), the recommended retail price schedules have been published since 2005 and updated on average twice a year (in January and September).</w:t>
      </w:r>
    </w:p>
    <w:p>
      <w:r>
        <w:t>22. These price schedules are intended for all French distributors, except those specialized in business gifts, who do not engage in retail sales. They also apply indiscriminately to physical points of sale and websites.</w:t>
      </w:r>
    </w:p>
    <w:p>
      <w:r>
        <w:t>23. However, according to representatives of Sanbri SAS, these recommended retail prices "are not systematically transmitted" but "often linked to requests" from distributors (reference 872).</w:t>
      </w:r>
    </w:p>
    <w:p>
      <w:r>
        <w:t>24. During his hearing, the representative of Sanbri specified: "(...) unlike the professional pricing grid, this schedule is not systematically transmitted. It is available at trade shows as an example. There is no strict communication rule. Sometimes we send it spontaneously, sometimes upon request. Our main distributors have this schedule: either we send it to them, or they ask us for it (...). This schedule is intended only for French distributors (...). The communication of these schedules is done empirically and is not related to the type, distribution channel, or profile of the distributor (...)" (reference 81).</w:t>
      </w:r>
    </w:p>
    <w:p>
      <w:r>
        <w:t>25. Indeed, of the thirty-five internet distributors questioned during the investigation, about twenty indicated that they had received the recommended retail price schedules.</w:t>
      </w:r>
    </w:p>
    <w:p>
      <w:r>
        <w:rPr>
          <w:b/>
        </w:rPr>
        <w:t>[Pages 7–9]</w:t>
      </w:r>
    </w:p>
    <w:p>
      <w:r>
        <w:t>b) The Internet Charter</w:t>
      </w:r>
    </w:p>
    <w:p>
      <w:r>
        <w:t>The Content of the Internet Charter</w:t>
      </w:r>
    </w:p>
    <w:p>
      <w:r>
        <w:t>26. Between 2010 and 2013, Sanbri SAS transmitted an Internet Charter to certain of its distributors operating an online sales site.</w:t>
      </w:r>
    </w:p>
    <w:p>
      <w:r>
        <w:t>27. These Charters were generally dated and signed by the distributors at the request of Sanbri.</w:t>
      </w:r>
    </w:p>
    <w:p>
      <w:r>
        <w:t>28. During the relevant period, several versions of the Charter were issued. As mentioned above, the versions from 2011, 2012, and 2013 expressly provide for the obligation of the distributor to apply the recommended retail price schedules established by Sanbri SAS.</w:t>
      </w:r>
    </w:p>
    <w:p>
      <w:r>
        <w:t>29. During his hearing on December 18, 2012, the representative of Sanbri SAS explained: "(...) it [the Internet Charter] was primarily, I believe, established to reassure our distributors operating physical points of sale. Indeed, they feared that online distributors, for example, would undercut prices. We therefore introduced the clause inviting the online distributor to respect and apply the recommended retail prices as best as possible in order to reassure our physical distributors, particularly historical ones (...)" (reference 82).</w:t>
      </w:r>
    </w:p>
    <w:p>
      <w:r>
        <w:t>The December 2011 Version</w:t>
      </w:r>
    </w:p>
    <w:p>
      <w:r>
        <w:t>30. The Internet Charter sent on December 2, 2011, to the online distributor Zencontact SAS, operating the site "ZenAvenue," expressly provides for the obligation of the distributor to respect the recommended retail prices: "(...) I inform you that I commit in all respects to respect and apply the recommended retail prices, to respect your brand image by showcasing quality visuals on the website. (...)" (reference 35).</w:t>
      </w:r>
    </w:p>
    <w:p>
      <w:r>
        <w:t>31. Furthermore, the violation of any of the commitments provided does not need to be reiterated to lead to the immediate termination of the contract: "(...) Without respect for any of these clauses, I accept that this partnership could be terminated at any time without notice and that we could no longer market your products on the site" (reference 35).</w:t>
      </w:r>
    </w:p>
    <w:p>
      <w:r>
        <w:t>The 2012 and 2013 Versions</w:t>
      </w:r>
    </w:p>
    <w:p>
      <w:r>
        <w:t>32. The version communicated to certain distributors in 2012 and 2013 differs from that sent in 2011 to Zencontact in that it provides for the obligation of the distributor to respect and apply the recommended retail prices "to the best of their ability": "I inform you that I commit in all respects to respect and apply to the best of my ability the recommended retail prices, to respect your brand image by showcasing quality visuals on the website." However, the stipulation regarding the immediate termination of the commercial relationship in the event of a violation by the distributor of any of the commitments made under the Internet Charter remains the same: "(...). Without respect for any of these clauses, I accept that this partnership could be terminated at any time without notice and that we could no longer market your products on the site" (references 1112 to 1115).</w:t>
      </w:r>
    </w:p>
    <w:p>
      <w:r>
        <w:t>The Methods of Communicating the Internet Charter to Distributors</w:t>
      </w:r>
    </w:p>
    <w:p>
      <w:r>
        <w:t>33. According to the elements of the file, the signature of the Charter is a prerequisite for the online marketing of "L'Atelier du vin" products. Thus, in a letter dated February 21, 2012, a sales agent of Sanbri SAS mentioned to the distributor Vineabox, among the conditions listed for selling "L'Atelier du vin" products: "the signature by Vineabox of our Internet Partnership Charter, particularly committing to respect the recommended retail prices and the visual identity of L'Atelier du vin" (reference 1525).</w:t>
      </w:r>
    </w:p>
    <w:p>
      <w:r>
        <w:t>34. Regarding the methods of communication of the Charter to distributors, the representative of Sanbri SAS explained: "(...) We almost systematically send the Internet Charter to distributors who expressly indicate to us that they will sell our products on their website. We have almost no traceability of the distributors to whom we have sent the Charter. There is no rule or established methodology for sending the Internet Charter. In my opinion, we must have sent it to a maximum of about fifteen distributors" (reference 82).</w:t>
      </w:r>
    </w:p>
    <w:p>
      <w:r>
        <w:t>35. Of the thirty-five distributors questioned operating a website, seven have dated and signed the Internet Charter in one of the versions including the obligation to respect the recommended retail prices: these are respectively the distributors Les Casiers du manoir (on March 14, 2011, reference 1288), Vinéabox (on March 1, 2012, reference 1522), Ctendance (on September 4, 2012, reference 446), Bulles&amp;Co (on October 10, 2012, reference 1115), Timeless Déco (on September 25, 2012, reference 1114), Boulanger (on February 25, 2013, reference 409), and Martin Fils (on May 3, 2013, reference 1112).</w:t>
      </w:r>
    </w:p>
    <w:p>
      <w:r>
        <w:t>36. The distributors Maspatule (reference 290) and Zencontact (reference 35) also received the Charter in question but did not sign it.</w:t>
      </w:r>
    </w:p>
    <w:p>
      <w:r>
        <w:t>The Absence of Sending and the Termination of the Charter</w:t>
      </w:r>
    </w:p>
    <w:p>
      <w:r>
        <w:t>37. In 2014 and 2015, Sanbri SAS indicated that it had not sent any new Internet Charters to its distributors, which was confirmed by them during the investigation.</w:t>
      </w:r>
    </w:p>
    <w:p>
      <w:r>
        <w:t>38. Furthermore, Sanbri stated that it had terminated all existing Internet Charters by emails dated April 11 and 12, 2016 (references 3535 and 3540).</w:t>
      </w:r>
    </w:p>
    <w:p>
      <w:r>
        <w:t>2. THE APPLICATION OF THE RECOMMENDED RETAIL PRICES BY DISTRIBUTORS</w:t>
      </w:r>
    </w:p>
    <w:p>
      <w:r>
        <w:t>39. Among the seven online distributors who dated and signed the Charter in its 2011, 2012, and 2013 versions, at least four of them declared that they respect the recommended retail prices disseminated by Sanbri: these are respectively the distributors Ctendance (reference 445), Timelessdéco (reference 1343), Les Casiers du Manoir (reference 1286), and Vinéabox (reference 1513).</w:t>
      </w:r>
    </w:p>
    <w:p>
      <w:r>
        <w:t>C. THE NOTIFIED GRIEVANCE</w:t>
      </w:r>
    </w:p>
    <w:p>
      <w:r>
        <w:t>40. By letter dated September 23, 2016, the following grievance was notified to Sanbri SAS: "Sanbri SAS is accused of having colluded from March 2011 to March 2016 with certain of its online distributors to set a consumer selling price for the products 'Atelier du vin.' This practice aimed to prevent, restrict, or distort competition in the market for tableware and kitchen products. It is prohibited by Articles L. 420-1 of the Commercial Code and 101, paragraph 1, of the TFEU."</w:t>
      </w:r>
    </w:p>
    <w:p>
      <w:r>
        <w:t>II. Discussion</w:t>
      </w:r>
    </w:p>
    <w:p>
      <w:r>
        <w:t>A. THE IMPLEMENTATION OF THE TRANSACTION PROCEDURE</w:t>
      </w:r>
    </w:p>
    <w:p>
      <w:r>
        <w:t>41. III of Article L. 464-2 of the Commercial Code states: "When an organization or a company does not contest the reality of the grievances notified to it, the general rapporteur may submit to it a transaction proposal setting the minimum and maximum amount of the contemplated financial penalty. When the company or organization commits to modifying its behavior, the general rapporteur may take this into account in his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 within the limits set by the transaction."</w:t>
      </w:r>
    </w:p>
    <w:p>
      <w:r>
        <w:t>42. In this case, Sanbri SAS did not contest the reality of the grievance that was notified to it and requested the application of the provisions of III of Article L. 464-2 of the Commercial Code from the deputy general rapporteur of the Authority, who submitted a transaction proposal to it.</w:t>
      </w:r>
    </w:p>
    <w:p>
      <w:r>
        <w:t>43. The implementation of the aforementioned text led to the establishment of a transaction report dated November 15, 2016, by which Sanbri SAS agreed to a transaction proposal.</w:t>
      </w:r>
    </w:p>
    <w:p>
      <w:r>
        <w:t>44. During the session on January 11, 2017, the director of Sanbri SAS reaffirmed his full agreement with the terms of the transaction, of which he accepts, with full knowledge of the facts, all legal consequences, particularly regarding the amount of the imposed financial penalty.</w:t>
      </w:r>
    </w:p>
    <w:p>
      <w:r>
        <w:t>B. ON THE APPLICABILITY OF UNION LAW</w:t>
      </w:r>
    </w:p>
    <w:p>
      <w:r>
        <w:t>45. The grievance of collusion in question was notified on the basis of Articles L. 420-1 of the Commercial Code and 101, paragraph 1, of the TFEU.</w:t>
      </w:r>
    </w:p>
    <w:p>
      <w:r>
        <w:t>46. According to the case law of the Union and the Communication of the European Commission concerning guidelines relating to the notion of affecting trade as set out in Articles 101 TFEU and 102 TFEU, three elements must be met for practices to be likely to significantly affect trade between Member States: the existence of trade between Member States concerning the products or services in question, the existence of practices likely to affect these exchanges, and the significant nature of this effect.</w:t>
      </w:r>
    </w:p>
    <w:p>
      <w:r>
        <w:t>47. In a judgment of September 24, 2009, Erste Group Bank/Commission, the Court of Justice of the European Union specified that "a collusion extending throughout the territory of a Member State has, by its very nature, the effect of consolidating national compartmentalization, thereby hindering the economic interpenetration intended by the EC Treaty" (case C-125/07 P et al., paragraph 38).</w:t>
      </w:r>
    </w:p>
    <w:p>
      <w:r>
        <w:t>48. Furthermore, the Court of Appeal of Paris has already been led to recall that the Internet "is by nature open to cross-border trade" (judgment of October 16, 2007, Bijourama, no. 2006/17 900, p. 6).</w:t>
      </w:r>
    </w:p>
    <w:p>
      <w:r>
        <w:rPr>
          <w:b/>
        </w:rPr>
        <w:t>[Pages 10–12]</w:t>
      </w:r>
    </w:p>
    <w:p>
      <w:r>
        <w:t>49. Regarding the criterion related to sensitivity, the Commission's Guidelines provide that in the case of agreements that by their very nature are likely to affect trade between Member States, it can be presumed that the effect on trade will be significant as long as the market share of the parties involved is greater than 5% (point 53).</w:t>
      </w:r>
    </w:p>
    <w:p>
      <w:r>
        <w:t>50. In this case, the practices in question concern the commercial relationships between Sanbri SAS and certain of its distributors who operate online retail sites and therefore market their products to a clientele located throughout the national territory, and even in other countries of the European Union.</w:t>
      </w:r>
    </w:p>
    <w:p>
      <w:r>
        <w:t>51. It should also be noted that Sanbri SAS achieves an average turnover of 4 million euros per year, in a market it estimates at 10 million euros. It therefore holds a market share greater than the sensitivity threshold of 5% referred to in the Commission's Guidelines cited in paragraph 49 above.</w:t>
      </w:r>
    </w:p>
    <w:p>
      <w:r>
        <w:t>52. The practices targeted in this case are therefore likely to significantly affect trade between Member States and must consequently be analyzed in light of both internal and Union competition rules.</w:t>
      </w:r>
    </w:p>
    <w:p>
      <w:r>
        <w:t>C. THE EXISTENCE OF AN ANTICOMPETITIVE AGREEMENT</w:t>
      </w:r>
    </w:p>
    <w:p>
      <w:r>
        <w:t>53. In its judgment of May 16, 2013, Kontiki, the Paris Court of Appeal recalled that "imposed pricing practices are considered by Regulation (EU) No. 330/2010 of the Commission of April 20, 2010, as characterized restrictions and that, therefore, an agreement or concerted practice having as its direct or indirect object the establishment of a fixed or minimum resale price that the buyer is required to respect is presumed to restrict competition" (confirmed by the Court of Cassation in its judgment of October 7, 2014).</w:t>
      </w:r>
    </w:p>
    <w:p>
      <w:r>
        <w:t>54. The Paris Court of Appeal, in its judgment Epsé Joué Club of January 28, 2009 (which became final after the rejection judgments of the Court of Cassation on April 7, 2010), ruled that "in the case of a price-fixing agreement [the demonstration of the agreement of wills] results either from the signing of clear contractual clauses or from the gathering of a set of precise, serious, and consistent indications, generally constituted by the mention, between suppliers and distributors, of resale prices to the public, the implementation of a policy or at least monitoring of prices, and the observation that the mentioned prices have been effectively applied, the proof of each of these indications being itself free and capable of being established by any means."</w:t>
      </w:r>
    </w:p>
    <w:p>
      <w:r>
        <w:t>55. In this case, it follows from the preceding findings that Sanbri SAS and certain of its online distributors signed an Internet Charter (versions from 2011, 2012, and 2013) under which they agreed to set a resale price for the products "L’Atelier du Vin." The applicable standard of proof in this case is therefore based on direct documentary evidence, without the need to resort to the method of the set of indications described by the above jurisprudence.</w:t>
      </w:r>
    </w:p>
    <w:p>
      <w:r>
        <w:t>56. These practices, implemented within a contractual framework, began on March 14, 2011, with the signing of the disputed Charter by the company Les Casiers du Manoir, and continued until the termination, by Sanbri SAS, of the Charters in question, on April 11, 2016.</w:t>
      </w:r>
    </w:p>
    <w:p>
      <w:r>
        <w:t>57. Such practices are contrary to Articles L. 420-1 of the Commercial Code and Article 101, paragraph 1, of the TFEU.</w:t>
      </w:r>
    </w:p>
    <w:p>
      <w:r>
        <w:t>D. ON THE SANCTION</w:t>
      </w:r>
    </w:p>
    <w:p>
      <w:r>
        <w:t>58. The third paragraph of I of Article L. 464-2 of the Commercial Code provides that "financial penalties are proportionate to the seriousness of the facts alleged, the importance of the damage caused to the economy, the individual situation of the sanctioned organization or company or the group to which the company belongs, and the possible repetition of prohibited practices. They are determined individually for each sanctioned company or organization and reasoned for each sanction."</w:t>
      </w:r>
    </w:p>
    <w:p>
      <w:r>
        <w:t>59.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the company involved.</w:t>
      </w:r>
    </w:p>
    <w:p>
      <w:r>
        <w:t>1. ON THE SERIOUSNESS OF THE PRACTICES AND THE DAMAGE CAUSED TO THE ECONOMY</w:t>
      </w:r>
    </w:p>
    <w:p>
      <w:r>
        <w:t>60. It is established case law that vertical price agreements, while not carrying the same exceptional gravity as horizontal agreements between competitors, are serious by nature insofar as they deprive consumers of the benefits they are entitled to expect from a competitive market operation.</w:t>
      </w:r>
    </w:p>
    <w:p>
      <w:r>
        <w:t>61. Nevertheless, in this case, the pursued agreement was not accompanied, for the distributors who signed the Charter, by the implementation of coercive price policing measures and reprisals.</w:t>
      </w:r>
    </w:p>
    <w:p>
      <w:r>
        <w:t>62. Regarding the damage to the economy, it should be noted that the Internet Charter, which includes an obligation to respect the recommended selling prices, concerned only a very limited number of resellers. Indeed, only 7 of the approximately forty online distributors that Sanbri has dated and signed the disputed Internet Charter, of which four no longer reference the products "L’Atelier du vin" to this day.</w:t>
      </w:r>
    </w:p>
    <w:p>
      <w:r>
        <w:t>2. ON THE FINAL AMOUNT OF THE SANCTION</w:t>
      </w:r>
    </w:p>
    <w:p>
      <w:r>
        <w:t>63. In light of all the elements presented above, it is appropriate to impose a financial penalty of 3,200 euros on Sanbri SAS.</w:t>
      </w:r>
    </w:p>
    <w:p>
      <w:r>
        <w:t>DECISION</w:t>
      </w:r>
    </w:p>
    <w:p>
      <w:r>
        <w:t>Article 1: It is established that Sanbri SAS has violated the provisions of Articles L. 420-1 of the Commercial Code and Article 101, paragraph 1, of the TFEU.</w:t>
      </w:r>
    </w:p>
    <w:p>
      <w:r>
        <w:t>Article 2: A financial penalty of 3,200 euros is imposed on Sanbri SAS.</w:t>
      </w:r>
    </w:p>
    <w:p>
      <w:r>
        <w:t>Deliberated on the oral report of Ms. Séverine Bertrand, rapporteur, and the intervention of Mr. Joël Tozzi, deputy general rapporteur, by Mr. Emmanuel Combe, vice-president, president of the session, Ms. Reine-Claude Mader, and Mr. Olivier d’Ormesson, members.</w:t>
      </w:r>
    </w:p>
    <w:p>
      <w:r>
        <w:t>The session secretary, The vice-president,</w:t>
      </w:r>
    </w:p>
    <w:p>
      <w:r>
        <w:t>Béatrice Déry-Rosot Emmanuel Combe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