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https://www.autoritedelaconcurrence.fr/fr/decision/relative-des-pratiques-mises-en-oeuvre-dans-le-secteur-des-centrales-hotelieres-de</w:t>
      </w:r>
    </w:p>
    <w:p>
      <w:r>
        <w:t>Pages translated : 2</w:t>
      </w:r>
    </w:p>
    <w:p/>
    <w:p>
      <w:r>
        <w:rPr>
          <w:b/>
        </w:rPr>
        <w:t>[Pages 1–2]</w:t>
      </w:r>
    </w:p>
    <w:p>
      <w:r>
        <w:t xml:space="preserve">FRENCH REPUBLIC  </w:t>
        <w:br/>
        <w:t xml:space="preserve">Decision No. 04-D-59 of November 25, 2004  </w:t>
        <w:br/>
        <w:t>concerning practices implemented in the sector of electronic hotel reservation centers</w:t>
      </w:r>
    </w:p>
    <w:p>
      <w:r>
        <w:t>The Competition Council (Section I),</w:t>
      </w:r>
    </w:p>
    <w:p>
      <w:r>
        <w:t>Having regard to the letter of July 9, 1997, registered at the secretariat of the Competition Council on July 17, 1997, under number F 975, by which the company Destination Paris referred to the Competition Council practices implemented by GDS (Global Distribution System) companies in the hotel reservation sector;</w:t>
      </w:r>
    </w:p>
    <w:p>
      <w:r>
        <w:t>Having regard to Book IV of the Commercial Code, relating to the freedom of prices and competition, Decree No. 86-1309 of December 29, 1986, as amended, and Decree No. 2002-689 of April 30, 2002, setting the conditions for the application of Book IV of the Commercial Code;</w:t>
      </w:r>
    </w:p>
    <w:p>
      <w:r>
        <w:t>Having regard to the observations presented by the Government Commissioner;</w:t>
      </w:r>
    </w:p>
    <w:p>
      <w:r>
        <w:t>Having regard to the other documents in the file;</w:t>
      </w:r>
    </w:p>
    <w:p>
      <w:r>
        <w:t>The rapporteur, the deputy general rapporteur, and the Government Commissioner heard during the session of October 26, 2004, the company Destination Paris having been duly summoned;</w:t>
      </w:r>
    </w:p>
    <w:p>
      <w:r>
        <w:t>Adopts the following decision;</w:t>
      </w:r>
    </w:p>
    <w:p>
      <w:r>
        <w:t>1. By letter registered on July 17, 1997, the company Destination Paris referred to the Competition Council practices that it considers anti-competitive in the hotel reservation sector. By letter dated October 1, 2004, Mr. X…, former president of the referring company, Destination Paris, informs the Council that he accepts the principle of a dismissal, “the landscape of GDS and the Internet having changed since then” and that the company Destination Paris no longer exists.</w:t>
      </w:r>
    </w:p>
    <w:p>
      <w:r>
        <w:t>2. Article L. 462-7 of the Commercial Code, reiterating the provisions of Article 27 of Ordinance No. 86-1243 of December 1, 1986, states that: “The Council cannot be seized of facts dating back more than three years if no act has been made to seek, establish or sanction them.”</w:t>
      </w:r>
    </w:p>
    <w:p>
      <w:r>
        <w:t>3. In this case, since July 12, 1999, the date on which the administrative investigation report transmitted by the Directorate General for Competition, Consumer Affairs and Fraud Control was registered with the Competition Council, a period of more than three years has elapsed without the course of the limitation being interrupted by an act aimed at seeking, establishing or sanctioning the reported facts.</w:t>
      </w:r>
    </w:p>
    <w:p>
      <w:r>
        <w:t>4. The limitation is therefore acquired, in application of Article L. 462-7 of the Commercial Code, and there is consequently no reason to continue the procedure.</w:t>
      </w:r>
    </w:p>
    <w:p>
      <w:r>
        <w:t xml:space="preserve">DECISION  </w:t>
        <w:br/>
        <w:t>Sole Article: There is no reason to continue the procedure.</w:t>
      </w:r>
    </w:p>
    <w:p>
      <w:r>
        <w:t>Deliberated, on the report of Mr. Fontaine, by Mr. Nasse, Vice-President, presiding over the session, Ms. Mader-Saussaye as well as Messrs. Bidaud, Charrière-Bournazel, Honorat, and Piot, members.</w:t>
      </w:r>
    </w:p>
    <w:p>
      <w:r>
        <w:t xml:space="preserve">The session secretary, The Vice-President,  </w:t>
        <w:br/>
        <w:t xml:space="preserve">Christine Charron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