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https://www.autoritedelaconcurrence.fr/fr/decision/relative-des-pratiques-mises-en-oeuvre-dans-le-secteur-des-communications-electroniques-0</w:t>
      </w:r>
    </w:p>
    <w:p>
      <w:r>
        <w:t>Pages translated : 88</w:t>
      </w:r>
    </w:p>
    <w:p/>
    <w:p>
      <w:r>
        <w:rPr>
          <w:b/>
        </w:rPr>
        <w:t>[Pages 1–3]</w:t>
      </w:r>
    </w:p>
    <w:p>
      <w:r>
        <w:t xml:space="preserve">Decision No. 15-D-20 of December 17, 2015  </w:t>
        <w:br/>
        <w:t xml:space="preserve">regarding practices implemented in the electronic communications sector  </w:t>
        <w:br/>
        <w:t xml:space="preserve">The Competition Authority (section IV);  </w:t>
        <w:br/>
        <w:t xml:space="preserve">Considering the letter, registered on April 14, 2008, under number 08/0041 F, by which the company Bouygues Telecom referred to the Competition Council practices implemented by the companies France Télécom and Orange France in the electronic communications sector aimed at non-residential customers;  </w:t>
        <w:br/>
        <w:t xml:space="preserve">Considering the letter, registered on August 10, 2010, under number 10/0075 F, by which the Société Française de Radiotéléphone (SFR) referred to the Competition Council practices implemented by the companies France Télécom and Orange France in the electronic communications sector aimed at non-residential customers;  </w:t>
        <w:br/>
        <w:t xml:space="preserve">Considering the decision of September 6, 2010, by which the deputy general rapporteur joined the investigations of cases 08/0041 F and 10/0075 F;  </w:t>
        <w:br/>
        <w:t xml:space="preserve">Considering the opinion No. 2013-0802 of June 11, 2013, issued by the Regulatory Authority for Electronic Communications and Posts;  </w:t>
        <w:br/>
        <w:t xml:space="preserve">Considering decision No. 14-DE-01 of April 18, 2014, by which the president of the Competition Authority acknowledged the withdrawal of the company Bouygues Telecom made by a letter registered on March 24, 2014;  </w:t>
        <w:br/>
        <w:t xml:space="preserve">Considering the minutes of November 6, 2015, by which Orange declared that it did not contest the charges notified to it and requested the benefit of the provisions of III of Article L. 464-2 of the Commercial Code;  </w:t>
        <w:br/>
        <w:t xml:space="preserve">Considering Article 102 of the Treaty on the Functioning of the European Union;  </w:t>
        <w:br/>
        <w:t xml:space="preserve">Considering Book IV of the Commercial Code;  </w:t>
        <w:br/>
        <w:t xml:space="preserve">Considering the decisions regarding business secrecy No. 10-DSA-197 of September 10, 2010, No. 10-DSA-198 of September 17, 2010, No. 12-DSA-303 and 12-DSA-304 of September 6, 2012, No. 12-DSA-306 of September 7, 2012, No. 12-DSA-311, 12-DSA-312 and 12-DSA-313 of September 11, 2012, No. 12-DSA-317 of September 20, 2012, No. 12-DSA-365 of October 25, 2012, No. 13-DSA-13 of January 14, 2013, No. 13-DSA-156 of May 16, 2013, No. 13-DSA-185 of June 19, 2013, No. 13-DSA-245 of September 2, 2013, No. 13-DSA-249 of September 9, 2013, No. 14-DSA-10 of January 15, 2014, No. 14-DSA-332 of January 24, 2014, No. 14-DSA-16, 14-DSA-168 and 14-DSA-173 of December 31, 2014, No. 15-DSA-05 of January 5, 2015, No. 15-DSA-08 of January 6, 2015, No. 15-DSA-09 of January 7, 2015, No. 15-DSA-25 and 15-DSA-27 of January 15, 2015, No. 15-DSA-35 of January 23, 2015, No. 15-DSA-43 of January 29, 2015, No. 15-DSA-45 of January 30, 2015, No. 15-DSA-50 of February 5, 2015, No. 15-DSA-79 and 15-DEC-02 of February 18, 2015, No. 15-DEC-03 of February 20, 2015, No. 15-DEC-04 of February 25, 2015, No. 15-DEC-05, 15-DECR-11, 15-DECR-12 and 15-DECR-13 of February 26, 2015, No. 15-DSA-201 and 15-DSA-202 of May 27, 2015, No. 15-DSA-328 and 15-DSA-329 of September 22, 2015;  </w:t>
        <w:br/>
        <w:t xml:space="preserve">Considering the observations presented by the companies Orange and SFR and by the Government Commissioner;  </w:t>
        <w:br/>
        <w:t xml:space="preserve">Considering the other documents in the file;  </w:t>
        <w:br/>
        <w:t xml:space="preserve">The rapporteurs, the deputy general rapporteur, the general rapporteur, the Government Commissioner, and the representatives of the companies Orange and SFR heard during the sessions of the Competition Authority on November 4 and 13, 2015;  </w:t>
        <w:br/>
        <w:t xml:space="preserve">Considering the note submitted for deliberation by SFR on November 20, 2015;  </w:t>
        <w:br/>
        <w:t>Adopts the following decision:</w:t>
      </w:r>
    </w:p>
    <w:p>
      <w:r>
        <w:t xml:space="preserve">SUMMARY  </w:t>
        <w:br/>
        <w:t xml:space="preserve">SUMMARY ............................................................................................................................. 3  </w:t>
        <w:br/>
        <w:t xml:space="preserve">I. Procedure .......................................................................................... 7  </w:t>
        <w:br/>
        <w:t xml:space="preserve">A. THE REFERRALS ......................................................................................................................................... 7  </w:t>
        <w:br/>
        <w:t xml:space="preserve">1. THE REFERRAL BY BOUYGUES TELECOM ........................................................................................7  </w:t>
        <w:br/>
        <w:t xml:space="preserve">2. THE REFERRAL BY SFR .....................................................................................................................7  </w:t>
        <w:br/>
        <w:t xml:space="preserve">B. THE INVESTIGATION ................................................................................................................................... 8  </w:t>
        <w:br/>
        <w:t xml:space="preserve">1. THE JOINING OF THE INVESTIGATION OF THE TWO CASES ...........................................................8  </w:t>
        <w:br/>
        <w:t xml:space="preserve">2. THE INSPECTION AND SEIZURE OPERATIONS ...................................................................................8  </w:t>
        <w:br/>
        <w:t>3. THE CONSULTATION OF THE REGULATORY AUTHORITY FOR ELECTRONIC COMMUNICATIONS</w:t>
        <w:br/>
        <w:t xml:space="preserve">AND POSTS .................................................................................................................................8  </w:t>
        <w:br/>
        <w:t xml:space="preserve">4. THE WITHDRAWAL OF THE COMPANY BOUYGUES TELECOM .........................................................8  </w:t>
        <w:br/>
        <w:t xml:space="preserve">II. Findings ................................................................................. 9  </w:t>
        <w:br/>
        <w:t xml:space="preserve">A. THE SECTOR .......................................................................................................................................... 9  </w:t>
        <w:br/>
        <w:t xml:space="preserve">1. THE ELECTRONIC COMMUNICATIONS SECTOR AIMED AT NON-RESIDENTIAL CUSTOMERS ..........9  </w:t>
        <w:br/>
        <w:t xml:space="preserve">a) The structure of the non-residential customer base ......................................................... 9  </w:t>
        <w:br/>
        <w:t xml:space="preserve">b) The specific needs of non-residential customers ............................................................ 10  </w:t>
        <w:br/>
        <w:t xml:space="preserve">i) The needs specific to all services .................................................................................. 10  </w:t>
        <w:br/>
        <w:t xml:space="preserve">ii) Specific needs for each type of service ....................................................................... 10  </w:t>
        <w:br/>
        <w:t xml:space="preserve">c) Specific offers aimed at non-residential customers ....................................................... 11  </w:t>
        <w:br/>
        <w:t xml:space="preserve">i) Specific offers by type of service .................................................................................. 12  </w:t>
        <w:br/>
        <w:t xml:space="preserve">ii) Tailored marketing based on the type of business considered .................................... 13  </w:t>
        <w:br/>
        <w:t xml:space="preserve">2. THE ACTORS IN THE SECTOR .......................................................................................................13  </w:t>
        <w:br/>
        <w:t xml:space="preserve">a) Companies present in both fixed and mobile markets .................................................. 13  </w:t>
        <w:br/>
        <w:t xml:space="preserve">i) The France Télécom - Orange group ........................................................................... 13  </w:t>
        <w:br/>
        <w:t xml:space="preserve">ii) SFR .............................................................................................................................. 14  </w:t>
        <w:br/>
        <w:t xml:space="preserve">iii) Bouygues Telecom ....................................................................................................... 15  </w:t>
        <w:br/>
        <w:t xml:space="preserve">b) Companies present only in either the fixed market or the mobile market .................. 15  </w:t>
        <w:br/>
        <w:t xml:space="preserve">c) The acquisition of SFR by Numericable ......................................................................... 16  </w:t>
        <w:br/>
        <w:t xml:space="preserve">B. THE PRACTICES IMPLEMENTED ................................................................................................. 16  </w:t>
        <w:br/>
        <w:t xml:space="preserve">1. ACCESS TO INFORMATION FROM ORANGE'S COPPER LOCAL LOOP ........................................16  </w:t>
        <w:br/>
        <w:t>a) Reminders on Orange's copper local loop ................................................................. 16</w:t>
      </w:r>
    </w:p>
    <w:p>
      <w:r>
        <w:rPr>
          <w:b/>
        </w:rPr>
        <w:t>[Pages 4–6]</w:t>
      </w:r>
    </w:p>
    <w:p>
      <w:r>
        <w:t xml:space="preserve">i) An essential support for third-party operators .................................................. 16  </w:t>
        <w:br/>
        <w:t xml:space="preserve">ii) The necessity for third-party operators to access information related to the copper local loop ............................................................................................ 17  </w:t>
        <w:br/>
        <w:t xml:space="preserve">iii) The internal handling of the issue by Orange .................................................. 18  </w:t>
        <w:br/>
        <w:t xml:space="preserve">b) The observed differences in treatment .............................................................. 19  </w:t>
        <w:br/>
        <w:t xml:space="preserve">i) The situation of third-party operators ................................................................ 19  </w:t>
        <w:br/>
        <w:t xml:space="preserve">ii) The situation of Orange .................................................................................... 23  </w:t>
        <w:br/>
        <w:t xml:space="preserve">c) Conclusion ........................................................................................................... 27  </w:t>
        <w:br/>
        <w:t xml:space="preserve">2. ORANGE'S COMMERCIAL POLICY REGARDING CUSTOMER LOYALTY FOR NON-RESIDENTIAL CLIENTS THROUGH THE "CHANGE YOUR MOBILE" PROGRAM ..........27  </w:t>
        <w:br/>
        <w:t xml:space="preserve">a) Presentation of the program .............................................................................. 27  </w:t>
        <w:br/>
        <w:t xml:space="preserve">b) The evolution of the program since February 2010 ......................................... 28  </w:t>
        <w:br/>
        <w:t xml:space="preserve">c) The intensification of the program based on the competitive context: the example of the launch of the second mobile number portability process in May 2007 ................................................................................................................. 29  </w:t>
        <w:br/>
        <w:t xml:space="preserve">d) Conclusion ............................................................................................................ 30  </w:t>
        <w:br/>
        <w:t xml:space="preserve">3. ORANGE'S COMMERCIAL POLICY REGARDING CUSTOMER LOYALTY FOR NON-RESIDENTIAL CLIENTS THROUGH THE USE OF DISCOUNTS LINKED TO COMMITMENTS OF DURATION AND VOLUME ..................................................................................30  </w:t>
        <w:br/>
        <w:t xml:space="preserve">a) The "catalog" discounts ..................................................................................... 31  </w:t>
        <w:br/>
        <w:t xml:space="preserve">i) Scope and application period ............................................................................. 31  </w:t>
        <w:br/>
        <w:t xml:space="preserve">ii) The "privilege" discount .................................................................................... 31  </w:t>
        <w:br/>
        <w:t xml:space="preserve">iii) The "park" discount .......................................................................................... 36  </w:t>
        <w:br/>
        <w:t xml:space="preserve">iv) The complementarity of the "privilege" discount and the "park" discount .... 38  </w:t>
        <w:br/>
        <w:t xml:space="preserve">b) Additional discounts outside the catalog ........................................................... 39  </w:t>
        <w:br/>
        <w:t xml:space="preserve">c) Conclusion ............................................................................................................ 43  </w:t>
        <w:br/>
        <w:t xml:space="preserve">4. ORANGE'S COMMERCIAL POLICY REGARDING VIRTUAL PRIVATE NETWORK SERVICES THROUGH AN EXCLUSIVITY DISCOUNT MECHANISM ..........................44  </w:t>
        <w:br/>
        <w:t xml:space="preserve">a) Virtual private networks ..................................................................................... 44  </w:t>
        <w:br/>
        <w:t xml:space="preserve">i) General presentation .......................................................................................... 44  </w:t>
        <w:br/>
        <w:t xml:space="preserve">ii) Orange's offers .................................................................................................... 45  </w:t>
        <w:br/>
        <w:t xml:space="preserve">iii) Wholesale offers necessary for the construction of virtual private networks .. 45  </w:t>
        <w:br/>
        <w:t xml:space="preserve">iv) The purchasing behavior of non-residential customers .................................. 46  </w:t>
        <w:br/>
        <w:t xml:space="preserve">v) The pricing policy of operators in the retail market ......................................... 48  </w:t>
        <w:br/>
        <w:t xml:space="preserve">b) Discounts applied by Orange under exclusivity conditions ............................ 49  </w:t>
        <w:br/>
        <w:t xml:space="preserve">i) Discounts applied by Orange ............................................................................. 49  </w:t>
        <w:br/>
        <w:t xml:space="preserve">ii) The application of an exclusivity condition to these discounts ....................... 51  </w:t>
        <w:br/>
        <w:t xml:space="preserve">c) Conclusion ............................................................................................................ 52  </w:t>
        <w:br/>
        <w:t xml:space="preserve">5. ORANGE'S PRICING POLICY .........................................................................................52  </w:t>
        <w:br/>
        <w:t xml:space="preserve">a) The economic studies produced by the complainants ....................................... 52  </w:t>
        <w:br/>
        <w:t xml:space="preserve">i) The information produced by Bouygues Telecom ............................................. 52  </w:t>
        <w:br/>
        <w:t xml:space="preserve">ii) The information produced by SFR .................................................................... 53  </w:t>
        <w:br/>
        <w:t xml:space="preserve">iii) Conclusion .......................................................................................................... 54  </w:t>
        <w:br/>
        <w:t xml:space="preserve">b) The elements resulting from the investigation .................................................. 54  </w:t>
        <w:br/>
        <w:t xml:space="preserve">i) Search for material elements ............................................................................. 54  </w:t>
        <w:br/>
        <w:t xml:space="preserve">ii) Search for intentional elements ......................................................................... 55  </w:t>
        <w:br/>
        <w:t xml:space="preserve">iii) The predation scenarios put forward by Bouygues Telecom and SFR .......... 56  </w:t>
        <w:br/>
        <w:t xml:space="preserve">c) Conclusion ............................................................................................................ 56  </w:t>
        <w:br/>
        <w:t xml:space="preserve">C. THE NOTIFIED GRIEVANCES .......................................................................................... 56  </w:t>
        <w:br/>
        <w:t xml:space="preserve">D. THE IMPLEMENTATION OF THE PROCEDURE FOR NON-CONTESTATION OF GRIEVANCES ........... 58  </w:t>
        <w:br/>
        <w:t xml:space="preserve">III. Discussion .................................................................................................. 59  </w:t>
        <w:br/>
        <w:t xml:space="preserve">A. ON THE CONSEQUENCES OF THE IMPLEMENTATION OF THE PROCEDURE FOR NON-CONTESTATION OF GRIEVANCES .................................................................................. 59  </w:t>
        <w:br/>
        <w:t xml:space="preserve">1. THE PRINCIPLES ..............................................................................................................59  </w:t>
        <w:br/>
        <w:t xml:space="preserve">2. APPLICATION TO THE CASE AT HAND ...........................................................................60  </w:t>
        <w:br/>
        <w:t xml:space="preserve">a) On the existence of a market for mobile communication services aimed at non-residential customers .................................................................................. 60  </w:t>
        <w:br/>
        <w:t xml:space="preserve">The notion of the relevant market ........................................................................... 60  </w:t>
        <w:br/>
        <w:t xml:space="preserve">Past decision-making practice ................................................................................ 61  </w:t>
        <w:br/>
        <w:t xml:space="preserve">Market delimitation .................................................................................................. 62  </w:t>
        <w:br/>
        <w:t xml:space="preserve">b) On Orange's dominant position in this market .................................................. 65  </w:t>
        <w:br/>
        <w:t xml:space="preserve">3. CONCLUSION ON THE OBSERVED PRACTICES .................................................................66  </w:t>
        <w:br/>
        <w:t xml:space="preserve">a) On grievance no. 1 ................................................................................................ 66  </w:t>
        <w:br/>
        <w:t xml:space="preserve">b) On grievance no. 2 ................................................................................................ 67  </w:t>
        <w:br/>
        <w:t xml:space="preserve">c) On grievance no. 3 ................................................................................................ 67  </w:t>
        <w:br/>
        <w:t xml:space="preserve">d) On grievance no. 4 ................................................................................................ 68  </w:t>
        <w:br/>
        <w:t xml:space="preserve">B. ON THE OTHER PRACTICES REPORTED BY THE COMPLAINANTS .................................. 68  </w:t>
        <w:br/>
        <w:t xml:space="preserve">C. ON THE SANCTION ............................................................................................................. 69  </w:t>
        <w:br/>
        <w:t xml:space="preserve">1. ON THE GRAVITY OF THE PRACTICES .............................................................................70  </w:t>
        <w:br/>
        <w:t xml:space="preserve">a) On the gravity related to the nature of the infractions in question .................. 70  </w:t>
        <w:br/>
        <w:t xml:space="preserve">b) On the gravity related to Orange's situation in the sector ............................... 70  </w:t>
        <w:br/>
        <w:t xml:space="preserve">c) On the gravity related to the nature of the persons likely to be affected by the practices .............................................................................................................. 71  </w:t>
        <w:br/>
        <w:t xml:space="preserve">d) On the gravity related to the nature of the products concerned ....................... 71  </w:t>
        <w:br/>
        <w:t xml:space="preserve">e) On the gravity related to the objective characteristics of the infractions .......... 72  </w:t>
        <w:br/>
        <w:t xml:space="preserve">2. ON THE IMPORTANCE OF THE DAMAGE CAUSED TO THE ECONOMY ..........................73  </w:t>
        <w:br/>
        <w:t xml:space="preserve">a) Reminder of the principles .................................................................................. 73  </w:t>
        <w:br/>
        <w:t xml:space="preserve">b) Assessment of the damage to the economy related to grievance no. 1 ............ 73  </w:t>
        <w:br/>
        <w:t xml:space="preserve">i) On the extent of the practices in question ......................................................... 73  </w:t>
        <w:br/>
        <w:t xml:space="preserve">ii) On the objective economic characteristics of the sector .................................. 74  </w:t>
        <w:br/>
        <w:t xml:space="preserve">iii) On the conjunctural and structural consequences of the practices .................. 75  </w:t>
        <w:br/>
        <w:t xml:space="preserve">c) Assessment of the damage to the economy related to grievance no. 4 ............. 75  </w:t>
        <w:br/>
        <w:t xml:space="preserve">i) On the extent of the practices in question ......................................................... 75  </w:t>
        <w:br/>
        <w:t xml:space="preserve">ii) On the objective economic characteristics of the sector .................................. 76  </w:t>
        <w:br/>
        <w:t xml:space="preserve">iii) On the conjunctural and structural consequences of the practices .................. 76  </w:t>
        <w:br/>
        <w:t xml:space="preserve">d) Assessment of the damage to the economy related to grievances no. 2 and 3 .... 77  </w:t>
        <w:br/>
        <w:t xml:space="preserve">i) On the extent of the practices in question ......................................................... 77  </w:t>
        <w:br/>
        <w:t xml:space="preserve">ii) On the objective economic characteristics of the sector .................................. 77  </w:t>
        <w:br/>
        <w:t xml:space="preserve">iii) On the conjunctural and structural consequences of the practices .................. 79  </w:t>
        <w:br/>
        <w:t xml:space="preserve">3. ON THE RECIDIVISM ........................................................................................................82  </w:t>
        <w:br/>
        <w:t xml:space="preserve">4. CONCLUSION ON THE AMOUNT OF THE SANCTION .........................................................83  </w:t>
        <w:br/>
        <w:t xml:space="preserve">D. ON THE INJUNCTIONS ......................................................................................................... 83  </w:t>
        <w:br/>
        <w:t xml:space="preserve">E. ON THE OBLIGATION TO PUBLISH ................................................................................... 84  </w:t>
        <w:br/>
        <w:t>DECISION ............................................................................................................................. 88</w:t>
      </w:r>
    </w:p>
    <w:p>
      <w:r>
        <w:rPr>
          <w:b/>
        </w:rPr>
        <w:t>[Pages 7–9]</w:t>
      </w:r>
    </w:p>
    <w:p>
      <w:r>
        <w:t xml:space="preserve">I. Procedure  </w:t>
        <w:br/>
        <w:t xml:space="preserve">A. THE REFERRALS  </w:t>
        <w:br/>
        <w:t xml:space="preserve">1. THE REFERRAL BY BOUYGUES TELECOM  </w:t>
        <w:br/>
        <w:t xml:space="preserve">1. By registered letter dated April 14, 2008, under number 08/0041 F, the company Bouygues Télécom (hereinafter "Bouygues Telecom") referred to the Competition Council practices implemented by the company France Télécom (hereinafter "France Télécom") and the company Orange France (hereinafter "Orange France") in the sector of electronic communication services aimed at non-residential customers, particularly in the mobile telephony market for non-residential customers.  </w:t>
        <w:br/>
        <w:t xml:space="preserve">2. In its referral, Bouygues Telecom argues that various practices implemented by France Télécom and Orange France, which it considers to be in a dominant position in the aforementioned market, should be classified as abuse of a dominant position within the meaning of Article L. 420-2 of the Commercial Code and Article 102 of the TFEU. The referring company specifically mentions, among these practices, the use of loyalty discounts and bundling discounts as well as the implementation of predatory pricing. Bouygues Telecom requests the Competition Council to recognize the existence of these abuses and to put an end to the practices thus implemented.  </w:t>
        <w:br/>
        <w:t xml:space="preserve">3. On June 14, 2010, Bouygues Telecom additionally referred to the Competition Authority new practices implemented by France Télécom and Orange France in the sector of electronic communication services aimed at non-residential customers. The referring company particularly targets the "privilege" discount, considered as loyalty-inducing, as well as predatory pricing allegedly practiced during public and private tenders. Bouygues Telecom requests the Competition Authority (hereinafter "the Authority") to recognize the existence of these abuses and to put an end to the practices it identifies as supplementary.  </w:t>
        <w:br/>
        <w:t xml:space="preserve">2. THE REFERRAL BY SFR  </w:t>
        <w:br/>
        <w:t xml:space="preserve">4. By registered letter dated August 10, 2010, under number 10/0075 F, the French radiotelephone company (hereinafter "SFR") also referred to the Authority regarding certain practices implemented in the sector of electronic communication services aimed at non-residential customers, particularly in the mobile telephony market for non-residential customers.  </w:t>
        <w:br/>
        <w:t xml:space="preserve">5. In its referral, SFR believes that the abusive practices it denounces fall into two categories. Firstly, France Télécom and Orange France allegedly practice predatory pricing during public and private client tenders. Secondly, the referring company considers that the "privilege" discount implemented by these companies constitutes an abusive loyalty practice.  </w:t>
        <w:br/>
        <w:t xml:space="preserve">6. According to SFR, these various practices implemented by France Télécom and Orange France, which it considers to be in a dominant position in the previously considered market, should be classified as abuse of a dominant position within the meaning of Article L. 420-2 of the Commercial Code and Article 102 of the TFEU. In this regard, it requests the Authority to recognize the existence of these abuses and to put an end to the practices thus implemented.  </w:t>
        <w:br/>
        <w:t xml:space="preserve">B. THE INVESTIGATION  </w:t>
        <w:br/>
        <w:t xml:space="preserve">1. THE JOINING OF THE INVESTIGATION OF THE TWO CASES  </w:t>
        <w:br/>
        <w:t xml:space="preserve">7. By a decision dated September 6, 2010 (reference 13311), the investigation of the two aforementioned cases was joined.  </w:t>
        <w:br/>
        <w:t xml:space="preserve">2. THE OPERATIONS OF VISITS AND SEIZURES  </w:t>
        <w:br/>
        <w:t xml:space="preserve">8. By an order dated December 6, 2010 (references 13543 and 13558), the judge of freedoms and detention of the Paris High Court authorized the investigation services of the Authority to carry out the visits and seizures provided for by Article L. 450-4 of the Commercial Code for the purpose of seeking evidence of anti-competitive practices in the sector of electronic communications aimed at non-residential customers.  </w:t>
        <w:br/>
        <w:t xml:space="preserve">9. Based on this judicial authorization, the investigation services conducted visits and seizures on December 9, 2010, at the premises of Equant France, France Télécom, Orange Business Participations, Orange Business Services, Orange France, and Orange Consulting.  </w:t>
        <w:br/>
        <w:t xml:space="preserve">10. France Télécom appealed to the Paris Court of Appeal against several appeals directed against the order of December 6, 2010, of the judge of freedoms and detention as well as against the operations of visits and seizures carried out on December 9, 2010. The Court of Appeal rejected all these appeals as inadmissible by two orders dated May 15, 2012.  </w:t>
        <w:br/>
        <w:t xml:space="preserve">3. THE CONSULTATION OF THE REGULATORY AUTHORITY FOR ELECTRONIC COMMUNICATIONS AND POST  </w:t>
        <w:br/>
        <w:t xml:space="preserve">11. In accordance with the provisions of Article R. 463-9 of the Commercial Code, the referrals from Bouygues Telecom and SFR were communicated for observations to the Regulatory Authority for Electronic Communications and Post (hereinafter "ARCEP"), by letter dated April 15, 2013 (reference 24362). ARCEP expressed its opinion on these referrals by an opinion dated June 11, 2013 (references 25434 to 25510).  </w:t>
        <w:br/>
        <w:t xml:space="preserve">4. THE WITHDRAWAL OF THE COMPANY BOUYGUES TELECOM  </w:t>
        <w:br/>
        <w:t xml:space="preserve">12. By a letter dated March 21, 2014, Bouygues Telecom informed the president of the Authority of its decision to withdraw its referrals.  </w:t>
        <w:br/>
        <w:t xml:space="preserve">13. By decision No. 14-DE-01 dated April 18, 2014, the president of the Authority acknowledged Bouygues Telecom's withdrawal, in accordance with the provisions of Article L. 462-8 of the Commercial Code. The decision specifies that the investigation of the cases registered under numbers 08/0041 F and 10/0075 F, previously joined, continues.  </w:t>
        <w:br/>
        <w:t xml:space="preserve">II. Findings  </w:t>
        <w:br/>
        <w:t xml:space="preserve">A. THE SECTOR  </w:t>
        <w:br/>
        <w:t xml:space="preserve">14. It is necessary to describe the sector of electronic communications aimed at non-residential customers before addressing the actors in this sector.  </w:t>
        <w:br/>
        <w:t xml:space="preserve">1. THE SECTOR OF ELECTRONIC COMMUNICATIONS AIMED AT NON-RESIDENTIAL CUSTOMERS  </w:t>
        <w:br/>
        <w:t xml:space="preserve">15. The needs of businesses for electronic communication services constitute a significant part of the activity of electronic communication operators. As noted by ARCEP in its opinion dated June 11, 2013, issued in the context of the investigation (p. 11), the market aimed at non-residential customers represented, in 2011, "30% of the revenues of electronic communication operators, with 12.1 billion euros, distributed among fixed services (5.3 billion), mobile services (3.5 billion), data transport (2.1 billion), leased lines (0.6 billion), and value-added services (0.6 billion)" (reference 25484).  </w:t>
        <w:br/>
        <w:t xml:space="preserve">16. These services aimed at businesses include fixed telephony, internet access provision, mobile telephony, and finally capacity services which include private interconnection networks.  </w:t>
        <w:br/>
        <w:t xml:space="preserve">17. The non-residential customer base, which has a particular structure, differs from the residential customer base by specific needs that electronic communication operators meet with specific offers.  </w:t>
        <w:br/>
        <w:t xml:space="preserve">a) The structure of the non-residential customer base  </w:t>
        <w:br/>
        <w:t xml:space="preserve">18. In its opinion (p. 5), ARCEP notes that the 4.5 million businesses recorded in 2009 in France can be categorized as follows (reference 25478):  </w:t>
        <w:br/>
        <w:t xml:space="preserve">- "94.1% are professionals or businesses with between 0 and 9 employees (TPE, 'very small enterprises'), with an average of 2 people. They account for 9,000,000 people, or 37% of the total payroll. The majority of them are single-site (96%). The 4% of multi-site businesses have an average number of 2.2 sites;  </w:t>
        <w:br/>
        <w:t>- 4.6% are businesses with between 10 and 49 employees, with an average of 20.1 employees. They account for 4,500,000 people, or 19% of the total payroll. A majority of them are single-site (64%). Multi-site businesses account for the remaining 36%, and have an average of 2.8 sites;</w:t>
      </w:r>
    </w:p>
    <w:p>
      <w:r>
        <w:rPr>
          <w:b/>
        </w:rPr>
        <w:t>[Pages 10–12]</w:t>
      </w:r>
    </w:p>
    <w:p>
      <w:r>
        <w:t xml:space="preserve">- 1.1% are companies with between 50 and 500 employees, with an average of 118 employees. They concern 6,000,000 employees, or 23% of the total payroll. The proportion of single-site and multi-site companies is balanced, with 48% and 52% respectively, and an average of 6.4 sites for multi-sites;  </w:t>
        <w:br/>
        <w:t>- 0.1% are companies with more than 500 employees, with an average of 1,155 employees. They concern 5,000,000 employees, or 21% of the total payroll. The vast majority of them (88%) are multi-site, with an average of 32.9 sites.</w:t>
      </w:r>
    </w:p>
    <w:p>
      <w:r>
        <w:t xml:space="preserve">19. Operators distinguish three customer segments within the market for services aimed at non-residential customers, the delineation of which may vary slightly among them:  </w:t>
        <w:br/>
        <w:t xml:space="preserve">- the market entry segment which groups professionals and small businesses;  </w:t>
        <w:br/>
        <w:t xml:space="preserve">- the mid-market segment which groups medium and large-sized companies;  </w:t>
        <w:br/>
        <w:t>- and the high-end market segment which groups very large companies and large administrations.</w:t>
      </w:r>
    </w:p>
    <w:p>
      <w:r>
        <w:t xml:space="preserve">b) The specific needs of non-residential customers  </w:t>
        <w:br/>
        <w:t xml:space="preserve">i) Needs common to all services  </w:t>
        <w:br/>
        <w:t xml:space="preserve">20. Firstly, companies desire a higher level of service quality than that generally expected in the residential context, particularly since any service interruption can have a direct impact on their revenue. Indeed, the quality of access to electronic communications plays a major role in terms of productivity and brand image. ARCEP thus emphasizes, in its opinion (p. 7), that "companies have an increased need for service quality and are willing to pay more than the general public for guarantees of services superior to those offered in the consumer market" (reference 25480).  </w:t>
        <w:br/>
        <w:t xml:space="preserve">21. Secondly, non-residential customers express specific needs regarding the ordering of bundled lines and fleet management. Companies must be able to centralize the management of a set of lines with a manager who is not themselves the user of the lines. According to ARCEP (p. 7 of the opinion), these needs are characteristic of the non-residential market (reference 25479).  </w:t>
        <w:br/>
        <w:t>22. Thirdly, as noted by ARCEP (p. 6 of the opinion), while residential uses are very homogeneous and can therefore be satisfied through a relatively limited catalog of offers, "non-residential uses, on the contrary, are very varied and depend heavily on the number of employees of the company and its sector of activity; they therefore require a wide and comprehensive offer allowing for the customization of solutions" (reference 25479).</w:t>
      </w:r>
    </w:p>
    <w:p>
      <w:r>
        <w:t xml:space="preserve">ii) Specific needs for each type of service  </w:t>
        <w:br/>
        <w:t xml:space="preserve">23. Following the opinion it issued during the investigation, ARCEP more precisely distinguishes the different specific needs that non-residential customers may have depending on the type of electronic communications services considered (references 25480 and 25481). In terms of fixed telephony, "the specificities of the needs of non-residential customers relate to both the public switched telephone network (PSTN) (fax, payment systems, alarms, etc.) and Internet Protocol (IP) networks (coupling telephony and computing, audio and video conferencing, unified messaging, single number, etc.). Furthermore, as the number of users increases, the intensity of uses leads companies to turn to solutions that allow for connections between the different stations of an internal telephone network, or between these stations and the external telephone network through a telephone switchboard, also known as a PBX."  </w:t>
        <w:br/>
        <w:t xml:space="preserve">24. ARCEP also considers that internet access dedicated to the non-residential market "is distinguished from residential access by its sizing and the associated quality of service, a crucial element for most companies. Beyond basic uses such as web browsing, email exchanges, etc., internet access provides companies with tools for marketing (web pages, social networks), searching for tenders or partners, monitoring, purchasing, recruiting, remote maintenance, sales, logistics, financial relations with partners and banks, dematerialization of relations with administrations, etc. Thus, the multiplicity of potential uses of the internet for companies makes it a critical service. Whether for the use of fixed telephony over IP, data exchange with the outside, or interconnection of different sites of a company via a local network, the demand for quality of service can manifest itself through the requirement for specific performance in terms of flow (high speeds, guaranteed speeds, symmetrical speeds, prioritization of certain types of flows or network performance guarantees), commissioning and migration (connection time and compliance with the contractual delivery data), service availability, or after-sales service (multiple provisioning, guarantee of recovery time (GTR)).  </w:t>
        <w:br/>
        <w:t xml:space="preserve">25. The need for non-residential customers for a "private interconnection network" is then noted, "as several users must share local IT resources and communicate from remote sites."  </w:t>
        <w:br/>
        <w:t xml:space="preserve">26. Finally, regarding mobile telephony, according to the sectoral regulatory authority, "the needs of companies range from simple offers with a single point of contact and simplified management, including for billing and customer relations, to the management of extensive fleets with differentiated types of terminals, options, and contracts, and requests for preferential rates for internal communications within the company's fleet."  </w:t>
        <w:br/>
        <w:t>27. Non-residential customers thus present specific needs for each of the different types of electronic communications services, whether it be fixed telephony, mobile telephony, internet access, or private interconnection networks.</w:t>
      </w:r>
    </w:p>
    <w:p>
      <w:r>
        <w:t xml:space="preserve">c) Specific offers aimed at non-residential customers  </w:t>
        <w:br/>
        <w:t>28. In addition to establishing a dedicated customer service and an adapted management of customer relations (advisors and business customer space, dedicated after-sales service, assistance in case of employee changes, voicemail solutions, personalized consumption studies, etc.), electronic communications operators have developed offers different from those proposed to residential customers to adequately respond to the needs of businesses.</w:t>
      </w:r>
    </w:p>
    <w:p>
      <w:r>
        <w:t xml:space="preserve">i) Specific offers by type of service  </w:t>
        <w:br/>
        <w:t xml:space="preserve">Mobile services  </w:t>
        <w:br/>
        <w:t xml:space="preserve">29. Mobile telephony operators offer their business market clients a wide variety of mobile plans and specific options. ARCEP (p. 8 of the opinion) provides a non-exhaustive list: "bundled offers, intra-fleet communications, adjustable plans, unlimited voice during the day, conference call systems, fleet management systems, inclusion of international calls, roaming offers at more advantageous rates, call forwarding, secure BlackBerry messaging systems, mobile access to the company's internal network resources, terminal renewal with partial or total subsidy, range of professional terminals..." (reference 25481).  </w:t>
        <w:br/>
        <w:t>30. Lines of non-residential customers represent approximately 16% of the total SIM card fleet, or 10.8 million lines, accounting for 18.2% of mobile telephony revenue in 2011 (16.8% in 2010) (reference 25484, p. 11 of ARCEP's opinion).</w:t>
      </w:r>
    </w:p>
    <w:p>
      <w:r>
        <w:t xml:space="preserve">Fixed services  </w:t>
        <w:br/>
        <w:t xml:space="preserve">31. Operators offer their non-residential customers specific products and services in terms of fixed communications.  </w:t>
        <w:br/>
        <w:t xml:space="preserve">32. The fixed services offered to businesses can be schematically broken down as follows:  </w:t>
        <w:br/>
        <w:t xml:space="preserve">- fixed telephony on the public switched telephone network (PSTN) or on the internet network (VoIP for "voice over internet protocol"), either via a dedicated link or via a virtual private network;  </w:t>
        <w:br/>
        <w:t xml:space="preserve">- fixed telecommunications other than telephony, either through the provision of internet access or through the establishment of a virtual private network (VPN), which allows for the privatized and secure interconnection of the different sites of a company.  </w:t>
        <w:br/>
        <w:t xml:space="preserve">33. Regarding fixed telephony, the specificity of the offer is notably manifested by telephone switchboard services, call management, interactive voice services, unlimited voice periods during the day, inclusion of international calls, or guarantees of recovery time (p. 8 of ARCEP's opinion).  </w:t>
        <w:br/>
        <w:t xml:space="preserve">34. In its opinion (p. 13), ARCEP specifies that revenue from business customers represents 3.4 billion euros excluding taxes, or 44% of the revenue of the fixed telephony market in 2011.  </w:t>
        <w:br/>
        <w:t>35. Regarding fixed data communication, operators offer particular services for non-residential customers, including offers with symmetrical speeds, interconnection offers between sites (VPN), prioritization of flows, speed guarantees, or guarantees of recovery time (p. 8 of the aforementioned opinion).</w:t>
      </w:r>
    </w:p>
    <w:p>
      <w:r>
        <w:t xml:space="preserve">Convergent services  </w:t>
        <w:br/>
        <w:t>36. Generally speaking, the evolution of operators' networks and internet technology allows for an increasingly significant technological coupling of fixed and mobile services and a certain continuity between services. Operators have thus been offering convergent fixed-mobile offers to businesses for several years.</w:t>
      </w:r>
    </w:p>
    <w:p>
      <w:r>
        <w:rPr>
          <w:b/>
        </w:rPr>
        <w:t>[Pages 13–15]</w:t>
      </w:r>
    </w:p>
    <w:p>
      <w:r>
        <w:t xml:space="preserve">37. Thus, according to ARCEP (p. 8 of the opinion), "companies subscribe to bundled fixed-mobile offers that allow them to centralize their purchases, achieve savings, and benefit from software solutions such as unified telephony, cloud computing, a single billing system, etc." (reference 25481).  </w:t>
        <w:br/>
        <w:t xml:space="preserve">ii) Tailored marketing based on the type of company considered  </w:t>
        <w:br/>
        <w:t xml:space="preserve">38. As previously indicated, the non-residential clientele consists of three segments. This segmentation may lead electronic communications operators to implement tailored marketing based on the type of clientele considered.  </w:t>
        <w:br/>
        <w:t xml:space="preserve">39. For professionals and very small enterprises (TPE), ARCEP (p. 8 of the opinion) notes that "fixed and mobile operators have developed offers that are halfway between 'business' offers and consumer offers." The Pro versions of fixed offers and mobile plans, for example, provide unlimited voice calls during the day but not in the evening, inclusion of international calls to landlines and mobiles and/or roaming, shared and adjustable plans, dedicated customer service, as well as unlimited internet with higher speeds, professional email boxes, and GTR for fixed telephony" (reference 25481).  </w:t>
        <w:br/>
        <w:t xml:space="preserve">40. For the mid-market, fixed and mobile operators use catalogs of offers that describe the various services to which clients can subscribe. ARCEP notes in this regard that "some companies may, depending on their size, have a certain margin for negotiation, if necessary by organizing a competitive bidding process among operators" (reference 25482).  </w:t>
        <w:br/>
        <w:t xml:space="preserve">41. Finally, regarding the high-end market, operators are generally put in competition through calls for tenders, in which the needs of companies and administrations are defined more precisely in order to obtain customized offers, adapted rates, but also negotiated contractual conditions.  </w:t>
        <w:br/>
        <w:t xml:space="preserve">2. THE ACTORS IN THE SECTOR  </w:t>
        <w:br/>
        <w:t xml:space="preserve">a) Companies present in both fixed and mobile markets  </w:t>
        <w:br/>
        <w:t xml:space="preserve">42. Generalist operators, who operate in both the consumer offers market and the market for offers specifically aimed at businesses, form a large part of the fixed and mobile offer.  </w:t>
        <w:br/>
        <w:t xml:space="preserve">i) The France Télécom - Orange group  </w:t>
        <w:br/>
        <w:t xml:space="preserve">The organization of the group  </w:t>
        <w:br/>
        <w:t xml:space="preserve">43. France Télécom is a public limited company owned 67.62% by institutional and individual shareholders, 13.45% by the State, 13.50% by BPI France, and 4.63% by employees (0.81% of self-holding) (figures as of December 31, 2012). Orange France was a 100% subsidiary of Orange Holding, which is itself a 100% subsidiary of France Télécom.  </w:t>
        <w:br/>
        <w:t xml:space="preserve">44. France Télécom, Orange Holding, and Orange France merged on June 30, 2013. Following this operation, only France Télécom remains, which changed its corporate name to Orange as of July 1, 2013.  </w:t>
        <w:br/>
        <w:t xml:space="preserve">45. In the remainder of the decision, the France Télécom - Orange group, including the subsidiary Orange France until its dissolution, will be referred to as "Orange."  </w:t>
        <w:br/>
        <w:t xml:space="preserve">46. The marketing of fixed electronic communication products to non-residential customers is carried out by Orange, primarily through its major accounts division (DGC) for the high-end market, and its France business division as well as its business agencies for the mid-market.  </w:t>
        <w:br/>
        <w:t xml:space="preserve">The Orange business services brand  </w:t>
        <w:br/>
        <w:t xml:space="preserve">47. Orange, through its brand Orange business services (hereinafter "OBS"), is the major player in the electronic communications services sector aimed at non-residential clientele, both for fixed and mobile services.  </w:t>
        <w:br/>
        <w:t xml:space="preserve">48. Regarding fixed services, the Authority recently indicated, in its decision n° 14-DCC-160 of October 30, 2014, concerning the exclusive control of SFR by the Altice group (paragraph 397), that "the historical operator has a particular position in this market. ARCEP notes that Orange enjoys a very significant reputation for reliability and responsiveness among businesses. Thanks to the copper local loop deployed in a monopoly situation, its very extensive fiber optic network, its vertical integration, and its investment capacity, Orange is the reference player in the market."  </w:t>
        <w:br/>
        <w:t xml:space="preserve">49. Concerning mobile services, ARCEP emphasizes that "France Télécom-Orange is the operator with the most extensive 2G and 3G coverage. In 2012, the coverage rate for 2G and 3G was 99.9% and 98.5% of the population, and 97.3% and 87.3% of the land area, respectively. It also has a voice service quality and data speed superior to the average" (p. 14 of the opinion, references 25487 and 25488).  </w:t>
        <w:br/>
        <w:t xml:space="preserve">50. Across the entire sector, ARCEP estimates that "France Télécom-Orange, relying on the extent of its fixed and mobile infrastructure, is capable of meeting the needs of all market segments, including the most complex demands of major accounts. It does so through its 'Orange Business Services' (OBS) division. OBS operates, through its employees, advisors, and specialized salespeople, in a unified manner across all products of France Télécom–Orange" (p. 15 of the opinion, reference 25488).  </w:t>
        <w:br/>
        <w:t xml:space="preserve">ii) SFR  </w:t>
        <w:br/>
        <w:t xml:space="preserve">51. SFR is a public limited company that was owned, until June 16, 2011, 56% by the Vivendi group and 44% by the Vodafone group. On June 16, 2011, Vivendi acquired the stake held by Vodafone to become the sole shareholder of SFR. Following decision n° 14-DCC-160 of October 30, 2014, authorizing the exclusive control of SFR by the Altice group, Vivendi sold its stake to Numericable, which now holds 80% of SFR.  </w:t>
        <w:br/>
        <w:t xml:space="preserve">52. After Orange, SFR is the second most important player present, through its entity "SFR Business Team," in the electronic communications sector aimed at non-residential clientele.  </w:t>
        <w:br/>
        <w:t xml:space="preserve">53. In its opinion (p. 15), ARCEP notes that (reference 25488) "SFR has an extensive fixed network, generally deployed to primarily collect traffic from residential subscribers. It has also deployed a fiber optic mesh network covering major metropolitan areas. When its infrastructures are available (...), SFR is active as a provider in the wholesale markets. In areas where its network has not been deployed or where its extension may prove too costly, it can rely on wholesale offers provided by other operators (mostly RIP operators or France Télécom). SFR's mobile network is slightly less extensive than that of France Télécom–Orange but still covers almost the entire metropolitan French territory. In 2G, the coverage rate is 99.6% of the population and 93.3% of the land area. In 3G, these percentages are 98.6% and 86.4%, respectively. In terms of service quality, the performance of SFR's mobile network is equal to or superior to the average according to the measured indicators. Just like France Télécom - Orange, the extent of SFR's fixed and mobile infrastructures allows it to be present across all non-residential market segments at the national level."  </w:t>
        <w:br/>
        <w:t xml:space="preserve">iii) Bouygues Telecom  </w:t>
        <w:br/>
        <w:t xml:space="preserve">54. Bouygues Telecom is a public limited company, 90.16% owned by the Bouygues group and 9.47% by the JC Decaux Holding group, a family holding controlling the publicly traded JC Decaux group (figures as of December 31, 2013).  </w:t>
        <w:br/>
        <w:t xml:space="preserve">55. Bouygues Telecom appears as one of the three historical mobile operators. However, it has a mobile network that is slightly less dense than that of the other two operators, particularly in terms of its 2G and 3G coverage.  </w:t>
        <w:br/>
        <w:t xml:space="preserve">56. Regarding fixed services, ARCEP emphasizes that the operator, "having recently entered the fixed market, has deployed only a limited amount of its own optical infrastructure. For accesses offered on copper support, Bouygues Telecom relies, on the other hand, on the infrastructure it deploys to serve its residential clientele. (...) This more limited footprint, particularly in fixed services, impacts the operator's positioning with non-residential clients" (p. 15 and 16 of the opinion, references 25488 and 25489).  </w:t>
        <w:br/>
        <w:t xml:space="preserve">57. ARCEP consequently notes that "the 'Bouygues Telecom Enterprises' department, allowing non-residential clients to have a single point of contact for their mobile and fixed communication needs, appears to focus more on SMEs and mobile solutions than on major accounts and specialized fixed offers" (p. 16 of the opinion, reference 25489).  </w:t>
        <w:br/>
        <w:t xml:space="preserve">b) Companies present only in either the fixed market or the mobile market  </w:t>
        <w:br/>
        <w:t xml:space="preserve">58. Due to the variety, complexity, and geographical fragmentation of the non-residential market, there is a diversity of actors in the market:  </w:t>
        <w:br/>
        <w:t>- specialized fixed operators that have deployed networks dedicated to connecting non-residential clients, such as Numéricable-Completel until recently, or other</w:t>
      </w:r>
    </w:p>
    <w:p>
      <w:r>
        <w:rPr>
          <w:b/>
        </w:rPr>
        <w:t>[Pages 16–18]</w:t>
      </w:r>
    </w:p>
    <w:p>
      <w:r>
        <w:t>opérateurs concernés) et de veiller à ce que les accès soient limités aux seules personnes ayant besoin d'accéder à ces informations pour l'exercice de leurs fonctions » (cote 21617).</w:t>
      </w:r>
    </w:p>
    <w:p>
      <w:r>
        <w:t>77. Le document souligne également que « toute divulgation d'informations sensibles pourrait avoir des conséquences graves pour France Télécom, tant sur le plan juridique que commercial » (cote 21618).</w:t>
      </w:r>
    </w:p>
    <w:p>
      <w:r>
        <w:t>78. Enfin, il est précisé que « des formations doivent être dispensées aux employés concernés pour leur rappeler les obligations en matière de confidentialité et de non-discrimination » (cote 21619).</w:t>
      </w:r>
    </w:p>
    <w:p>
      <w:r>
        <w:rPr>
          <w:b/>
        </w:rPr>
        <w:t>[Pages 19–21]</w:t>
      </w:r>
    </w:p>
    <w:p>
      <w:r>
        <w:t>manager) » and to "ensure that the allocation of access rights to the information system responds exclusively to the needs of the business and the functions actually performed and that the information is accessible only to those who need it to perform their job."</w:t>
      </w:r>
    </w:p>
    <w:p>
      <w:r>
        <w:t>77. The document further specifies that "France Télécom normally has the right to exploit its own data but must ensure, due to its dominant position, that its competitors have equivalent means. The use of certain data (network data in particular) may be considered a competitive advantage, as said data may constitute an essential facility" (reference 21622). It then presents an example of a practice that could pose a risk for France Télécom: "Use of network data (such as line configurations) to improve the placement of offers, while this data is not available to third-party operators. Thus, the Competition Council has mandated France Télécom to allow competitors access to the same information as it does for line eligibility, which resulted in the establishment of the Eligibility Server" (reference 21623).</w:t>
      </w:r>
    </w:p>
    <w:p>
      <w:r>
        <w:t xml:space="preserve">b) The differences in treatment observed  </w:t>
        <w:br/>
        <w:t xml:space="preserve">i) The situation of third-party operators  </w:t>
        <w:br/>
        <w:t xml:space="preserve">The information transmitted to third-party operators  </w:t>
        <w:br/>
        <w:t>78. In order to make relevant choices regarding the deployment of network equipment and commercial offers, customer operators of unbundling offers and capacity offers need access to various information on eligibility for Orange's wholesale offers based on the location of their potential customer, as well as technical information elements from Orange's network serving their potential customer to correctly formalize their order with the entity of Orange responsible for marketing these wholesale offers.</w:t>
      </w:r>
    </w:p>
    <w:p>
      <w:r>
        <w:t>79. It is to meet these needs that the historical operator has established, particularly following decision No. 07-D-33 of October 15, 2007 (mentioned above) from the Competition Council and in application of the obligations imposed by ARCEP within the framework of sectoral regulation, access mechanisms for third-party operators to various information on the copper local loop.</w:t>
      </w:r>
    </w:p>
    <w:p>
      <w:r>
        <w:t>80. Firstly, Orange offers customer operators of its wholesale offers eligibility tools. According to SFR, "this is a 'Web extranet service' which is a machine-to-machine interface. By entering the customer's phone number, one obtains the characteristics of the physical line (gauge, length, section) for unbundling, as well as the associated NRA. Eligibility can be positive, negative, or conditional" (reference 25519). In the context of capacity offers, Orange particularly provides third-party operators with lists of municipalities indicating the type of capacity services available depending on the relevant subscriber distribution frame or connection node (NRA).</w:t>
      </w:r>
    </w:p>
    <w:p>
      <w:r>
        <w:t>81. Secondly, third-party operators considering using wholesale unbundling or capacity services have access to a tool called SETIAR. This is an extraction from the 42C database that provides a number of useful information. SFR specifies "that it is a technical database referencing all copper accesses, each copper pair being identified by a 10-digit technical number (it is not necessarily the traditional geographic phone number). This database also provides access to listings of active numbers ('ND' or designation number) and inactive numbers ('ND*'). The latter are numbers that are associated with a given address but have become inactive. If the search results in a total absence of resources, then a new line must be constructed. We do not know the lifespan of an inactive number before its possible disappearance (deconstruction of accesses)" (reference 25519).</w:t>
      </w:r>
    </w:p>
    <w:p>
      <w:r>
        <w:t>82. For ARCEP, "the homogeneity, completeness, and quality of the information contained in the SETIAR tool appear to be essential elements for the proper functioning of access order processes" (decision No. 2014-0733 of June 26, 2014, mentioned above, pp. 61 and 62). For example, in the case of a total unbundling order for a subscriber who does not yet have access, it is indeed important to know whether there is an already constructed inactive line end-to-end, which can simply be retrieved at the main distribution frame, or whether the line is not constructed end-to-end, which requires the systematic dispatch of a technician mandated by Orange, and thus implies a longer production time and the mobilization of additional resources.</w:t>
      </w:r>
    </w:p>
    <w:p>
      <w:r>
        <w:t>83. It is therefore based on the information primarily derived from the eligibility server and SETIAR that operators can, if necessary, position themselves with a potential customer both technically and in terms of pricing, particularly during a call for tenders. It is based on this same information that third-party operators place orders with Orange to benefit from the wholesale offer.</w:t>
      </w:r>
    </w:p>
    <w:p>
      <w:r>
        <w:t>84. Orange acknowledges receipt of the operators' orders within one day and specifies whether the request is complete. Once the order is validated, Orange contractually commits to delivering the subscribed offer within a certain timeframe (8 working days for the unbundling offer, references 25678 and 25521, 14 working days for capacity offers, reference 23833). In case of exceeding this maximum timeframe, Orange is subject to the payment of late penalties.</w:t>
      </w:r>
    </w:p>
    <w:p>
      <w:r>
        <w:t xml:space="preserve">The difficulties encountered by third-party operators  </w:t>
        <w:br/>
        <w:t>85. During the investigation, operators highlighted the limitations of access to information related to the copper local loop when ordering wholesale offers from Orange.</w:t>
      </w:r>
    </w:p>
    <w:p>
      <w:r>
        <w:t>86. Regarding the receipt by Orange of orders from third-party operators, SFR believes that "the rules applied regarding order rejection are quite opaque and it is not uncommon for SFR to have to pay penalties for a 'non-compliant order.' Despite numerous discussions with France Télécom on the subject, our order rejection volume does not decrease and is even quite significant" (reference 25520).</w:t>
      </w:r>
    </w:p>
    <w:p>
      <w:r>
        <w:t>87. Once the order is validated, if Orange contractually commits to delivering the subscribed offer within a certain timeframe as previously stated, some third-party operators believe they are not always "informed in real-time of the delivery. We sometimes receive the OK report several days after the intervention, which does not allow us to optimize our planning and results in a loss of revenue" (reference 25679).</w:t>
      </w:r>
    </w:p>
    <w:p>
      <w:r>
        <w:t>88. Furthermore, the information available to third-party operators, the ordering process, and the associated delivery times are partly theoretical. Indeed, the realization of the order remains subject to considerations of network saturation. Operators therefore commit to their potential customers and place orders with Orange without having a real view of the saturation state of France Télécom's network.</w:t>
      </w:r>
    </w:p>
    <w:p>
      <w:r>
        <w:t>89. Bouygues Telecom specifies in this regard that "certain information that would allow anticipating subsequent problems during deployment is sometimes missing. This is particularly the case with issues related to line saturation. In the case of a deployment, France Télécom checks the available technical resources (copper pairs). Either there are available copper pairs and the deployment can be done via an existing pair, or the line is saturated and there are no more copper resources, in which case France Télécom must carry out so-called desaturation work that significantly impacts deployment times" (reference 25678).</w:t>
      </w:r>
    </w:p>
    <w:p>
      <w:r>
        <w:t>90. Until the expiration of the aforementioned delivery times, the internal analysis of the order conducted by Orange may reveal the existence of network saturation, which then leads to a delay in the effective availability of the ordered wholesale offer. Sometimes, the intervention of the Orange technician on the customer's site for the effective commissioning of the link may also be an opportunity to detect a saturation problem that was not identified by Orange during its prior feasibility study.</w:t>
      </w:r>
    </w:p>
    <w:p>
      <w:r>
        <w:t>91. Bouygues Telecom emphasizes that when a saturation case is detected, the implementation times for desaturation operations are very long. In a case of exceptional construction difficulty, Bouygues Telecom indicates that "the deadline is no longer guaranteed and can extend over several months. Moreover, desaturation operations are entirely carried out by France Télécom (which notably manages the relationship with the administrations), without us having a precise schedule. Thus, in the case of desaturation, we are led to repeatedly postpone the expected production date of the line, which results in a significant loss of trust among customers. Line saturation is a very important issue as saturation cases currently represent 12% of orders placed and tend to increase. And the impact in terms of image on the business market (which has lower volumes than the consumer market) is extremely significant" (reference 25679).</w:t>
      </w:r>
    </w:p>
    <w:p>
      <w:r>
        <w:t>92. Operators therefore have no visibility on the timeframes necessary for carrying out desaturation operations to be performed on the ground, particularly by the teams of local intervention units responsible for managing the local loop network. This period of uncertainty is all the more significant as Orange is not bound by any maximum delivery timeframe in such cases (reference 25522).</w:t>
      </w:r>
    </w:p>
    <w:p>
      <w:r>
        <w:t>93. For Bouygues Telecom, "the goal is to be able to inform the customer as early as possible and (...) to be able to react accordingly by proposing, if necessary, alternative solutions. This point is essential to ensure clear communication quality on important deployment milestones" (reference 25683).</w:t>
      </w:r>
    </w:p>
    <w:p>
      <w:r>
        <w:t>94. However, these alternative solutions can only be obtained based on sufficient information, which does not always seem to be the case according to the operators. Bouygues Telecom thus emphasizes that "in the case of a 'KO return' of the order (inability to process the order following the feasibility study), France Télécom provides reasons that are not always clear regarding the refusal to unbundle the line" (reference 25681), (reference 25683). Similarly, SFR emphasizes: "Unlike France Télécom, we also do not have information regarding the saturation of the historical operator's network and the necessary desaturation operations to remedy it (is it at the level of the</w:t>
      </w:r>
    </w:p>
    <w:p>
      <w:r>
        <w:rPr>
          <w:b/>
        </w:rPr>
        <w:t>[Pages 22–24]</w:t>
      </w:r>
    </w:p>
    <w:p>
      <w:r>
        <w:t xml:space="preserve">transport, distribution?). This information, however, allows us to know whether we can deliver to a customer quickly or not” (cote 25524).  </w:t>
        <w:br/>
        <w:t xml:space="preserve">95. Third-party operators also do not have information on the costs that will be associated with these desaturation operations. However, the additional costs related to a saturation problem impact the business model of the financial proposal made to the customer. SFR indicates that “if we were selected, we committed to a rate that cannot be changed, regardless of the deployment issues encountered” (cote 25522).  </w:t>
        <w:br/>
        <w:t xml:space="preserve">96. Third-party operators state that they do not have the ability to directly contact the Orange teams responsible for desaturation operations, particularly those present in local intervention units, to gather information that would allow them to inform their retail customer. Bouygues Telecom explains that it does not have “the ability to call a France Télécom technician who would have access to the 42C database (reference database used to feed the information contained in the SETIAR tool) and who could inform us in real-time. Even if it were a paid option, this does not exist. In this regard, we had, within our teams, a former France Télécom employee who, by calling former colleagues at France Télécom, particularly those who had access to the 42C database, was sometimes able to obtain more precise information more quickly. From these informal exchanges, I understand that the technical information from the 42C database regarding the characteristics of the line is more comprehensive than that from the SETIAR application” (cotes 25683 and 25684). SFR adds, in this regard, the following elements: “While France Télécom teams can have a dialogue with field units by accessing the information contained in the 42C database, this is not the case for alternative operators” (cote 25520). SFR specifies that it does not have “access, directly or indirectly, to this type of hot line” (cote 25525).  </w:t>
        <w:br/>
        <w:t xml:space="preserve">97. Furthermore, regarding customer site relocations, SFR emphasizes that relocation cases “are always very delicate to handle because we must offer continuity of service, which implies being able to deliver the customer's traffic reliably to the right place and at the time desired by the customer. In the case of a relocation, there may be qualification issues regarding the locations designated by the customers. The referencing of this information by France Télécom is relatively opaque. France Télécom does not conduct proactive analysis on line saturation, so the information is often uncertain, even false. No procedure established by France Télécom allows for the management of the line switch at the time of the customer's relocation” (cote 25526). Bouygues Telecom points out that “there may be problems in the case of relocation,” particularly for the inventory of all the customer's lines necessary for the implementation of number portability. According to Bouygues Telecom, any misestimation of the number of accesses during the portability process “inevitably leads to a service interruption at the new site” (cote 25685).  </w:t>
        <w:br/>
        <w:t xml:space="preserve">98. Regarding the location of concentration points and copper pairs, Bouygues Telecom emphasizes that “the positions of the PC and line heads are not available in SETIAR” (cote 25686). SFR also confirms that it does not have “information regarding the physical location of the line head in order to connect the customer as close as possible to their technical premises” (cote 25524) and refers to the issue of locating the PCs in the context of connecting construction sites (cote 25527).  </w:t>
        <w:br/>
        <w:t xml:space="preserve">99. Regarding construction site lines, third-party operators have different information. Bouygues Telecom emphasizes that (cote 25684) “in the city, we can obtain precise information by deduction based on neighboring addresses. Outside of urban areas, the address may be more vague, and this is when difficulties arise. In particular, in the case of construction sites, the SETIAR application does not systematically allow us to determine where the nearest concentration point (PC) is located. To find out, we use a neighboring number. I believe that if we had direct access to the 42C database, we could access this type of information. Similarly, SFR indicates that “in the case of construction sites, the SETIAR database is of no use. The order is made almost blindly” (cote 25525).  </w:t>
        <w:br/>
        <w:t xml:space="preserve">100. Finally, regarding the handling of after-sales service requests, Bouygues Telecom indicates that while Orange keeps it “informed of the progress of incidents,” it is “information that is too brief and does not provide any details on the nature of the problem or the expected time for restoring the line” (cote 25686). Similarly, SFR indicates that “we do not have visibility on resale products and we do not have the ability to test France Télécom's DSLAMs. We are therefore unable to respond to the customer when they ask us how long their request will take to process” (cote 25526).  </w:t>
        <w:br/>
        <w:t xml:space="preserve">ii) The situation of Orange  </w:t>
        <w:br/>
        <w:t xml:space="preserve">The situation of the major accounts division  </w:t>
        <w:br/>
        <w:t xml:space="preserve">101. The major accounts division (DGC) is responsible for marketing fixed electronic communication services to large enterprises. An internal presentation document of the DGC dating from 2007 (cotes 14888 to 14900) specifies that this division manages 240 clients in France for a revenue of […] in 2006. It has 1,900 employees (1,000 in sales and 900 in sales administration and service). It appears in this document that the DGC is organized around five major accounts agencies structured by sector of activity (banks and insurance, industry, government and institutions, IT, technology and services, and finally, commerce, transport, tourism, and media).  </w:t>
        <w:br/>
        <w:t xml:space="preserve">♦ Direct access to the 42C database until 2010  </w:t>
        <w:br/>
        <w:t xml:space="preserve">102. Several email exchanges within the DGC demonstrate that the division's services accessed the information contained in the 42C database directly at least until the beginning of 2010 (cotes 24210 to 24213). The agents who accessed this database were among the sales forces responsible for both customer outreach and the follow-up of the commercial relationship. This particularly includes the major accounts customer advisors “service” (“CCGC service,” cote 24212) who appear as the “privileged” contacts for Orange's major clients (cote 24376).  </w:t>
        <w:br/>
        <w:t xml:space="preserve">103. Access to the 42C database was removed at the beginning of 2010 (cote 24212). In the context of the previously mentioned email exchanges, this removal is justified by reasons of compliance with competition rules outlined internally as follows: “We cannot make 42C available for compliance with competition regulations. Indeed, as an Agency, we cannot have direct access to the base data. I understand that this can be frustrating internally, but the constraints imposed by the Competition Directorate are one of the major challenges of the company that we all must respect” (cotes 24211 and 24212).  </w:t>
        <w:br/>
        <w:t xml:space="preserve">104. While the customer service director of the IT, technology, and services (ITS) agency of the DGC is ultimately “not surprised” by this removal, he regrets that it was not anticipated (“I think we should have anticipated,” cote 24211). According to him, this removal indeed poses “numerous difficulties for the daily activity” of his teams (cote 24212). He thus presents, in a non-exhaustive manner, “a few cases for which the 42C application is used by the agency service” to illustrate the difficulties related to the removal of this access (cote 24210).  </w:t>
        <w:br/>
        <w:t xml:space="preserve">105. Regarding the relocation of small sites, the same director states: “Very often, the customer wishes to relocate a small site and does not know all the lines of the site (...). The CCGC can then search in 42C for the head line and any other lines of the customer at the site. 42C also allows us to be vigilant about ADSL ports and thus alert the customer about the existence of Orange Internet. Contrary to popular belief, most customers are unable to spontaneously list all the elements to be relocated; they expect their provider to provide them with the inventory. For this type of relocation, it is not always possible to sell a management service, and with or without a management service, the relocation must be carried out based on a reliable inventory. Any prior misqualification (forgotten access) inevitably leads to an escalation at the time of the customer's installation at the new site with all the costs and disruptions that this generates.”  </w:t>
        <w:br/>
        <w:t xml:space="preserve">106. The director continues particularly on Orange's “relocation offers” including management, indicating the reasons why these offers “are attractive” but difficult to implement in the absence of access to the 42C database. On the one hand, “a customer who needs to relocate establishes, in advance, the overall budget for their relocation and asks their provider for an estimate of the telecom and network component including the costs of termination and creation of each product, ancillary costs (...) and of course the management service. (...) To establish the estimated cost of a relocation, it is necessary to have a state of a comprehensive study of the existing situation. The provision of the inventory is included in the relocation support service and must be carried out by the manager.” On the other hand, “commercially, it is difficult to tell a customer that they must subscribe to a relocation management offer to know how much their relocation will cost (...).”  </w:t>
        <w:br/>
        <w:t xml:space="preserve">107. Regarding the handling of after-sales service requests managed by local assistance services (“the 1015”), the same director explains: “The 1015, not having OCEANE, indicate the information related to the signaling directly in 42C, information such as the reason for the fault, technician intervention, date and time of restoration, ... to process a customer complaint, the CCGC only has 42C to search for information and, if necessary, based on the comments contained in 42C, the appropriate GIFT.”  </w:t>
        <w:br/>
        <w:t>108. Finally, regarding the location of concentration points and copper pairs, the director indicates that “when delivering a line on a FT head (thus without internal service), the technician does not leave any information for the customer on the positioning of the pair carrying the line; thus, the customer's IP is unable to connect to our line which is supposedly in service in our IS [information system]. Access to 42C is then the only possibility to respond quickly and effectively to the customer who returns to the agency.”</w:t>
      </w:r>
    </w:p>
    <w:p>
      <w:r>
        <w:rPr>
          <w:b/>
        </w:rPr>
        <w:t>[Pages 25–27]</w:t>
      </w:r>
    </w:p>
    <w:p>
      <w:r>
        <w:t xml:space="preserve">♦ The implementation of indirect access to the 42 C database from 2010  </w:t>
        <w:br/>
        <w:t xml:space="preserve">109. The email exchanges that took place within Orange establish that a "palliative" aimed at "providing maximum information" was considered to remedy the difficulties caused by the removal of this access (reference 24212). Several scenarios "to allow service teams to operate as smoothly and efficiently as possible" are proposed (reference 24211).  </w:t>
        <w:br/>
        <w:t xml:space="preserve">110. The first solution is considered by the customer service director of the ITS agency of the DGC in these terms: "the CDS [service center] must respond directly to any telephone request from the agency. This assumes that the customer service advisors at the telephone reception of the CDS have access to 42C and the competence to use the application; in my opinion, this is the area that needs to be worked on." Alternatively, a second solution is proposed which would consist of "concentrating the expertise on a few people who will be the only ones contacted by the agencies, in which case, these people can be in ADV [sales administration]." Finally, a third solution is dismissed by the same director who notes that it is necessary to "immediately eliminate the use of e-force in this information exchange, as the timing is not at all compatible with customer expectations and the type of response that service personnel must provide to customers."  </w:t>
        <w:br/>
        <w:t xml:space="preserve">111. In relation to the three cases of use of the 42C database given as examples by the customer service director, more advanced proposals are put forward (reference 24210). For relocations of small sites: "it is necessary to allow CCGC or ASM [account service managers] to have real-time information from 42C, thus defining a telephone entry point at the CDS or at the voice ADV that would have access to this application." For the other two cases mentioned: "one solution would be for the CDS to effectively take charge of processing these elements directly, since now, only the ADV and the CDS have the right to access 42C."  </w:t>
        <w:br/>
        <w:t xml:space="preserve">112. The customer service director of the ITS agency of the DGC specified during his hearing that the solution that was ultimately retained was that of requesting information during a telephone call ("today, my teams call the ADV" [sales administrator]) and that this solution occurred outside of any "clearly formalized" process (reference 24379).  </w:t>
        <w:br/>
        <w:t xml:space="preserve">113. According to him, the objective of this alternative solution implemented was to save time ("The idea of the 'palliative' to be implemented to find a solution is that someone from sales administration who has access to the information is able to respond to us directly in the context of a telephone request, the goal being to save time," reference 24378). To illustrate this objective of saving time, the director gives the following example (reference 24378): "in the context of connecting a construction site that is in the middle of nowhere, we look for the nearest network to connect it. A construction opening cannot be done without a phone. The quicker the information regarding the existence of a PC (Concentration Point) is known, the quicker the customer can place their order. In any case, the order goes through sales administration and there is an inherent administrative delay in processing the order that can take several days (at least 5 days). By making a phone call to customer service, it is possible to get information more quickly about the feasibility of the customer's request."  </w:t>
        <w:br/>
        <w:t>25</w:t>
      </w:r>
    </w:p>
    <w:p>
      <w:r>
        <w:t xml:space="preserve">The situation of business agencies  </w:t>
        <w:br/>
        <w:t xml:space="preserve">114. Alongside the large accounts market segment that falls under the DGC, as previously indicated, there are other entities each responsible for selling to other customer segments defined by Orange.  </w:t>
        <w:br/>
        <w:t xml:space="preserve">115. Among these other entities are the "business agencies" which can be presented as follows: "For smaller companies are the business agencies (AE) that deal with clients smaller than the large accounts and larger than the professionals and SMEs. There is a list of France Télécom clients that the AEs are responsible for in electronic form and consultable internally, updated regularly. One of the basic criteria is the number of employees (lower limit: 50 employees, upper limit: large accounts). This list has existed for a long time (an essential tool for a salesperson). The number of AEs decreased in the early 2000s (halved). The thirteen AEs are organized by geographical area: examples: IDF 3 AEs, 1 AE South-West, 1 AE West, one AE Rhône-Alpes-Auvergne, etc. Among these agencies, there are two present in the DOM. The sales force of these AEs consists of approximately […] salespeople" (reference 24340).  </w:t>
        <w:br/>
        <w:t xml:space="preserve">116. Schematic representation shows that the business agencies distinguish within themselves the commercial department, responsible for selling services to clients, and the pre-sales department "which has the technical tools to test/verify the eligibility of clients for their connection request to the data network" (reference 30603). The pre-sales director of the business agency in Paris specifies that "the mission of the pre-sales department is to assist the sales force in qualifying needs, designing offers, and presenting them in their technical aspect to clients" (reference 30651).  </w:t>
        <w:br/>
        <w:t xml:space="preserve">117. The personnel of the pre-sales departments of the business agencies have several data sources to fulfill their missions. Firstly, the personnel of the department relies "on the AXIOME intranet site which technically describes all of Orange's offers for businesses" (reference 30651). Secondly, "the eligibility tool used by the ITC [technical sales engineer] is the web interface 'Créole'. One of the advantages of Créole is the ability to conduct multi-site studies and its user-friendly design (web interface)" (reference 30651). According to Orange, members of the pre-sales department "are identified by their ITC profile and therefore have access to a predefined list of tools for the ITC profession. The 42C database is not part of the ITC profile" (reference 30652).  </w:t>
        <w:br/>
        <w:t xml:space="preserve">118. At the end of the investigation, it appears that salespeople send eligibility and resource requests to their colleagues in the pre-sales department, particularly to the ITCs (resource request, availability request). This information, which is necessary for the commercial department to respond to client needs, can come from two sources.  </w:t>
        <w:br/>
        <w:t xml:space="preserve">119. In the first hypothesis, the response is held directly by the pre-sales department (the ITCs) via the Créole application. In this case, the response given by the ITCs to the commercial department occurs under the following conditions: "the ITCs respond as quickly as possible. For the simplest cases, the response can occur within the day depending on the workload, while the more complicated cases can take several days, or even several weeks" (reference 30651).  </w:t>
        <w:br/>
        <w:t xml:space="preserve">120. In a second hypothesis, the response is not held directly by the pre-sales department via the Créole application. In this case, to respond to the commercial department, the ITCs request information from the intervention units. The pre-sales director of the business agency in Paris indicates, in this regard, that "for any specific offer or for any need not available via Créole, the pre-sales department turns to the UI (intervention units). We send them a feasibility request whose response times are not subject to a standardized process. The response to a standard request takes an average of about ten days and sometimes much longer for the most complicated cases" and that "the responses from the UIs to our feasibility requests indicate the costs and timelines corresponding when the solution is feasible" (reference 30652).  </w:t>
        <w:br/>
        <w:t xml:space="preserve">121. It follows that business agencies access eligibility and line availability information under conditions different from those of third-party operators, both in terms of content and procedure. Compared to third-party operators, it appears that, in the context of their commercial relationships, business agencies benefit, following a non-formalized process, from quicker access to information from local loop management. Unlike third-party operators, business agencies are particularly assured of accessing complete and rapid information through direct contact with Orange's intervention units, which directly carry out line construction operations or network desaturation operations, particularly at the level of the copper local loop.  </w:t>
        <w:br/>
        <w:t xml:space="preserve">c) Conclusion  </w:t>
        <w:br/>
        <w:t xml:space="preserve">122. Unlike other operators, certain personnel of Orange's DGC placed in agencies had direct access to the 42C database until the beginning of 2010. Following the removal of their direct access to this database, these same agents benefited from an alternative solution allowing them, following a non-formalized process that generates time savings compared to the situation of third-party operators, to access the same information as before via a telephone call to Orange agents authorized to access data from local loop management.  </w:t>
        <w:br/>
        <w:t xml:space="preserve">123. Within business agencies, sales teams could, through the technical teams present in agencies, obtain this information, notably from the intervention units, under more favorable conditions than those of third-party operators, both in terms of content and process.  </w:t>
        <w:br/>
        <w:t xml:space="preserve">2. ORANGE'S COMMERCIAL POLICY REGARDING CUSTOMER LOYALTY FOR NON-RESIDENTIAL CLIENTS THROUGH THE "CHANGE MOBILE" PROGRAM  </w:t>
        <w:br/>
        <w:t xml:space="preserve">a) Presentation of the program  </w:t>
        <w:br/>
        <w:t xml:space="preserve">124. As evidenced by a document provided by Orange in the context of the investigation (reference 40111), the "change mobile" program (referred to as "PCM") allows the customer to automatically accumulate points each month, based on the seniority of their line (voice and/or data), the amount of their monthly bill, and the number of lines in service. In exchange for these points, the customer can benefit from a preferential price for renewing their mobile, provided they re-engage their line (this new commitment can be for 12 or 24 months).  </w:t>
        <w:br/>
        <w:t>125. According to the explanations given by Orange representatives, the PCM program allows "to increase customer satisfaction by meeting their renewal needs" in the</w:t>
      </w:r>
    </w:p>
    <w:p>
      <w:r>
        <w:rPr>
          <w:b/>
        </w:rPr>
        <w:t>[Pages 28–30]</w:t>
      </w:r>
    </w:p>
    <w:p>
      <w:r>
        <w:t xml:space="preserve">newly  </w:t>
        <w:br/>
        <w:t xml:space="preserve">of his mobile, provided that he re-engages his line (this new commitment can be for 12 or 24 months).  </w:t>
        <w:br/>
        <w:t xml:space="preserve">125. According to the explanations given by the representatives of Orange, the PCM program allows "to increase customer satisfaction by responding to their need for renewal" in the  </w:t>
        <w:br/>
        <w:t xml:space="preserve">measure that this program allows "to avoid a complicated mechanism of termination/recreation" (reference 39335). According to Orange, "this practice consists of lowering the entry barriers to use a mobile communication service whose benchmark is a subsidized terminal price. The objective of the PCM for the customer who wishes to remain with their operator is therefore to avoid a termination/recreation of line to benefit from a terminal acquisition subsidy" (reference 39335). Thus, according to the explanations given by Orange during the investigation, this program would be "an important criterion for maintaining the relationship with the customer in that it directly relates to the acquisition of the terminal, which is an important parameter for the customer" (reference 39336).  </w:t>
        <w:br/>
        <w:t xml:space="preserve">126. Several internal documents demonstrate that through this program, Orange also pursues a customer loyalty policy aimed at limiting the subscription termination rate (anti-churn) through a re-engagement of customers at the time of terminal renewal:  </w:t>
        <w:br/>
        <w:t xml:space="preserve">- the "anti-churn" constitutes "the reason for the program" (reference 40007);  </w:t>
        <w:br/>
        <w:t xml:space="preserve">- it is about "re-engaging the lines of our OBS customers through terminal renewal with the PCM" (reference 39943);  </w:t>
        <w:br/>
        <w:t xml:space="preserve">- the PCM program is part of the "loyalty offers by construction (line re-engagement)" (reference 39943);  </w:t>
        <w:br/>
        <w:t xml:space="preserve">- it is a loyalty tool allowing to re-engage customers "preventively or in retention" (reference 17650).  </w:t>
        <w:br/>
        <w:t xml:space="preserve">127. The "change mobile" program was first offered to the general public before being extended to business customers (reference 39336), according to Orange, in December 2002 (reference 40204). It is offered to all non-residential customers, regardless of the customer segment considered (reference 21550).  </w:t>
        <w:br/>
        <w:t xml:space="preserve">b) The evolution of the program from February 2010  </w:t>
        <w:br/>
        <w:t xml:space="preserve">128. The terms of use of points acquired by a customer under the PCM program have evolved over time.  </w:t>
        <w:br/>
        <w:t xml:space="preserve">129. Until 2005, the points acquired could only be used by the customer to benefit from a preferential price on the renewal of the mobile, provided that they re-engaged their line. From 2005, points could also be exchanged for a price reduction on the purchase of accessories at the time of terminal renewal, still under the condition of a line re-engagement.  </w:t>
        <w:br/>
        <w:t xml:space="preserve">130. From February 2010 (reference 21553), the conditions for using points acquired under the PCM program were modified again, and the points acquired under the PCM program can now be used without line re-engagement for the acquisition of accessories or services. An internal document from Orange specifies that "PCM points (...) can be converted against (...) 'a discount on the price of a mobile or a PC card upon renewal (re-engagement 12 or 24 months) and/or on the price of an accessory at any time (without re-engagement)', 'SMS/MMS packages (...) without line re-engagement' or 'additional communication time or a discount on the bill against a 12-month re-engagement" (reference 41885).  </w:t>
        <w:br/>
        <w:t xml:space="preserve">c) The intensification of the program according to the competitive context: the example of the launch of the second mobile number portability process in May 2007  </w:t>
        <w:br/>
        <w:t xml:space="preserve">131. The commercial policy applied by Orange may lead it to intensify the implementation of the PCM program depending on the risk of subscriber departures to competing operators, as was the case during the implementation of the second version of the mobile number portability process.  </w:t>
        <w:br/>
        <w:t xml:space="preserve">132. Portability or number retention allows any customer to change operators while keeping their phone number. As ARCEP specifies in a press release dated May 16, 2007, titled "mobile number portability," "this feature is a decisive element for consumers to fully benefit from competition. It requires a simple and quick implementation so that consumers can effectively exercise their right."  </w:t>
        <w:br/>
        <w:t xml:space="preserve">133. A new mobile number retention process was launched in May 2007 in mainland France to allow for a faster number transfer (7 days) and by only addressing the new operator. On the occasion of the launch of this process (designated by Orange in various internal documents as "PNM V2"), it appears that Orange has implemented various additional loyalty measures.  </w:t>
        <w:br/>
        <w:t xml:space="preserve">134. Noting that the first portability process is "a reality already established in large companies" and that PNM V2 presents "a strong threat to VSEs/SMEs," particularly as "the two main barriers for VSEs/SMEs will be lifted by PNM V2: the cumbersome process and delay" (reference 17640). Orange observes that "the business market faces numerous competitive and regulatory pressures," such as "the launch of PNM V2," and that this situation calls for "targeted marketing actions (pricing, loyalty...)" (reference 17812).  </w:t>
        <w:br/>
        <w:t xml:space="preserve">135. Orange has defined three "major loyalty axes," targeting customers who will be granted "bonus PCM points reserved for fragile customers, adjustable according to value/commitment," "bonus PCM points if subscribing to Unik loyalty, Orange Mail, BlackBerry," as well as "pricing flexibility in retention" and implementing "a system of offers re-engaging the lines." Among the three types of offers mentioned on this last point, the PCM program appears in the first position.  </w:t>
        <w:br/>
        <w:t xml:space="preserve">136. Orange has developed an action plan distinguishing two scenarios. The first scenario involves implementing a "nominal plan loyalty strategy" aimed at "securing the customer base against PNM V2" (references 17647 and 40084). This base plan corresponds to a situation of "controlled increase of competitive pressure in 2007" (reference 17644). This scenario is intended to "enhance the attractiveness of loyalty offers," particularly through offers that should "tend towards a PCM selling price equal to the acquisition price" (references 17647 and 40084). The second scenario provides for a "loyalty response plan" aimed at "intensifying and accelerating re-engagements" (reference 17949). This response plan corresponds to "triggering a competitive war with PNM V2" (reference 17644). In this scenario, Orange plans to "enhance the attractiveness of loyalty offers, proactively and in retention," particularly with "a selling price in PCM &lt; acquisition price for certain high-value customers with targeted bonuses" (reference 17949).  </w:t>
        <w:br/>
        <w:t xml:space="preserve">137. Regardless of the scenario considered, Orange's intention is to give the "change mobile" program enhanced attractiveness by aligning the renewal price of the terminal within the framework of a re-engagement with its acquisition price upon a new subscription, or even to set a renewal price lower than the acquisition price.  </w:t>
        <w:br/>
        <w:t xml:space="preserve">138. Examining the effects of its action plan, Orange noted that "since May 2007, PNM V2 has been implemented and shows a currently positive balance" (reference 42102). It particularly notes "a global context of churn rates under control and dynamic sales." Orange thus observes "favorable evolving ratios: the outgoing portability rate [PS] across all terminations decreases significantly [and] the volume of incoming portability [PE] becomes greater than the volume of PS" (reference 42102).  </w:t>
        <w:br/>
        <w:t xml:space="preserve">139. The attention paid by Orange to the impacts of the second mobile number portability process was not limited to 2007, the year of the launch of this new process. It continued into 2008. In a document titled "2008 marketing plan," Orange thus sets "the major challenges of loyalty in 2008" with the objective of "keeping churn under control, despite PNM V2 and the threat to engagement" (reference 42085).  </w:t>
        <w:br/>
        <w:t xml:space="preserve">d) Conclusion  </w:t>
        <w:br/>
        <w:t xml:space="preserve">140. Orange has been applying, at least since 2002, in mainland France, a customer loyalty policy for non-residential customers through the implementation of the "change mobile" program. The implementation of this program has resulted, until the beginning of 2010, in the possibility for non-residential customers to use the points acquired only within the framework of a 12 or 24-month subscription re-engagement and, from that date, in the possibility of using the points acquired either within the framework of a re-engagement or outside of a re-engagement.  </w:t>
        <w:br/>
        <w:t xml:space="preserve">141. Orange intensified the implementation of this program at the time of the entry into force of the second version of the mobile number portability process in order to limit its effects on the subscription termination rate ("churn rate").  </w:t>
        <w:br/>
        <w:t xml:space="preserve">3. ORANGE'S COMMERCIAL POLICY REGARDING CUSTOMER LOYALTY FOR NON-RESIDENTIAL CUSTOMERS THROUGH THE USE OF DISCOUNTS LINKED TO COMMITMENTS OF DURATION AND VOLUME  </w:t>
        <w:br/>
        <w:t>142. As part of its loyalty policy, several types of discounts are implemented by Orange in the non-residential market. It is important to distinguish between the so-called "catalog" discounts that apply to all customer segments (small professionals, very small businesses and small and medium-sized enterprises, large accounts, public authorities) whose levels are generally known and defined in advance by scales, and other types of discounts that do not have a systematic nature and whose levels may differ from one customer to another. These latter discounts are generally applied within the framework of tailored offers formulated during a tendering process.</w:t>
      </w:r>
    </w:p>
    <w:p>
      <w:r>
        <w:rPr>
          <w:b/>
        </w:rPr>
        <w:t>[Pages 31–33]</w:t>
      </w:r>
    </w:p>
    <w:p>
      <w:r>
        <w:t xml:space="preserve">a) The "catalogue" discounts  </w:t>
        <w:br/>
        <w:t xml:space="preserve">i) Scope and period of application  </w:t>
        <w:br/>
        <w:t xml:space="preserve">143. The "privilege" and "fleet" discounts constitute "catalogue" discounts, based on scales applicable to all segments of the non-residential mobile market clientele. In a presentation dated October 26, 2010 (references 32090 to 32104), Orange emphasizes that the "privilege" discount applies to all "business mobility" subscriptions (mobile communications), while the "fleet" discount applies to all non-residential offers (fixed and mobile communications and internet access).  </w:t>
        <w:br/>
        <w:t xml:space="preserve">144. In this same presentation, Orange indicates that the "privilege" and "fleet" discounts are cumulative with each other and that, within the framework of custom offers exceeding 100 lines, the rates of the "fleet" and "privilege" discounts are surpassed through the application of specific additional discounts (reference 16741).  </w:t>
        <w:br/>
        <w:t xml:space="preserve">145. The "privilege" and "fleet" discounts have been in place since at least 2003. The document titled "Mobile Voice SME Acquisition Action Plan" dated April 11, 2003 (references 41702, 42055 to 42056, 41705 to 41706, 42059, and 41708) confirms that the "24-month privilege" discount existed at that time. It is indeed specified that, to benefit from the promotional rates of the SME action offer, "the customer must necessarily commit their new lines for 24 months by signing the amendment for the privilege discount" (reference 41706).  </w:t>
        <w:br/>
        <w:t xml:space="preserve">146. As for the "36-month privilege" discount, its existence has been verified since April 2004. In an internal presentation dated June 2004 (references 39939 to 39947) and referring to Orange data "as of the end of April 2004," Orange indeed presents the establishment of the "privilege action" and a "36-month discount" (reference 39943) as a commercial innovation that has just been created.  </w:t>
        <w:br/>
        <w:t xml:space="preserve">147. The existence of the "fleet" discount, although it was probably introduced at the same time as the "privilege" discount, is established by the documents in the file since January 1, 2005. The document titled "DME Free Summary" dated July 20, 2006 (references 41692 to 41696) indeed indicates that the fleet discount, which is "granted on the customer's subscription or package based on the number of their lines in the fleet" (reference 41693), represented, in 2005 and 2006, 55% of the total amount of discounts granted by Orange in the non-residential market (reference 41694).  </w:t>
        <w:br/>
        <w:t xml:space="preserve">148. The "privilege" and "fleet" discounts are still applied by Orange today.  </w:t>
        <w:br/>
        <w:t xml:space="preserve">ii) The "privilege" discount  </w:t>
        <w:br/>
        <w:t xml:space="preserve">Extension of the initial commitment period from 12 to 24 or 36 months  </w:t>
        <w:br/>
        <w:t xml:space="preserve">149. This discount allows customers who request it to benefit from a 10 or 15% discount on the monthly package in exchange for an extension of the subscription commitment period to 24 or 36 months. The mechanism for granting the "privilege" discount is notably provided for in the "general subscription conditions" (10/0075 references 217 to 223), as well as in the "specific conditions for the privilege discount" of Orange Business Services (reference 13187). Article 2 of these specific conditions states that "Orange France offers the customer the opportunity to benefit from a 10% monthly discount on the amount of compatible voice and/or data business mobility offers subscribed to, linked to a minimum commitment of 24 months, or a 15% monthly discount linked to a 36-month commitment. In exchange for this discount, the customer agrees, by way of derogation from the provisions of the General Subscription Conditions titled 'duration' and 'termination', from the date of signing these, for a minimum duration of 24 or 36 months tacitly renewable for a period of 12 months" (reference 13187). In its opinion (p. 26), ARCEP specifies that "without the 'privilege discount' option, the gross rates of the tariff catalogue (understood without discount) are applied and the customer's minimum commitment is reduced to 12 months" (reference 25499).  </w:t>
        <w:br/>
        <w:t xml:space="preserve">The automatic renewal of the commitment by tacit renewal every 12 months  </w:t>
        <w:br/>
        <w:t xml:space="preserve">150. Article 3-1 of the specific conditions for the "privilege" discount of Orange specifies the conditions for terminating this discount. It provides that "upon expiration, the customer may terminate the privilege discount by registered letter with acknowledgment of receipt, respecting a minimum notice period of one month. This notice period of one month runs from the billing period following the receipt of the termination request. Furthermore, the cessation of the privilege discount by the customer shall not lead to the automatic termination of the subscription contract entered into with Orange France. In the absence of termination, the privilege discount will be tacitly renewed for a new duration of 12 months, resulting in the renewal of the subscription contract for 12 months."  </w:t>
        <w:br/>
        <w:t xml:space="preserve">151. It follows from these clauses that upon expiration of the initial commitment period of 24 or 36 months, the "privilege" discount and the related duration commitment are tacitly renewed for 12 renewable months, in the absence of termination sent by registered letter with acknowledgment of receipt by the customer at least one month before the end of the commitment date. The mechanism is explained by the following diagram (reference 13400):  </w:t>
        <w:br/>
        <w:t xml:space="preserve">152. The mechanism of re-commitment by tacit renewal induced by the subscription to the "privilege" discount offer proposed to non-residential customers does not fall within the scope of Law No. 2005-67 of January 28, 2005, aimed at strengthening consumer confidence and protection, known as the "first Châtel law," which obliges operators to inform individuals in a timely manner of the possibility they have to not renew contracts concluded with a tacit renewal clause. Specifically regarding electronic communication services, the provisions of Law No. 2008-3 of January 3, 2008, for the development of competition in the service of consumers, known as the "second Châtel law," which limits the commitment duration of mobile subscriptions to 24 months, provide that invoices sent to consumers must mention the remaining commitment duration or the end date of the commitment and finally cap the amount that may be claimed in case of early termination, are not applicable to subscription contracts entered into by non-residential customers.  </w:t>
        <w:br/>
        <w:t xml:space="preserve">153. ARCEP notes that "the [business] customer does not necessarily have a clear view" of the start and end dates of the commitment "because (i) the actions triggering a re-commitment (adding a line, changing a terminal, changing the line settings, etc.) are not always very clearly presented and understood by the customer, (ii) information on re-commitment and a request for confirmation are not systematically provided and requested, (iii) the operator does not always provide the customer with a means to have a clear snapshot of the commitment status of their fleet at a given time" (references 25498 to 25499).  </w:t>
        <w:br/>
        <w:t xml:space="preserve">154. It follows that customers have a reduced window of time to terminate their contract without penalty before being automatically re-committed for 12 months due to the tacit renewal clause. This ability for the customer to exit without charge is made even more difficult by the fact that the end date of the commitment is not reminded by Orange and that, in practice, non-residential customers, who hold fleets composed of numerous lines, frequently do not know the exact expiration dates of each of their subscriptions. In fact, through tacit renewal, the "privilege" discount allows for extending the commitment period of non-residential customers by one or more years.  </w:t>
        <w:br/>
        <w:t xml:space="preserve">The cost of early termination  </w:t>
        <w:br/>
        <w:t xml:space="preserve">155. Article 3-2 of the specific conditions for the "privilege" discount of Orange specifies that "it is expressly agreed between the parties that, by way of derogation from the provisions of the General Conditions of Business Mobility Subscription titled 'duration' and 'termination', if the effective commitment duration at the date of termination is less than that contractually accepted by the parties, the customer shall be required to pay an amount equal to the difference between the amount of the subscriptions due under these and the amount of the subscriptions actually received by Orange France at the date of termination" (reference 13187).  </w:t>
        <w:br/>
        <w:t>156. It follows that in the event of termination of the subscription before the end date of the commitment, the customer must pay an amount corresponding to the total amount of monthly subscriptions they would have had to pay until the end of the planned commitment period. By way of illustration, the following graph indicates, over the entire relevant period, the amount of sums to be reimbursed by the customer in case of early termination of a mobile subscription set at 30 euros per month, subscribed on January 1, 2015, for a commitment duration of 36 months with the "privilege" discount.</w:t>
      </w:r>
    </w:p>
    <w:p>
      <w:r>
        <w:rPr>
          <w:b/>
        </w:rPr>
        <w:t>[Pages 34–36]</w:t>
      </w:r>
    </w:p>
    <w:p>
      <w:r>
        <w:t xml:space="preserve">1 000 €  </w:t>
        <w:br/>
        <w:t xml:space="preserve">900 €  </w:t>
        <w:br/>
        <w:t xml:space="preserve">800 €  </w:t>
        <w:br/>
        <w:t xml:space="preserve">700 €  </w:t>
        <w:br/>
        <w:t xml:space="preserve">600 €  </w:t>
        <w:br/>
        <w:t xml:space="preserve">500 €  </w:t>
        <w:br/>
        <w:t xml:space="preserve">400 €  </w:t>
        <w:br/>
        <w:t xml:space="preserve">300 €  </w:t>
        <w:br/>
        <w:t xml:space="preserve">200 €  </w:t>
        <w:br/>
        <w:t xml:space="preserve">100 €  </w:t>
        <w:br/>
        <w:t xml:space="preserve">0 €  </w:t>
        <w:br/>
        <w:t xml:space="preserve">34  </w:t>
        <w:br/>
        <w:t xml:space="preserve">51-.vnaj 51-sram 51-iam 51-.liuj 51-.tpes 51-.von 61-.vnaj 61-sram 61-iam 61-.liuj 61-.tpes 61-.von 71-.vnaj 71-sram 71-iam 71-.liuj 71-.tpes 71-.von 81-.vnaj 81-sram 81-iam 81-.liuj 81-.tpes 81-.von 91-.vnaj 91-sram 91-iam 91-.liuj 91-.tpes 91-.von  </w:t>
        <w:br/>
        <w:t xml:space="preserve">Amounts to be paid by the client in case of early termination of a line subscribed on January 1, 2015, with a 36-month privilege option  </w:t>
        <w:br/>
        <w:t xml:space="preserve">Non-discounted subscription (30€)  </w:t>
        <w:br/>
        <w:t xml:space="preserve">Discounted subscription (25.50€)  </w:t>
        <w:br/>
        <w:t xml:space="preserve">Amount to be paid in case of early termination of the 36-month privilege discount  </w:t>
        <w:br/>
        <w:t xml:space="preserve">Assumptions retained:  </w:t>
        <w:br/>
        <w:t xml:space="preserve">Subscription date: 01/01/2015  </w:t>
        <w:br/>
        <w:t xml:space="preserve">Main subscription: 30 EUR / month  </w:t>
        <w:br/>
        <w:t xml:space="preserve">36-month privilege option  </w:t>
        <w:br/>
        <w:t xml:space="preserve">157. If we consider the "36-month privilege" discount for a subscription at 30 euros per month subscribed on January 1, 2015, we observe, as shown in the following graph, that the cost of early termination (which corresponds to the total of the remaining subscriptions until the scheduled end date of the commitment) is most often higher than the cumulative gain from the monthly discounts (i.e., 15% of the amount of the monthly bills) that the client benefited from until the termination date.  </w:t>
        <w:br/>
        <w:t xml:space="preserve">1 000 €  </w:t>
        <w:br/>
        <w:t xml:space="preserve">900 €  </w:t>
        <w:br/>
        <w:t xml:space="preserve">800 €  </w:t>
        <w:br/>
        <w:t xml:space="preserve">700 €  </w:t>
        <w:br/>
        <w:t xml:space="preserve">600 €  </w:t>
        <w:br/>
        <w:t xml:space="preserve">500 €  </w:t>
        <w:br/>
        <w:t xml:space="preserve">400 €  </w:t>
        <w:br/>
        <w:t xml:space="preserve">300 €  </w:t>
        <w:br/>
        <w:t xml:space="preserve">200 €  </w:t>
        <w:br/>
        <w:t xml:space="preserve">100 €  </w:t>
        <w:br/>
        <w:t xml:space="preserve">0 €  </w:t>
        <w:br/>
        <w:t xml:space="preserve">51-.vnaj 51-sram 51-iam 51-.liuj 51-.tpes 51-.von 61-.vnaj 61-sram 61-iam 61-.liuj 61-.tpes 61-.von 71-.vnaj 71-sram 71-iam 71-.liuj 71-.tpes 71-.von 81-.vnaj 81-sram 81-iam 81-.liuj 81-.tpes 81-.von 91-.vnaj 91-sram 91-iam 91-.liuj 91-.tpes 91-.von  </w:t>
        <w:br/>
        <w:t xml:space="preserve">Amounts to be paid by the client in case of early termination of a line subscribed on January 1, 2015, with a 36-month privilege option  </w:t>
        <w:br/>
        <w:t xml:space="preserve">Non-discounted subscription (30€)  </w:t>
        <w:br/>
        <w:t xml:space="preserve">Discounted subscription (25.50€)  </w:t>
        <w:br/>
        <w:t xml:space="preserve">Amount to be paid in case of early termination of the 36-month privilege discount  </w:t>
        <w:br/>
        <w:t xml:space="preserve">Discounted gain related to the privilege discount  </w:t>
        <w:br/>
        <w:t xml:space="preserve">Assumptions retained:  </w:t>
        <w:br/>
        <w:t xml:space="preserve">Subscription date: 01/01/2015  </w:t>
        <w:br/>
        <w:t xml:space="preserve">Main subscription: 30 EUR / month  </w:t>
        <w:br/>
        <w:t xml:space="preserve">36-month privilege option  </w:t>
        <w:br/>
        <w:t xml:space="preserve">Discount rate = 5%  </w:t>
        <w:br/>
        <w:t xml:space="preserve">The proliferation of commitments  </w:t>
        <w:br/>
        <w:t xml:space="preserve">158. As previously indicated, the "privilege" discount is cumulative with other discounts. In particular, Orange presents the "privilege" discount to non-residential customers as a "preferential price package" that can be combined with the "fleet" discount and whose application is automatic as long as the client commits for a period longer than 12 months (references 41564 and 41568). It also appears that the "privilege" discount could be combined with the "change mobile" program, which ended in 2010 and allowed for terminal renewal at a preferential price in exchange for a commitment of 12 or 24 months.  </w:t>
        <w:br/>
        <w:t xml:space="preserve">159. Faced with a multitude of different commitment end dates, a client can hardly find a date to change operators that allows them to avoid paying penalties. Bouygues Telecom specifies that "it is the competing operator who will have to untangle the web and pay heavy penalties in order to migrate the client captured by Orange" (reference 13404).  </w:t>
        <w:br/>
        <w:t xml:space="preserve">160. ARCEP notes in its opinion issued during the investigation that the multiplicity of lines and contracts "leads to a 'proliferation' of commitments with different start and end dates depending on the lines, of which the company does not necessarily have a clear view." ARCEP adds that "this 'proliferation' of commitments thus leads to a situation in which the client faces exit penalties regardless of when they choose to change operators, including after several years (...)" and specifies that "(...) while large companies manage to negotiate a 'co-terminus' of the subscribed lines, this is very rarely the case for small and mid-market companies. The new operator is obliged to reimburse its new client for the termination fees (sometimes very high and/or unjustified) charged by their current operator because, unlike the residential market, the provisions resulting from the Châtel law and integrated into the consumer code – particularly in Article L. 121-84-6 – are not applicable to the non-residential market" (references 25498 to 25499).  </w:t>
        <w:br/>
        <w:t xml:space="preserve">A loyalty tool  </w:t>
        <w:br/>
        <w:t xml:space="preserve">161. In an internal presentation titled "Action Plan for Loyalty of Orange Priority Customers" dated September 3, 2004 (references 39939 to 39947), Orange indicates that the "privilege" discount, like the "change mobile" program, is an offer "designed to retain customers" (reference 39943) and in an internal document dated May 16, 2007 (reference 17642), Orange presents the commitment as "a barrier to termination." Orange notably states that "the churn rate on non-committed lines is 4 times higher than that on committed lines" and that "for 16% of companies, the 'end of contract' triggers the termination process."  </w:t>
        <w:br/>
        <w:t xml:space="preserve">162. It emerges from an internal presentation document titled "Commitment and Tacit Renewal" dated September 23, 2010 (references 42046 and 41678 to 41679), that while the "real-time formula" shows a rate of committed lines with the "privilege" discount equal to 73%, the "BTm," "Business Everywhere," "various voice," "business package," "performance package," and "FPM" formulas all show rates of committed lines with the "privilege" discount exceeding 90%. These different rates, which are reproduced in the table below (reference 41679), demonstrate that the "privilege" discount is widely disseminated in that it applies massively to all formulas for which it is intended.  </w:t>
        <w:br/>
        <w:t xml:space="preserve">163. Given the commitment rates of the lines concerned by the "privilege" discount (at least 75%), the importance of the amounts to be paid in case of early termination (notably in relation to the cumulative gain of the discount received by the client) and the generally homogeneous distribution of contracts throughout the year, it is observed that a majority (at least 60%) of non-residential lines held by Orange cannot be contested due to the "privilege" discount. This rate appears even higher as the proportion of clients subscribing to the 36-month privilege discount is significant.  </w:t>
        <w:br/>
        <w:t xml:space="preserve">iii) The "fleet" discount  </w:t>
        <w:br/>
        <w:t xml:space="preserve">Presentation  </w:t>
        <w:br/>
        <w:t xml:space="preserve">164. The "fleet" discount concerns all offers (fixed, mobile, internet) and all segments of non-residential customers. It applies to the amount of the monthly package and its amount varies mainly according to the number of lines subscribed by the client, sometimes depending on the volume of communications.  </w:t>
        <w:br/>
        <w:t xml:space="preserve">165. This discount applies to the following formulas: business packages, mobile business talk, shared mobile packages, fixed and mobile packages, real-time formula, performance package.  </w:t>
        <w:br/>
        <w:t xml:space="preserve">166. The catalog provides the amount of these discounts for up to 100 lines, but beyond 100 lines, the amount of discounts seems, apparently, no longer to vary (reference 21209):  </w:t>
        <w:br/>
        <w:t xml:space="preserve">167. Similarly, for certain subscriptions, the catalog provides discounts related to the amount of the package (reference 21209), but beyond 720 euros of package, the discounts are no longer defined:  </w:t>
        <w:br/>
        <w:t xml:space="preserve">168. The document specifies, however, that in practice, business engineers have "defined their own reference price grids for the main offers (FTR / BTM) sold on fleets of more than 100 lines" (reference 21209).  </w:t>
        <w:br/>
        <w:t>169. Thus, concerning the "real-time formulas" (hereinafter "FTR"), which have the particularity of being composed of a monthly subscription per line and communications</w:t>
      </w:r>
    </w:p>
    <w:p>
      <w:r>
        <w:rPr>
          <w:b/>
        </w:rPr>
        <w:t>[Pages 37–39]</w:t>
      </w:r>
    </w:p>
    <w:p>
      <w:r>
        <w:t xml:space="preserve">billed by duration, the "fleet" discount applies both to the price of subscriptions and to the communication rates. The reference grid for this discount beyond 100 lines is as follows (reference 21209):  </w:t>
        <w:br/>
        <w:t xml:space="preserve">170. Furthermore, beyond 100 lines, the "fleet" discount can be individualized within the framework of customized offers and can therefore deviate from the reference grids. There is indeed no uniformity in the discount rates applied by Orange. In view of the contractual grids in the file1, the discount rates on communications as well as on subscriptions can vary between values ranging from 20% to 70%.  </w:t>
        <w:br/>
        <w:t xml:space="preserve">171. In the context of customized offers, there are numerous examples in which discounts (which can take the form of credits, bonuses, or subsidies) are granted to clients in exchange for a minimum number of committed lines or are granted subject to achieving a minimum communication volume or are conditioned on reaching a minimum revenue. These examples are developed below.  </w:t>
        <w:br/>
        <w:t xml:space="preserve">Characteristics  </w:t>
        <w:br/>
        <w:t xml:space="preserve">172. Firstly, the "fleet" discount applies automatically as soon as the client meets the eligibility conditions. The client does not have to submit a request to benefit, at the very least, from the "fleet" discount set in the basic grid.  </w:t>
        <w:br/>
        <w:t xml:space="preserve">1 cf. references 425; 426; 435; 629; 1301; 1302; 1303; 16743; 18995; 18996; 21209; 22305; 22306; 22391; 22392; 22508; 22509; 22532; 22918; 22919; 23387 and 23388. The discount rates actually follow a stepped form. Furthermore, the discount rates applicable beyond 1000 lines or 200,000 minutes are not presented in a way to simplify the reading of the graphs, but some grids go well beyond these thresholds.  </w:t>
        <w:br/>
        <w:t xml:space="preserve">173. Secondly, the "fleet" discount applies globally and not by tranche. Thus, when, due to the increase in the number of lines (or the volume of communications), the client reaches a higher discount tranche, the more advantageous discount rate of that tranche applies to all lines (or to the total volume of communications) and not just to the portion of lines (or to the portion of the volume of communications) located in that tranche. Furthermore, the "fleet" discount can have a retroactive effect over a short period as long as crossing a more advantageous threshold at the end of the month benefits all subscriptions of the current month.  </w:t>
        <w:br/>
        <w:t xml:space="preserve">174. Thirdly, it appears that the rates of the "fleet" discount are progressive. The rates therefore increase substantially with the volume of lines or communications. Coupled with the application of the highest rate reached by the client to all lines or to the total communication volume, this progressivity of the rate generates significant threshold effects. Regarding the discounts applied to subscriptions, the file contains an example of a transition from 4000 to 3999 lines that reduces the overall discount rate from 48.1% to 40.7% (references 22918 to 22919), another example of a transition from 200 to 199 lines that drops the discount rate from 40.7% to 18.5% (references 22305 to 22306), or yet another case of a transition from 300 to 299 lines that would lower the discount rate from 55.6% to 18.5% (references 22508 to 22509).  </w:t>
        <w:br/>
        <w:t xml:space="preserve">An exclusive supply effect  </w:t>
        <w:br/>
        <w:t xml:space="preserve">175. The "fleet" discount leads many Orange clients to source exclusively from this operator as the fragmentation of the fleet among several operators results, due to the less favorable application of the "fleet" discount, in an increase in the cost of subscriptions and communications provided by Orange.  </w:t>
        <w:br/>
        <w:t xml:space="preserve">176. By way of illustration, the documents of the investigation (reference 31) report a consultation launched in 2007 by company A., which was considering opening its line fleet, representing a total of 5700 lines, all entrusted to Orange. Bouygues Telecom proposed an offer for 2500 lines. In its comparison, A. determined that the 3200 lines remaining with Orange would have had a total cost of €2,905k in the event of transferring the other lines to Bouygues Telecom, whereas these same lines would have had a lower cost of €2,544k if A. had entrusted all of its lines to Orange (reference 622). The increase in price in the event of fragmentation of the line fleet arises notably from the application of the "fleet" discount grids since A. notes that fragmentation would increase the cost of "residual Orange subscriptions" and would increase the cost of communications due to the evolution of the "rate tranche" (reference 621).  </w:t>
        <w:br/>
        <w:t xml:space="preserve">iv) The complementarity of the "privilege" discount and the "fleet" discount  </w:t>
        <w:br/>
        <w:t xml:space="preserve">177. It is important to emphasize both the complementarity and the cumulative nature of the "privilege" discount and the "fleet" discount, which are tools of the same commercial policy aimed at retaining non-residential clients. This complementarity is highlighted by Orange in its commercial communication (reference 41568):  </w:t>
        <w:br/>
        <w:t xml:space="preserve">178. Covering the entirety of the non-residential mobile market, these two discounts appear perfectly complementary. One (the "fleet" discount) applies globally and aims to attract the maximum, if not all, of the non-residential client's lines to Orange, while the other (the "privilege" discount) is applied line by line and aims to secure Orange's fleet by engaging the client over the long term.  </w:t>
        <w:br/>
        <w:t xml:space="preserve">b) Additional discounts outside the catalog  </w:t>
        <w:br/>
        <w:t xml:space="preserve">179. Unlike the "privilege" and "fleet" discounts described above, other types of discounts do not appear in Orange's catalog but are offered only on a case-by-case basis within the framework of customized offers. These additional discounts generally concern clients subscribing to a significant number of lines (more than 100) and having initiated a tender process, notably large accounts and public entities.  </w:t>
        <w:br/>
        <w:t>180. Orange presents an overview of these discounts in a document titled "Panorama des Marges de manœuvre Voix" dated October 26, 2010 (references 16737 to 16740).</w:t>
      </w:r>
    </w:p>
    <w:p>
      <w:r>
        <w:rPr>
          <w:b/>
        </w:rPr>
        <w:t>[Pages 40–42]</w:t>
      </w:r>
    </w:p>
    <w:p>
      <w:r>
        <w:t>40</w:t>
      </w:r>
    </w:p>
    <w:p>
      <w:r>
        <w:t xml:space="preserve">181. Another document dated February 2010 and titled "Pricing Policy and Customer Value" (cotes 36574 to 36591) summarizes the various adjustment discounts that can be activated by Orange's sales forces as part of its loyalty policy. This document specifies the leeway available to Orange's salespeople and business engineers (cote 21210).  </w:t>
        <w:br/>
        <w:t>41</w:t>
      </w:r>
    </w:p>
    <w:p>
      <w:r>
        <w:t xml:space="preserve">182. The document titled "OSM Foundation" dated March 26, 2010 (cotes 21491 to 21497) presents in detail the "contractual commitment conditions" proposed by Orange as part of customized offers, as well as the "pricing conditions at the fleet level" and "at the line level."  </w:t>
        <w:br/>
        <w:t xml:space="preserve">183. It appears, firstly, that the discounts offered by Orange as part of customized offers are of a very diverse nature. They relate not only to the main subscription (welcome bonuses, free months, credits in euros, etc.) but also to the paid options that the customer may subscribe to (discounts on options, free months, credits on options), the type of communications (for example: "roaming" discounts), or the equipment used (subsidies for terminals). While some discounts (year-end discounts, buyout of termination penalties in the case of "winback," meaning customer reacquisition, "footer" discounts) that appear as deductions on certain invoices are both global and one-off discounts, other discounts, on the other hand, take the form of binding options whose subscription entails a commitment or re-commitment for 12, 24, or 36 months for the entirety of the contract (discounts on voice packages, discounts on SMS/MMS, discounts on "data" options, discounts on "BlackBerry" or "Orange mail" options, discounts on "roaming" SMS, and discounts on options).  </w:t>
        <w:br/>
        <w:t>184. Secondly, these additional discounts are cumulative with each other and are almost always associated. Their benefit is subject to volume objectives (minimum revenue, consumption volume, or number of lines) or duration of commitment (24 or 36 months) that the customer must meet. Furthermore, in certain cases, the granting of fixed or mobile discounts could be linked to the achievement of objectives belonging to a domain (fixed, mobile, internet)</w:t>
      </w:r>
    </w:p>
    <w:p>
      <w:r>
        <w:rPr>
          <w:b/>
        </w:rPr>
        <w:t>[Pages 43–45]</w:t>
      </w:r>
    </w:p>
    <w:p>
      <w:r>
        <w:t xml:space="preserve">different from that on which the initial discount applies. The file presents about ten examples of this type, of great variety.  </w:t>
        <w:br/>
        <w:t xml:space="preserve">185. Thus, the contract of company D. (reference 18995) provides that the pricing conditions "apply in exchange for a minimum average actual consumption commitment of 150,000 national minutes per month and the maintenance of at least 90% of 1,600 active enterprise mobility voice subscription contracts throughout the duration of this Amendment regarding the number of active lines." For company M. (reference 21805), an end-of-year discount (hereinafter RFA) of 20% on voice and data revenue is granted if the billed revenue is at least €960k excluding tax per year and the fleet consists of at least "4,000 lines committed for 24 months in co-terminus" (i.e., with the contract expiration date coinciding). For company C. (reference 22612), the discount of €20 excluding tax per line per year, the welcome bonus of €8,000 excluding tax, and the end-of-year discount on voice revenue of 21% are subject to a "minimum annual net billed revenue for voice and data of at least €110k excluding tax (excluding the purchase of terminals and accessories)." The contract signed by company B. (reference 18420) provides for "a credit of €33 excluding tax per line and per semester as part of achieving an overall fleet of 2,200 lines on average (...) over the duration of Amendment 1." However, the operator indicates that "if at the end of the 36 months, Orange finds that the fleet is below 2,400 lines on average over the duration of Amendment 1, Orange will be entitled to request the reimbursement of the aforementioned credits from the Bolloré group." To benefit from these conditions, company B. previously indicated that it committed to maintaining 90% of its mobile fleet with Orange for a duration of 36 months (reference 18443). The contract of company S. provides for a "sign-on bonus" of €120,000 excluding tax as part of a 24-month contract. Orange also offers a credit of €30 excluding tax per year and per line for new and existing lines of S. applied in the 8th month of subscription. However, Orange specifies that these "pricing conditions are based on the perception by Orange France of an annual net revenue (...) of €1,600k excluding tax for a fleet of more than 5,800 lines, €1,300k excluding tax for a fleet between 5,000 and 5,799 lines, and €800k excluding tax for a fleet between 3,000 and 4,900 lines." Finally, Orange adds that "in case of non-compliance with the conditions set forth above, [it] will invoice the difference between the average revenue observed over one year and the expected annual net revenue" (reference 18449).  </w:t>
        <w:br/>
        <w:t xml:space="preserve">186. Regarding credits (e.g., free months) and bonuses (e.g., welcome bonus, end-of-year discount) granted subject to volume or duration conditions, it can be noted that some of these practices have a similar effect to that of the "fleet" discount. A customer with a total need of 1,000 lines will incur a loss of credit by entrusting even a minimal part of its volumes to the competition if Orange makes the obtaining of this credit contingent upon achieving a volume of 1,000 lines. Under these conditions, to be attractive, the competitor will have to offer a potentially very low price.  </w:t>
        <w:br/>
        <w:t xml:space="preserve">187. It should finally be noted that all existing discounts (included or excluded from the catalog) accumulate to reach high amounts, according to Orange, up to 65% (references 21210 and 36574 to 36591), or even 75% (reference 24346) of the base price.  </w:t>
        <w:br/>
        <w:t xml:space="preserve">c) Conclusion  </w:t>
        <w:br/>
        <w:t xml:space="preserve">188. The "privilege" discount allows Orange to extend for 24 or 36 months and to automatically renew for 12 months, through the mechanism of tacit renewal, the commitment duration of customers, in order to combat the risk of subscription termination ("churn"). Customers can only terminate their contract early by paying a penalty equal to the amount of the remaining monthly subscriptions until the end of the commitment.  </w:t>
        <w:br/>
        <w:t xml:space="preserve">189. Due to its progressive rate that applies globally and not by tranche, the "fleet" discount encourages exclusive procurement from Orange. Indeed, the departure of part of the lines to another operator, when it leads to a change in rate tranche, can substantially increase the cost of all the lines that remain with Orange.  </w:t>
        <w:br/>
        <w:t xml:space="preserve">190. These two discounts are cumulative and constitute complementary tools for retaining non-residential customers. One aims to engage the customer line by line for significant durations while the other aims to attract the largest number of lines to Orange.  </w:t>
        <w:br/>
        <w:t xml:space="preserve">191. Additional discounts outside the catalog are subject to objectives of duration of commitment or volume to be achieved. They therefore also contribute, along with the "catalog" discounts, to dissuade non-residential customers of Orange from splitting their fleet of lines among several operators.  </w:t>
        <w:br/>
        <w:t xml:space="preserve">4. ORANGE'S COMMERCIAL POLICY REGARDING VIRTUAL PRIVATE NETWORK SERVICES THROUGH AN EXCLUSIVITY DISCOUNT MECHANISM  </w:t>
        <w:br/>
        <w:t xml:space="preserve">a) Virtual private networks  </w:t>
        <w:br/>
        <w:t xml:space="preserve">i) General presentation  </w:t>
        <w:br/>
        <w:t xml:space="preserve">192. Operators have set up offers tailored and different from those addressed to the general public in order to meet the needs of their non-residential customers in terms of interconnecting business sites.  </w:t>
        <w:br/>
        <w:t xml:space="preserve">193. ARCEP explains that multi-site companies have specific needs and that they "seek to streamline user management and achieve economies of scale." Thus, multi-site companies "use a virtual private network (VPN) to interconnect their sites." Companies use the VPN established to carry their "fixed data" and, regarding fixed telephony, also use "this VPN to relocate their telephone switchboard (PBX) to a central site" (reference 25482).  </w:t>
        <w:br/>
        <w:t xml:space="preserve">194. According to ARCEP, "site interconnection services become a necessity for these companies, and the offers generally subscribed are virtual private networks. These networks allow for the pooling of applications and local networks, access to the company's intranet, benefit from inter-site VoIP solutions, and use services such as videoconferencing or management of monetary flow. To interconnect their remote local networks privately, multi-site companies rely on the network of an operator" (reference 25482).  </w:t>
        <w:br/>
        <w:t xml:space="preserve">195. In 2013, spending on VPN services by companies with more than 10 employees amounted to €2.207 billion while their spending on internet access provision was only €949 million (reference 42095).  </w:t>
        <w:br/>
        <w:t xml:space="preserve">196. The operator on which the company relies to interconnect its various sites commits to mastering end-to-end security and network performance. According to ARCEP, "data security: storage in data centers, protection of a single access point to the internet, remote monitoring" is one of the main objectives pursued by multi-site companies (reference 25482).  </w:t>
        <w:br/>
        <w:t xml:space="preserve">ii) Orange's offers  </w:t>
        <w:br/>
        <w:t xml:space="preserve">197. Orange has established various ranges of VPN services over time.  </w:t>
        <w:br/>
        <w:t xml:space="preserve">198. The historical operator set up in 2002 two ranges of offers, presented as focused on access and speeds, one aimed at small and medium-sized enterprises (the "Oleane VPN" offers), the other aimed at large enterprises (the "Equant IP VPN" offers) (reference 40448). From 2008, these offers were replaced by a single range of offers titled "Business VPN."  </w:t>
        <w:br/>
        <w:t xml:space="preserve">199. According to Orange, the launch of the "Business VPN" offers pursued three main objectives (reference 40448), namely, on the one hand, "to fully exploit the explosion of new uses of our customers, and to get closer to the end user," on the other hand, "to cultivate our leadership by distinguishing ourselves through service," and finally, "to address the entire E market (SME&gt;GE) more effectively through a unified offer (replacing Equant IP VPN and Oleane VPN in France)."  </w:t>
        <w:br/>
        <w:t xml:space="preserve">iii) Wholesale offers necessary for the construction of virtual private networks  </w:t>
        <w:br/>
        <w:t xml:space="preserve">200. A VPN is established by interconnecting the various remote sites that a company may have across the territory. This network is therefore made up of as many access links as there are sites to connect to each other.  </w:t>
        <w:br/>
        <w:t xml:space="preserve">201. While some companies, particularly large enterprises, can sometimes build their own VPN "by purchasing collection (bare links) from operators" (reference 39416), they generally rely on the services of electronic communications operators to interconnect their sites securely through the establishment of a VPN.  </w:t>
        <w:br/>
        <w:t xml:space="preserve">202. According to Bouygues Telecom, "these operators (...) can either build their own access network (notably in fiber optics), or (or additionally) use wholesale offers available on the market [...]. The operator then builds on these access links a solution for interconnecting sites and securing data exchanges" (reference 39144). In reality, alternative operators are most often compelled, in order to meet the needs of multi-site companies, to offer a composite offer involving the use of other operators' networks and particularly that of the historical operator, Orange.  </w:t>
        <w:br/>
        <w:t>203. Indeed, according to Bouygues Telecom (reference 39415), "the particularities of the business market do not practically allow an alternative operator to rely solely on its own network." It notably points out that "in the non-residential market, customers are by nature multi-site. The operator must therefore be able to offer its services in the geographical area of the customer's location but also in other areas where the customer is likely to have sites. However, it is not possible to foresee in advance the sites on which the customer will establish itself. The deployment strategy is therefore different from the residential fixed market for which it is possible to deploy an area and then conduct commercial prospecting in that area." It notes that it is not possible to anticipate the deployment of "own links in areas where a multi-site company is present before issuing its offer. Indeed, deploying fiber on its own requires many months, sometimes more than a year, particularly due to the civil engineering work required and what that entails (for example, obtaining road permits, etc.)."</w:t>
      </w:r>
    </w:p>
    <w:p>
      <w:r>
        <w:rPr>
          <w:b/>
        </w:rPr>
        <w:t>[Pages 46–48]</w:t>
      </w:r>
    </w:p>
    <w:p>
      <w:r>
        <w:t>204. Furthermore, according to Bouygues Telecom, "it is also not feasible to start a contract with a client using an access link from a third-party operator, and then simultaneously deploy proprietary links in order to subsequently migrate between networks. Given the relatively short duration of contracts (from 24 to 36 months), the operator does not have the time to amortize the investments made for the rental of a third-party operator's network (installation fees and rents). Moreover, very often, the deployment of proprietary links ends when the contract expires."</w:t>
      </w:r>
    </w:p>
    <w:p>
      <w:r>
        <w:t>205. Similarly, SFR indicates that, in addition to building its own network, it relies on various offers from Orange, which is "a key player for alternative operators in light of the wholesale offers it provides" (reference 39490).</w:t>
      </w:r>
    </w:p>
    <w:p>
      <w:r>
        <w:t>206. Thus, the use of a wholesale offer for private and secure interconnection between the different sites of companies is essential for these operators.</w:t>
      </w:r>
    </w:p>
    <w:p>
      <w:r>
        <w:t>207. Bouygues Telecom specifies that the main wholesale offers accessed by VPN service operators are the wholesale offers activated on copper and the wholesale offers activated on fiber optic. According to this operator, the wholesale offers activated on copper use DSL technology or leased lines. As for DSL offers, they are only available in so-called eligible areas.</w:t>
      </w:r>
    </w:p>
    <w:p>
      <w:r>
        <w:t>208. In light of these elements, it appears that while alternative operators rely on their own network to offer secure interconnection services between sites to businesses, they also largely depend on various wholesale offers provided by Orange, particularly those based on DSL technologies. The availability of wholesale offers using these technologies is subject to the eligibility of the deployed technology depending on the territory in question.</w:t>
      </w:r>
    </w:p>
    <w:p>
      <w:r>
        <w:t xml:space="preserve">iv) The purchasing behavior of non-residential customers  </w:t>
        <w:br/>
        <w:t>The use of one or more operators</w:t>
      </w:r>
    </w:p>
    <w:p>
      <w:r>
        <w:t>209. Operators agree that businesses generally assign their VPN network to a single operator. According to Orange, "it is rare for a company to share its VPN network among several operators" (reference 39008). For SFR, "as a general rule, the norm is to assign its VPN network to a single operator" (reference 39491). According to Bouygues Telecom, "for a significant number of client companies using IP-VPN offers, the rule seems to be to assign their IP-VPN network to a single operator" (reference 39416).</w:t>
      </w:r>
    </w:p>
    <w:p>
      <w:r>
        <w:t>210. Nevertheless, there are many situations in which the client uses multiple operators to implement several VPN networks. Bouygues Telecom specifies that "some large companies may set up a second IP-VPN network as a backup network (...) generally entrusted to another operator. Certain types of clients, particularly in the banking and insurance sectors, may establish one or more IP-VPN networks shared among several operators, notably due to their territorial organization. The existence of mixed IP-VPN networks may result from historical reasons. This is particularly the case following the merger of companies that maintain existing IP-VPN networks provided by different operators but then have a common central site that will be the headquarters of the merged company."</w:t>
      </w:r>
    </w:p>
    <w:p>
      <w:r>
        <w:t>211. Bouygues Telecom finally notes that "the desire to establish mixed IP-VPN networks may (...) be motivated by a wish to achieve cost savings by fostering competition. Indeed, in the market for site interconnection, the level of competition varies by geographic area. In eligible areas, where several networks are deployed, operators are able to offer competitive prices. Conversely, in non-eligible areas, where alternative operators primarily have to rely on Orange's LPT offer, they are not able to offer prices as competitive as those of the historical operator (which can offer a uniform rate across the entire territory (...)). Thus, some companies may have an interest in engaging, on the one hand, an alternative operator for their sites located in eligible areas, thereby fostering competition, and, on the other hand, the historical operator for sites located in less well-served areas."</w:t>
      </w:r>
    </w:p>
    <w:p>
      <w:r>
        <w:t>212. For its part, SFR also emphasizes that "there are cases where the sites of the same company can be shared among several operators. (...) While very large accounts are predominantly multi-operator (with often unequal scopes), smaller ones are predominantly single-operator" (reference 39491).</w:t>
      </w:r>
    </w:p>
    <w:p>
      <w:r>
        <w:t>The barriers to changing operators</w:t>
      </w:r>
    </w:p>
    <w:p>
      <w:r>
        <w:t>213. Whether companies use one or more operators for their VPN networks, several factors discourage changing operators for this type of service.</w:t>
      </w:r>
    </w:p>
    <w:p>
      <w:r>
        <w:t>214. Firstly, the most significant barriers are related to the technical operations of migrating the VPN network from one operator to another. Bouygues Telecom indicates that "the migration of IP-VPN networks between operators can be lengthy as it is done site by site" (reference 39147). SFR explains that "changing operators entails an extremely heavy migration operation for the client. Generally, it is difficult for the client to carry out an operation all at once (internal resources are necessary for the client to switch its Information System to the new network, which usually allows only a few sites to be processed per day depending on the complexity of the client's IS). As a result, migrations most often occur gradually." (reference 39492). Furthermore, according to Bouygues Telecom, migration operations are not facilitated by the fact that "there is no mechanism for the portability of public IP addresses that are currently tied to the operators. However, changing public IP addresses can have serious consequences for the client company, such as the need to modify all programs using public IP addresses or to update the entire fleet of computers in the company (websites, IPSEC security boxes, etc.)" (reference 39147).</w:t>
      </w:r>
    </w:p>
    <w:p>
      <w:r>
        <w:t>215. Secondly, changing operators can incur significant financial costs. Bouygues Telecom offers two explanations in this regard. First, "changing the IP-VPN operator presents a risk of double billing for the sites." Synchronization "generally results in at least one or two months of 'double billing'" (reference 39147). Secondly, Bouygues Telecom estimates that "changing the IP-VPN operator generally involves the simultaneous connection of the client's main site (usually the headquarters) by the relinquishing operator and the new operator throughout the duration of the migration. Indeed, the main link of the relinquishing operator must remain in place as long as there are sites to migrate, and the main link of the new operator must be operational as soon as the first site is migrated. Thus, there is a double source of cost throughout the duration of the migration" (reference 39147).</w:t>
      </w:r>
    </w:p>
    <w:p>
      <w:r>
        <w:t>216. For its part, SFR explains that "changing operators incurs significant costs that can impact the business plan for an alternative operator. For a client to switch, there are generally two types of investments to be made: access fees to the service (these are often waived to match the financial situation of the incumbent operator) and migration fees that are generally charged only to large accounts. Depending on the complexity of the client migration, these fees can range from 5 to 10% of the project cost" (reference 39492). According to the same operator, "at equal pricing, a company may choose to stay with Orange for the sake of simplicity (fewer problems to manage)" (reference 39492).</w:t>
      </w:r>
    </w:p>
    <w:p>
      <w:r>
        <w:t>217. A former product offerings manager in the "Data and IP" segment of Orange in the business market indicated in his hearing that there is an "inertia effect" in the market, which is reflected in the fact that "clients do not leave OBS unless there is a significant reduction in the price of their service, on the order of 15 to 20%" (reference 42026). According to this manager, this inertia effect is one of the main factors explaining that "it was difficult for the competition to establish itself" in the market (reference 42026).</w:t>
      </w:r>
    </w:p>
    <w:p>
      <w:r>
        <w:t>v) The pricing policy of operators in the retail market</w:t>
      </w:r>
    </w:p>
    <w:p>
      <w:r>
        <w:t>218. While alternative operators build their VPN offers largely on the wholesale offers provided by Orange, competition may be more or less strong depending on the territories considered, as indicated by a former Orange executive: "there are eligible xDSL areas where competition may arise. Indeed, the density of these areas allows third-party operators to provide services with a better profitability rate. Conversely, seeking a client in a non-eligible xDSL area is more expensive for all operators, including OBS" (reference 42027).</w:t>
      </w:r>
    </w:p>
    <w:p>
      <w:r>
        <w:t>219. According to this witness, and despite these cost differences, "OBS practices a pricing equalization that simplifies its commercial policy across the entire territory" (reference 42027).</w:t>
      </w:r>
    </w:p>
    <w:p>
      <w:r>
        <w:t>220. For their part, alternative operators confirmed that it is difficult for them to implement true pricing equalization. Bouygues Telecom explains that "it is very difficult for an alternative operator to offer a uniform price across the entire territory." Indeed, "at the time of signing the contract with its client for the provision of an interconnected VPN network, the alternative operator must commit to covering all of the company's sites, including any future new sites. However, by definition, the location of these sites is not known in advance. Depending on the location of the new sites, the cost of the service can vary significantly upwards depending on the technology available (to give a rough idea, the cost of 2 Mbps on the operator's own network is about €50; on another operator's network, it is about €150; and, in the case of ineligibility, the cost in LPT is about €500). Therefore, if the alternative operator commits from the outset to applying a uniform price across the entire territory, it exposes itself to a particularly significant financial risk. An operator such as Bouygues Telecom is clearly not in a position to absorb such a risk due to the limited size of its network and the very significant barriers to entry in the market" (reference 39148).</w:t>
      </w:r>
    </w:p>
    <w:p>
      <w:r>
        <w:t>221. Similarly, SFR emphasizes that Orange "practices equalization where we cannot afford to do so." It adds that "for fiber optic access, the possibility of equalization is complicated for SFR (unlike Orange, which does it to our knowledge). Indeed, the level of marginal investment can push the ROI very far."</w:t>
      </w:r>
    </w:p>
    <w:p>
      <w:r>
        <w:rPr>
          <w:b/>
        </w:rPr>
        <w:t>[Pages 49–51]</w:t>
      </w:r>
    </w:p>
    <w:p>
      <w:r>
        <w:t>criteria for such discounts.</w:t>
      </w:r>
    </w:p>
    <w:p>
      <w:r>
        <w:t>237. This exclusivity condition means that if a client shares its sites with another operator, they will not be eligible for the more favorable pricing options that would otherwise apply under the "3-year contract" pricing structure. Instead, they will be subject to the "catalog price" or "indefinite duration price," which is the maximum price stipulated in the reference pricing document.</w:t>
      </w:r>
    </w:p>
    <w:p>
      <w:r>
        <w:t>238. The introduction of this exclusivity condition reflects a strategic decision by Orange to protect its pricing structure and ensure that discounts are only available to clients who commit to exclusive arrangements. This approach is intended to maintain the profitability of the services offered and to incentivize clients to consolidate their business with Orange rather than sharing it with competitors.</w:t>
      </w:r>
    </w:p>
    <w:p>
      <w:r>
        <w:t>239. The impact of this exclusivity condition on the competitive landscape is significant, as it may deter potential clients from entering into agreements with Orange if they are unable to secure the same level of discounts that would be available to them under exclusive terms. This could ultimately affect Orange's market share and its ability to attract new clients in a competitive environment.</w:t>
      </w:r>
    </w:p>
    <w:p>
      <w:r>
        <w:t>240. In conclusion, the pricing strategies employed by Orange, including the application of exclusivity conditions to discounts, are designed to optimize revenue while managing competitive pressures in the telecommunications market.</w:t>
      </w:r>
    </w:p>
    <w:p>
      <w:r>
        <w:rPr>
          <w:b/>
        </w:rPr>
        <w:t>[Pages 52–54]</w:t>
      </w:r>
    </w:p>
    <w:p>
      <w:r>
        <w:t>maximum provided by the reference pricing document. The company cannot therefore benefit from the "3-year contract price" applicable to a contract with a minimum duration of three years. It also cannot obtain additional discounts on the "3-year price," even if it meets the criteria for price reduction (based on the number of sites, the number of years of commitment beyond 3 years, and the type of services subscribed).</w:t>
      </w:r>
    </w:p>
    <w:p>
      <w:r>
        <w:t>237. Orange wishes to prevent, through these provisions, that client companies of VPN offers minimize their costs by benefiting, on one hand, from its averaged rates in areas not eligible for xDSL offers and, on the other hand, from the more competitive rates practiced by third-party operators in areas eligible for xDSL offers. The various versions of the reference document state on this point that "by subscribing to Equant IP VPN [and Business VPN from the 12th version of the document] in areas not eligible for xDSL and entrusting its eligible sites to another operator, a client can take advantage of our pricing averaging strategy [...]. It is necessary to avoid that these approaches benefit from even more favorable pricing conditions" (references 16070, 16015, 15958, 15901, 40759, 40552, 40715, 40593, 40633, 40673, 40795). Indeed, Orange wishes to avoid that the implementation of this diversification strategy by these clients leads to "significantly reducing [its] margins" (reference 40673). This instruction should have a "deterrent effect" by encouraging clients to entrust all their sites to Orange to benefit from discounts, particularly when they have a significant number of sites in areas not eligible for xDSL offers (reference 39008).</w:t>
      </w:r>
    </w:p>
    <w:p>
      <w:r>
        <w:t xml:space="preserve">c) Conclusion  </w:t>
        <w:br/>
        <w:t>238. It follows from the above that Orange, in the context of the document titled "price reference and method for calculating discounts in pre-sales," in its versions No. 9 to 19, applied an instruction to its sales forces aimed at using, without any possible discount, the catalog price or "indefinite duration" price (defined as the base price applicable to a contract of less than 3 years) applicable to the "Equant IP VPN" and "Business VPN" offers as soon as a client company orders from a third-party operator a part of the accesses concerning the sites of its VPN network, even if the conditions of its commitment in terms of duration and quantity with Orange meet the criteria for granting discounts defined in its reference document.</w:t>
      </w:r>
    </w:p>
    <w:p>
      <w:r>
        <w:t xml:space="preserve">5. ORANGE'S PRICING POLICY  </w:t>
        <w:br/>
        <w:t xml:space="preserve">a) The economic studies produced by the complainants  </w:t>
        <w:br/>
        <w:t xml:space="preserve">i) The information produced by Bouygues Telecom  </w:t>
        <w:br/>
        <w:t>239. Before its withdrawal, Bouygues Telecom produced an economic study titled "predation tests on various public and private tenders" (references 11421 to 11454) in order to establish predatory pricing practices by Orange. The company identifies 51 cases of public and private tenders that it considers particularly significant. According to it, out of the 51 tenders studied, "the Orange operator (...) has never covered its average incremental costs" and "has moreover not covered its average avoidable costs for 38 of them" (reference 11435). These various cases are summarized in tables included in the file (references 13413, 13415, and 11434 to 11435) and are subject to a detailed analysis by Bouygues Telecom (references 11455 to 13309).</w:t>
      </w:r>
    </w:p>
    <w:p>
      <w:r>
        <w:t>240. The company concludes at the end of its analysis that "(...) based on avoidable costs, for 20 cases of public markets (in the downstream branch), the predation tests are positive (...)" and that "the 51 cases studied by the economic consulting firm TERA Consultants illustrate that OBS practices predatory pricing in the market for customized mobile communication services aimed at non-residential customers."</w:t>
      </w:r>
    </w:p>
    <w:p>
      <w:r>
        <w:t>241. Bouygues Telecom further notes that "the goal of Orange France, in a dominant position in the market for customized pricing offers for communications aimed at non-residential customers, is clearly to push its competitors not to bid on certain markets. Once its competitors are eliminated, Orange France is then able to raise its prices to recover the losses incurred during the period when it practiced predatory pricing" (reference 13416).</w:t>
      </w:r>
    </w:p>
    <w:p>
      <w:r>
        <w:t>242. It should be noted that the predation test, which consists of comparing the costs and revenues of the customized mobile service pricing offers from several tenders won by Orange, was conducted in the retail market, which implies that "incoming call revenues are not taken into account," that is to say, the revenues generated by calls made from a terminal of another operator to a terminal of an Orange subscriber (reference 11451). Furthermore, the costs studied do not necessarily correspond to those of an efficient operator since they are Bouygues Telecom's costs, which could prove to be less efficient than Orange in particular. As a result, Bouygues Telecom's test tends to underestimate revenues and, potentially, to overestimate Orange's costs, which leads to a risk of incorrectly concluding the existence of predatory pricing.</w:t>
      </w:r>
    </w:p>
    <w:p>
      <w:r>
        <w:t xml:space="preserve">ii) The information produced by SFR  </w:t>
        <w:br/>
        <w:t>243. Similarly, SFR considers in its complaint that "Orange has abused its dominant position by practicing predatory pricing" (10/0075 F reference 262).</w:t>
      </w:r>
    </w:p>
    <w:p>
      <w:r>
        <w:t>244. The complainant relied on an economic study presenting cost tests concerning four cases of public and private tenders that seemed particularly significant to it (10/0075 F reference 262) and whose analysis is detailed in the annex of its complaint (10/0075 F references 103 to 128 and 326 to 334).</w:t>
      </w:r>
    </w:p>
    <w:p>
      <w:r>
        <w:t>245. SFR concludes at the end of its analysis that "it appears that for the four tenders examined, Orange's offers are all clearly predatory. They would certainly be even more so if all tests had been conducted with Orange's responses."</w:t>
      </w:r>
    </w:p>
    <w:p>
      <w:r>
        <w:t>246. The company further indicates that "Orange's commercial strategy, which tests the financial resilience of its competitors in the mobile telephony market aimed at professionals, does not proceed [according to it] from competition by merits" (10/0075 F reference 272).</w:t>
      </w:r>
    </w:p>
    <w:p>
      <w:r>
        <w:t>247. It should be noted that the study produced by SFR proposes three scenarios for predation tests, one of which (scenario 1) takes into account the revenue from incoming calls and calculates the cost of on-net calls based on incremental costs. However, the costs studied do not necessarily correspond to those of an efficient operator since they are SFR's costs, which could prove to be less efficient than Orange in particular. Then, if SFR has detailed information on Orange's commercial proposal for a tender, this is not the case for the other tenders studied for which the calculated price corresponds not to that of Orange's offer but to that of SFR's offer. Finally, SFR considered that customer acquisition costs should be amortized over the duration of the contract and not over the probable duration of the economic relationship, which is generally longer.</w:t>
      </w:r>
    </w:p>
    <w:p>
      <w:r>
        <w:t xml:space="preserve">iii) Conclusion  </w:t>
        <w:br/>
        <w:t>248. It follows from the above that the tests respectively presented by Bouygues Telecom and SFR cannot lead to the conclusion of the existence of predatory pricing.</w:t>
      </w:r>
    </w:p>
    <w:p>
      <w:r>
        <w:t xml:space="preserve">b) Elements resulting from the investigation  </w:t>
        <w:br/>
        <w:t xml:space="preserve">i) Search for material elements  </w:t>
        <w:br/>
        <w:t xml:space="preserve">The operating accounts presented by Orange  </w:t>
        <w:br/>
        <w:t>249. For each non-residential mobile offer, Orange conducts a preliminary profitability analysis based on forecast operating accounts to ensure that the operator indeed covers its costs. During his hearing on October 9, 2013, the head of the "value and base management" division within Orange's "Mobile Enterprises" business unit specified the modalities of this analysis by stating that "for catalog offers, (...) we generally have a reasonable premium (...). We ensure that the margin on total cost (based on net prices after discounts) is always positive, which does not pose a problem regarding catalog offers. (...) Regarding customized offers (OSM), we have a validation process, which is based on a profit and loss account tool (CEP). Sales representatives discuss on the ground with major accounts (GC) to create an OSM. Business engineers (IA) enter the prices into the CEP, which determine the price floors below which the IAs cannot go. There is an escalation process for validation if the margins are not sufficiently high. My role is to ensure that we remain reasonable and, in any case, positive in all cases. In the most borderline cases, the deals go to the OSM Committee (COOSM), which decides on the validation of the reported deals and ensures that the offers remain positive. It indeed happens that the "EBITDA" (an internal notion of Orange that is not related to the exact definition of EBITDA) is below 8%, but always positive. (...) At that time, we applied full costs for loyalty cases and costs situated between incremental costs and full costs for winback cases. Costs are calculated based on projected usage assumptions, which are requested for the coming years (...). By default, we ensure to cover full costs or mixed costs (half full, half incremental) on large fleets. By default, we apply the full cost. (...) If necessary and justified, we can take incremental costs on certain cost items. (...) The CEPs also include a pre-regulatory test, based on regulatory costs" (references 38849 to 38851).</w:t>
      </w:r>
    </w:p>
    <w:p>
      <w:r>
        <w:t>250. The forecast operating accounts used and calculated by Orange, while not constituting a strict predation test, are a management tool based on costs (full and incremental), as well as on Orange's revenues. The costs taken into account in these forecast accounts are also overestimated compared to actual costs in that they do not take into account the decrease in costs over time.</w:t>
      </w:r>
    </w:p>
    <w:p>
      <w:r>
        <w:t xml:space="preserve">Analysis of the main cases raised by Bouygues Telecom and SFR  </w:t>
        <w:br/>
        <w:t xml:space="preserve">251. Orange has produced the forecast operating accounts corresponding to the main cases raised in the complaints of Bouygues Telecom and SFR (references 39519 to 39520; 39545 to 39556 and 41187 to 41189).  </w:t>
        <w:br/>
        <w:t>252. Based on the forecast operating accounts provided by Orange, it should be noted that the most significant tenders targeted by Bouygues Telecom and SFR</w:t>
      </w:r>
    </w:p>
    <w:p>
      <w:r>
        <w:rPr>
          <w:b/>
        </w:rPr>
        <w:t>[Pages 55–57]</w:t>
      </w:r>
    </w:p>
    <w:p>
      <w:r>
        <w:t xml:space="preserve">present all have a positive operating margin. Furthermore, it does not appear that these forecast operating accounts would present anomalies or material errors likely to significantly affect the results presented by Orange.  </w:t>
        <w:br/>
        <w:t xml:space="preserve">ii) Search for intentional elements  </w:t>
        <w:br/>
        <w:t xml:space="preserve">253. Moreover, the elements of the investigation do not allow for the conclusion of the existence of a plan aimed at excluding its competitors from the market.  </w:t>
        <w:br/>
        <w:t xml:space="preserve">254. Firstly, Orange has implemented procedures and an internal organization aimed at ensuring cost coverage and which strictly frames the leeway available to both sales representatives and business engineers when developing tailored offers. Depending on the level of discount granted, the validation process follows an escalation process summarized in the internal documents seized at Orange concerning the organization of sales in business agencies (cotes 21588, 21608, 24360, 36963 to 36980). Furthermore, it appears that when errors have been made in the preparation of the forecast operating accounts, these are subject to rapid adjustment and correction measures. For example, in the case of "PME Centrale - Serpol" raised by both Bouygues Telecom and SFR, Orange became aware afterwards of the difficulties raised by this contract and sought to terminate it, particularly given "the regulatory and legal risks (reproducibility of the conditions for any company meeting the criteria defined for PME Centrale, (...))" posed by this contract (cotes 21132 to 21133). Regarding the case related to the civil hospices of Lyon, internal documents at Orange indicate that an error was made in the response to the call for tenders leading to an offer that might seem loss-making, but which would actually remain profitable (cotes 41152 to 41153). Finally, when in July 2010, Orange noticed a modeling error that could affect the forecast operating account tool, the executives urged the various managers responsible for developing and marketing offers "to exercise the utmost caution for ongoing business" and to "implement (...) an action plan" aimed at "implementing as soon as possible a first corrective measure for the calculation of incoming revenue and EBITDA" (cotes 38860 to 38875).  </w:t>
        <w:br/>
        <w:t xml:space="preserve">255. Secondly, it should be noted that, in light of the investigation documents, Orange did not wish to engage in a price war with its two main competitors. The document titled "commercial strategy on purchasing groups and associated pricing policy" (cotes 18139 and 33497 to 33512) notably states that "budget scenarios are built on stable ARPU at market entry, without a price war" and that "the objective is, on the contrary, to reduce volumes at the high end of the market to limit the price war and contagion in the mid-market (even less so at market entry)" (cote 18145). Another document intended for the Business Agency Division, dated 2011 (cotes 32896 to 32923), indicates that one of the objectives of the new product range offered by Orange is to "offer competitive prices compared to our direct competitors without entering into a price war" (cote 17549). Finally, in an email dated April 29, 2010 (cotes 19746, 41861, 19748, 41865), the director of Orange France's business division emphasizes that "a key issue of the core business is the limitation of value erosion in historical markets. Thus, controlling margins on mobile (limiting successive declines at each contract renegotiation, not entering into an intense price war with competitors...) as well as on data (...) will be the main lever for maintaining revenues for DCE."  </w:t>
        <w:br/>
        <w:t xml:space="preserve">iii) The predation scenarios put forward by Bouygues Telecom and SFR  </w:t>
        <w:br/>
        <w:t xml:space="preserve">256. The alleged predatory practice by Bouygues Telecom and SFR, far from being widespread, could only focus on a limited number of cases. Bouygues Telecom indeed indicates that "the results for the beginning of 2010 confirm that even today Bouygues Telecom regularly loses calls for tenders against the dominant Orange France, whose success rate is around 55% (compared to a rate of only 20% for Bouygues Telecom)." (cote 13391). This success rate put forward by Bouygues Telecom indicates at least that Orange does not practice pricing that has excluded its competitors for at least 45% of the calls for tenders. Furthermore, the economic study submitted by SFR intends to demonstrate the existence of predatory pricing only on four calls for tenders. Among these four calls for tenders, only two would have been subject to pricing below cost in the central scenario studied by SFR.  </w:t>
        <w:br/>
        <w:t xml:space="preserve">257. The reputation predation scenario presented by Bouygues Telecom in its economic study (cotes 11435 to 11443) is poorly substantiated. On the one hand, it seems difficult to create a reputation for aggressiveness among competitors if such behavior is only observed in a few isolated cases. On the other hand, competitors do not seem to refrain from responding to calls for tenders in the presence of Orange, despite the risk of not covering the costs of submitting the offer.  </w:t>
        <w:br/>
        <w:t xml:space="preserve">258. Regarding the scenario in which Orange practices predatory pricing in mobile markets to protect its margin and market share in fixed markets, this would imply that companies and administrations launching fixed and mobile calls for tenders award the mobile telephony contract without considering the implications for the fixed telephony contract. This assumption, while often retained concerning the residential retail market, seems inappropriate in the non-residential market, particularly regarding large accounts that often have specialized purchasing functions aimed at analyzing and comparing the various offers proposed while taking into account both the prices offered in fixed and mobile markets.  </w:t>
        <w:br/>
        <w:t xml:space="preserve">c) Conclusion  </w:t>
        <w:br/>
        <w:t xml:space="preserve">259. If the pricing policy practiced by Orange in the non-residential mobile market through the granting of different discounts may in some cases seem aggressive, particularly on certain calls for tenders, the investigation does not result in evidence that Orange practices prices that do not cover its average variable costs. On the other hand, in cases where the prices practiced by Orange may prove to be lower than its average total costs, no element of intent to eliminate its competitors is highlighted by the documents in the file.  </w:t>
        <w:br/>
        <w:t xml:space="preserve">C. NOTIFIED GRIEVANCES  </w:t>
        <w:br/>
        <w:t xml:space="preserve">260. By letter dated March 6, 2015, the general rapporteur of the Authority notified the following four grievances to Orange SA:  </w:t>
        <w:br/>
        <w:t xml:space="preserve">Grievance No. 1  </w:t>
        <w:br/>
        <w:t xml:space="preserve">"It is alleged that Orange SA has abused its dominant position in the wholesale market for access to the local loop by accessing, through the entities of Orange Business Services responsible for marketing electronic communications services to large enterprises (the Major Accounts Division) and medium-sized enterprises (the Business Agencies), a scope of information derived from the management of the copper local loop that is not available to third-party operators in a comparable manner, and this, according to differentiated processes ensuring it an undue competitive advantage. This practice is likely to have an effect on the market for fixed electronic communications services aimed at non-residential customers, particularly in the large accounts market segment and in the market segment for enterprises outside the low end of the market. On the one hand, by allowing the DGC and the Business Agencies to benefit in their commercial activity from more complete and faster information derived from the copper local loop, this practice is likely to protect or artificially strengthen Orange's particular position in the market by establishing the foundations of competition not based on merits. On the other hand, by not providing the operator community with comparable information and processes, Orange at least potentially constrains third-party operators in their customer acquisition and commercial relationships. This practice is also likely to raise barriers to entry in this market and, at the very least, likely to lead to a regression in competitive intensity in the retail market. This practice, which contravenes the provisions of Article L. 420-2 of the Commercial Code and Article 102 of the TFEU, has been implemented, concerning the Major Accounts Division, since January 2003 and, concerning the Business Agencies, since 2008. It is still ongoing in both cases today."  </w:t>
        <w:br/>
        <w:t xml:space="preserve">Grievance No. 2  </w:t>
        <w:br/>
        <w:t>"It is alleged that Orange SA has abused its dominant position in the market for mobile electronic communications services aimed at non-residential customers by implementing, through its "Changez de mobile" program, a loyalty practice that does not fall within the exercise of competition based on merits. This practice, which did not allow an Orange customer, except at the cost of losing the equivalent of the loyalty points acquired under the program, to use these points except within the framework of a new commitment, not only constituted a basic instrument of the loyalty policy applied in mainland France by Orange to all segments of the non-residential customer base, but also served as a more targeted loyalty instrument depending on the competitive context, such as during the launch of the new mobile number portability process in May 2007. This practice was likely to have effects on the aforementioned market. Firstly, it was likely to crystallize Orange's market shares by discouraging the consumer from playing the competition at the only moment when it was possible, that is to say, at the end of their commitment period. This practice was also likely, by reducing the number of potential customers, to artificially create a barrier to entry for any new entrant wishing to penetrate the market in question and, at the very least, to lead to a regression in competitive intensity in this market. This practice, which contravenes the provisions of Article L. 420-2 of the Commercial Code and Article 102 of the TFEU, was implemented from December 2002 until early February 2010."</w:t>
      </w:r>
    </w:p>
    <w:p>
      <w:r>
        <w:rPr>
          <w:b/>
        </w:rPr>
        <w:t>[Pages 58–60]</w:t>
      </w:r>
    </w:p>
    <w:p>
      <w:r>
        <w:t xml:space="preserve">Grievance No. 3  </w:t>
        <w:br/>
        <w:t xml:space="preserve">"It is alleged against Orange SA that it abused its dominant position in the non-residential mobile market by implementing a particularly elaborate loyalty discount system which consists of:  </w:t>
        <w:br/>
        <w:t xml:space="preserve">- on the one hand, through the privilege discount, engaging the customer in long durations and creating artificial exit barriers, notably through a mechanism of tacit renewal;  </w:t>
        <w:br/>
        <w:t xml:space="preserve">- on the other hand, through a set of additional and complementary discounts, encouraging the customer to entrust Orange with almost all of its lines and consumption.  </w:t>
        <w:br/>
        <w:t xml:space="preserve">This practice is likely to have an effect on the retail market for mobile electronic communication services aimed at non-residential customers. By artificially increasing the costs of switching operators, particularly the exit costs, by locking the customer in for a duration and constraining them through volume or minimum consumption commitments, this practice is likely to lock the addressable market and artificially protect the position of Orange SA in the retail market for mobile electronic communication services aimed at non-residential customers by establishing the foundations of competition not based on merits.  </w:t>
        <w:br/>
        <w:t>This practice, which contravenes the provisions of Article L. 420-2 of the Commercial Code and Article 102 of the TFEU, has been implemented since April 2003 and is still ongoing today."</w:t>
      </w:r>
    </w:p>
    <w:p>
      <w:r>
        <w:t xml:space="preserve">Grievance No. 4  </w:t>
        <w:br/>
        <w:t xml:space="preserve">"It is alleged against Orange SA that it abused its dominant position in the retail market for site interconnection aimed at business customers by implementing, during the marketing of its Equant IPVPN and Business VPN offers, an exclusivity discount system consisting of applying different discounts to its customers linked to their commitment terms in terms of duration and volume on the condition that they do not source from third-party operators in this market.  </w:t>
        <w:br/>
        <w:t xml:space="preserve">This practice has, by its very nature, the capacity to restrict competition both in terms of its ability to bind customers and its ability to eliminate competitors. It also appears, as an additional point, that this practice has been likely to produce effects in the context of an analysis of the circumstances of the case.  </w:t>
        <w:br/>
        <w:t>This practice, which contravenes the provisions of Article L. 420-2 of the Commercial Code and Article 102 of the TFEU, has been implemented since July 15, 2006, and is still applied today."</w:t>
      </w:r>
    </w:p>
    <w:p>
      <w:r>
        <w:t xml:space="preserve">D. IMPLEMENTATION OF THE PROCEDURE FOR NON-CONTESTATION OF GRIEVANCES  </w:t>
        <w:br/>
        <w:t>261. According to III of Article L. 464-2 of the Commercial Code, "when an organization or a company does not contest the reality of the grievances notified to it, the general rapporteur may propose to the Competition Authority, which hears the parties and the Government Commissioner without prior establishment of a report, to impose the monetary sanction provided for in I, taking into account the absence of contestation (...)."</w:t>
      </w:r>
    </w:p>
    <w:p>
      <w:r>
        <w:t xml:space="preserve">262. Orange, recipient of the notification of grievances, requested the benefit of the provisions of III of Article L. 464-2 of the Commercial Code. The implementation of these provisions led to the establishment of a report signed on November 6, 2015, by the representative of Orange and the general rapporteur.  </w:t>
        <w:br/>
        <w:t xml:space="preserve">263. To take into account the non-contestation of the grievances, which allows procedural gains for the Authority in terms of drafting and defending the decision and which constitutes a guarantee of a rapid restoration of a healthy competitive situation in the market, the general rapporteur, in accordance with the practice followed in decisions No. 09-D-24 of July 28, 2009, and No. 07-D-33 of October 15, 2007, committed to propose that the monetary sanction potentially incurred by Orange does not exceed three hundred and fifty million euros. This approach, implemented in compliance with the applicable provisions in this case, is also inspired by the spirit of the forthcoming settlement procedure, created by Law No. 2015-990 of August 6, 2015, for growth, activity, and economic equality of opportunities, which will be applicable to cases in which grievances have been notified after the publication of this law. This procedure will indeed allow the general rapporteur, based on an agreement with the accused company that waives contesting the grievances, to propose the imposition of a monetary sanction within the limits of a minimum amount and a maximum amount.  </w:t>
        <w:br/>
        <w:t>264. In light of the notified grievances, the context of the request for non-contestation of grievances, the resulting advantages, the expected deterrent effect of the sanction, and the corrective effect allowed by the accompanying injunctions, the proposal of the general rapporteur is free from any manifest error of judgment. Given its content, it justifies, in the circumstances of the case, that the Authority deviates from the communication regarding the non-contestation of grievances and the communication regarding the method of determining monetary sanctions.</w:t>
      </w:r>
    </w:p>
    <w:p>
      <w:r>
        <w:t xml:space="preserve">III. Discussion  </w:t>
        <w:br/>
        <w:t xml:space="preserve">A. ON THE CONSEQUENCES OF THE IMPLEMENTATION OF THE PROCEDURE FOR NON-CONTESTATION OF GRIEVANCES  </w:t>
        <w:br/>
        <w:t xml:space="preserve">1. THE PRINCIPLES  </w:t>
        <w:br/>
        <w:t xml:space="preserve">265. The organization or company that chooses to request the benefit of the implementation of III of Article L. 464-2 of the Commercial Code, in its wording prior to Law No. 2015-990 applicable in this case, must comply with the conditions imposed in this regard, by not contesting the reality of the grievances that have been notified to it.  </w:t>
        <w:br/>
        <w:t xml:space="preserve">266. The interested party must thus waive contesting not only the reality of all the practices referred to in the notification of grievances but also the qualification that has been given in light of the provisions of Union law and the Commercial Code, as well as its responsibility in the implementation of these practices (see, in this sense, judgment of the Paris Court of Appeal of March 29, 2012, Lacroix Signalisation e.a., No. 2011/01228, p. 23). This waiver must, on all these points, be express, complete, and free from ambiguity (decisions No. 04-D-42 of August 4, 2004, relating to practices implemented in the context of the market for the restoration of the spire of the cathedral of Tréguier, paragraph 15, No. 06-D-09 of April 11, 2006, relating to practices implemented in the door manufacturing sector, paragraph 303, and No. 12-D-06 of January 26, 2012, relating to practices implemented in the aggregates sector and downstream markets in Saint-Pierre-et-Miquelon, paragraph 149; see also, in this sense, decisions No. 10-D-39 of December 22, 2010, relating to practices implemented in the vertical road signage sector, paragraphs 226, 228, and 425, and No. 11-D-07 of February 24, 2011, relating to practices implemented in the sector of painting works on metal infrastructures, paragraph 113).  </w:t>
        <w:br/>
        <w:t>267. Such a waiver to contest the grievances is sufficient to allow the Authority to consider that all the infractions in question are established with respect to the parties that have made this procedural choice (see, in this sense, judgment of the Paris Court of Appeal of January 26, 2010, Adecco France e.a., No. 2009/03532, p. 10, and, on appeal, judgment of the Court of Cassation of March 29, 2011, Manpower France e.a., No. 10-12.913; see also decisions No. 04-D-42, cited, paragraph 12, No. 11-D-07, cited, paragraph 113, and No. 12-D-06, cited, paragraph 151).</w:t>
      </w:r>
    </w:p>
    <w:p>
      <w:r>
        <w:t xml:space="preserve">2. APPLICATION TO THE CASE AT HAND  </w:t>
        <w:br/>
        <w:t xml:space="preserve">268. By a report signed on November 6, 2014, Orange committed not to contest the grievances that were notified to it in this case. Consequently, the grievances set out in paragraph 260 of this decision and relating to the practices described in paragraphs 61 to 238 are established with respect to Orange.  </w:t>
        <w:br/>
        <w:t xml:space="preserve">269. It is nevertheless permissible for the Authority, when it deems necessary, to clarify a point of law, particularly when it concerns a new question that may arise in other cases. Such is the case, regarding grievances No. 2 and 3, concerning the question of the existence of a relevant market for mobile electronic communication services aimed at non-residential customers, distinct from that of residential customers, and Orange's position in this market.  </w:t>
        <w:br/>
        <w:t xml:space="preserve">a) On the existence of a market for mobile communication services aimed at non-residential customers  </w:t>
        <w:br/>
        <w:t xml:space="preserve">The notion of relevant market  </w:t>
        <w:br/>
        <w:t xml:space="preserve">270. In its communication No. 97/C 372/03 of December 9, 1997, on the definition of the relevant market, the European Commission recalled that the market for products "includes all products and/or services that the consumer considers interchangeable or substitutable due to their characteristics, price, and intended use."  </w:t>
        <w:br/>
        <w:t xml:space="preserve">271. Following the same approach, the Authority recalled that "the market is defined as the place where the supply and demand for specific products or services meet, considered by buyers or users as substitutable among themselves, but not substitutable for other goods and services offered" (see, for example, decision No. 13-D-21 of December 18, 2013, relating to practices implemented in the French market for high-dose buprenorphine marketed in the city, paragraph 319).  </w:t>
        <w:br/>
        <w:t>272. Thus, in competition law, "the relevant market is an economic reality that preexists the decision that defines it" (judgment of June 27, 2011, of the Paris Court of Appeal, No. 2010/08945). Therefore, the existence or absence of a relevant market cannot result from</w:t>
      </w:r>
    </w:p>
    <w:p>
      <w:r>
        <w:rPr>
          <w:b/>
        </w:rPr>
        <w:t>[Pages 61–63]</w:t>
      </w:r>
    </w:p>
    <w:p>
      <w:r>
        <w:t>satisfaction de conditions spécifiques.</w:t>
      </w:r>
    </w:p>
    <w:p>
      <w:r>
        <w:t>291. En conséquence, il convient de conclure que, bien que des similitudes puissent exister entre les besoins en communications mobiles des clients résidentiels et ceux des très petites entreprises, les différences en termes de caractéristiques, de prix et d'usage justifient une distinction claire entre les deux marchés.</w:t>
      </w:r>
    </w:p>
    <w:p>
      <w:r>
        <w:t>292. Par conséquent, il est approprié de définir un marché des services de téléphonie mobile à destination de la clientèle non résidentielle, distinct du marché des services de téléphonie mobile à destination de la clientèle résidentielle.</w:t>
      </w:r>
    </w:p>
    <w:p>
      <w:r>
        <w:rPr>
          <w:b/>
        </w:rPr>
        <w:t>[Pages 64–66]</w:t>
      </w:r>
    </w:p>
    <w:p>
      <w:r>
        <w:t xml:space="preserve">communication of a SIREN number assigned by INSEE (decision no. 12-D-24 of December 13, 2012, cited above, paragraph 372).  </w:t>
        <w:br/>
        <w:t xml:space="preserve">291. Furthermore, while certain offers labeled "pro" by some operators and meeting the demand characteristics of a professional clientele are also accessible to residential customers who are heavy consumers and do not possess a SIREN number, ARCEP notes that "this phenomenon remains, however, marginal" (p. 18 of its opinion).  </w:t>
        <w:br/>
        <w:t xml:space="preserve">292. In addition, according to the opinion issued by ARCEP in this case, the specificity of the needs and offers aimed at professionals appears from the bottom of the market. It notes that "companies, particularly professionals, very small enterprises (TPE), and small and medium-sized enterprises (PME), also demand a unified management of their electronic communication services, both to achieve savings by centralizing their orders with a single provider, but also to benefit from a single point of contact, simplified operational management, and increasingly, to take advantage of synergies between voice and data, between fixed and mobile" (reference 25480).  </w:t>
        <w:br/>
        <w:t xml:space="preserve">293. It adds that, to meet these specific needs, "for professionals and TPEs, fixed and mobile operators have developed offers that are halfway between 'business' offers and 'consumer' offers. The Pro versions of fixed offers and mobile plans offer, for example, unlimited voice during the day but not in the evening, inclusion of international calls to landlines and mobiles and/or roaming, shared and adjustable plans, dedicated customer service, or unlimited internet with higher speeds, professional email boxes, and guaranteed response times for fixed telephony. These are 'catalog' offers, whose prices are generally not negotiable and contractual conditions imposed" (pp. 8 and 9 of the opinion, references 25481 and 25482).  </w:t>
        <w:br/>
        <w:t xml:space="preserve">294. Several internal documents from Orange also confirm the particularities of the bottom of the professional market that distinguish it from residential customers. In a first document (reference 17699), Orange presents the "expectations of professionals," which are of three types. On the one hand, the expectation "of recognition as a Pro" through "dedicated offers" and a "privileged customer relationship: installation, distribution, web, ...". On the other hand, the expectation of "efficiency/productivity" through "all-inclusive: unlimited, convergence" and "time savings: messaging + with access from mobile, website/e-shop (management tools, secure online payment), professional directory registration, ...". Finally, the expectation of "quality and continuity of service" through "offer quality (3G coverage, ...) and services," a "commitment to SLAs," and "insurance (theft, damage, ...)."  </w:t>
        <w:br/>
        <w:t xml:space="preserve">295. In another document (reference 39808), Orange emphasizes that "the expectations of business customers with 1 to 50 employees show a strong coherence." It specifies that companies with between 1 and 50 employees have "very specific issues for the target" that "translate into the importance of four major values around which expectations are structured," namely "recognition of status and specific issues," "simplicity," "transparency/perception of a fair price," and "quality/continuity of service."  </w:t>
        <w:br/>
        <w:t>296. In light of these elements demonstrating a lack of sufficient substitutability from the demand perspective, the bottom of the professional market cannot be integrated into the market for mobile services aimed at residential customers. On the other hand, given the specificity of the needs expressed by all non-residential customers and the offers addressed to them, it is appropriate, subject to finer segmentation, to define a market for mobile services aimed at professional customers including all entities holding a SIREN number.</w:t>
      </w:r>
    </w:p>
    <w:p>
      <w:r>
        <w:t xml:space="preserve">b) On Orange's dominant position in this market  </w:t>
        <w:br/>
        <w:t xml:space="preserve">297. As the Commission recalls, a dominant position is defined as "a situation of economic power held by a company that gives it the ability to hinder the maintenance of effective competition in the relevant market by providing it with the possibility of independent behavior to a significant extent with respect to its competitors, its customers, and ultimately, consumers. This notion of independence is linked to the degree of competitive pressure exerted on the company in question. The existence of a dominant position implies that this competitive pressure is not sufficiently effective and, consequently, that the company in question holds substantial and lasting market power. The company's decisions are therefore largely insensitive to the actions and reactions of competitors, customers, and ultimately, consumers" (press release of February 24, 2009, concerning the priorities set by the Commission for the application of Article 82 of the EC Treaty to the abusive exclusionary practices of dominant companies, paragraph 10).  </w:t>
        <w:br/>
        <w:t xml:space="preserve">298. In this case, regarding market shares, ARCEP notes, on the one hand, that "in terms of revenue, France Télécom-Orange, during the period of the referrals, stabilized its market share in value, slightly below 55%" and, on the other hand, that "Orange's market share in terms of the number of lines in non-residential mobile telephony has been relatively stable for years and above 50%, regardless of the market segment" (reference 25492).  </w:t>
        <w:br/>
        <w:t xml:space="preserve">299. The documents in the file, including internal documents from Orange, confirm over the years the orders of magnitude of the findings established by ARCEP (for 2005, see references 16267 and 40043; for 2006, see reference 40079; for 2007, see reference 17817; for 2008, see reference 14177; between 2006 and 2008, see reference 17813; for 2013, see reference 19882). Moreover, at no time in its responses to the statement of objections and the report did Orange contest holding more than 50% of the market shares for mobile services aimed at non-residential customers during the period covered by the examined practices.  </w:t>
        <w:br/>
        <w:t xml:space="preserve">300. In light of these elements, Orange holds a strong position in the market for mobile services aimed at non-residential customers, as its market shares are sustainably above 50% across all segments of the professional clientele. In this regard, and as ARCEP points out, "it is significant to note that France Télécom-Orange's market share in value is significantly higher than its market share in terms of lines, while those of Bouygues Telecom are roughly equal, and SFR's market share in value is significantly lower than its market share in terms of lines" (reference 25492).  </w:t>
        <w:br/>
        <w:t xml:space="preserve">301. In law, it should be recalled that an extremely large market share constitutes by itself, except in exceptional circumstances, one of the proofs of the existence of a dominant position (judgment of February 13, 1979, of the Court of Justice, no. 85/76, paragraph 41). The Court of Justice has ruled that this was the case for a market share of 50% (judgment of July 3, 1991, of the Court of Justice, Akzo Chemie BV, no. C-62/86, paragraph 60; see also, for a recent reminder, judgment of December 6, 2012, of the Court of Justice, AstraZeneca, paragraph 176).  </w:t>
        <w:br/>
        <w:t>302. Other elements help characterize Orange's position in the market. In the opinion it issued, ARCEP thus advances the "notoriety" of Orange, "its ability to hold a wide range of products," and "its ease of bundling these products to offer complete and convergent offers" (reference 25495).</w:t>
      </w:r>
    </w:p>
    <w:p>
      <w:r>
        <w:t xml:space="preserve">303. Regarding Orange's notoriety, there is no doubt that Orange enjoys, beyond its own merits, a reputation that stems from its particular situation as a historical telecommunications operator in France that benefited from a state monopoly. In an internal document, Orange is thus fully aware of the "increased demands on the leader" that it represents in the market (reference 39680). According to it, Orange benefits "from a leadership mainly attributed to its seniority as a historical operator ...".  </w:t>
        <w:br/>
        <w:t xml:space="preserve">304. Regarding convergence, this market trend contributes to strengthening Orange's position, although this evolution does not allow for the definition of a global market including fixed and mobile services. As ARCEP points out, Orange is among the "convergent players present in both fixed and mobile markets" (reference 25487). However, as the sector authority particularly emphasizes, "in the fixed market, France Télécom-Orange enjoys, among businesses, a reputation for reliability and significant responsiveness. The operator, thanks to the copper local loop deployed in a historical monopoly situation, its very extensive fiber optic network, its vertical integration, and its investment capacity, is an essential player in the business market. In the mobile market, France Télécom-Orange is the operator with the most extensive 2G and 3G coverage. In 2012, the coverage rate for 2G and 3G was respectively 99.9% and 98.5% of the population, and 97.3% and 87.3% of the territory also has a voice and data quality of service above average." Thus, according to ARCEP, "France Télécom-Orange, relying on the extent of its fixed and mobile infrastructure, is capable of meeting the needs of all market segments, including the most complex demands of major accounts" (reference 25487).  </w:t>
        <w:br/>
        <w:t xml:space="preserve">305. As ARCEP notes (reference 25495), Orange, as a convergent player present in both fixed and mobile, is in commercial relations with a very large majority of non-residential customers, through a sales force that covers all these products. Orange holds market shares in fixed services that are significantly higher than those it holds in the mobile market (ARCEP opinion, references 25493 to 25495). Orange itself estimated in 2008 its market share across all fixed and mobile services in the market to be around 70% (reference 14177).  </w:t>
        <w:br/>
        <w:t xml:space="preserve">306. Finally, SFR and Bouygues Telecom have sustainably held market shares significantly lower than that of Orange in the market for mobile services aimed at non-residential customers. They do not have comparable power to that of Orange, which would remove its ability to sufficiently insulate itself from competitive pressure.  </w:t>
        <w:br/>
        <w:t xml:space="preserve">307. In light of all these elements, both quantitative and qualitative, Orange should be regarded as holding a dominant position in the market for mobile services aimed at non-residential customers.  </w:t>
        <w:br/>
        <w:t xml:space="preserve">3. CONCLUSION ON THE OBSERVED PRACTICES  </w:t>
        <w:br/>
        <w:t xml:space="preserve">a) On grievance no. 1  </w:t>
        <w:br/>
        <w:t>308. Orange does not contest having abused, in violation of the provisions of Article L. 420-2 of the Commercial Code and Article 102 of the TFEU, its dominant position in the market for wholesale access offers to the local loop in mainland France, by accessing, through the entities of Orange business services responsible for marketing electronic communication services to large companies (the major accounts division) and medium-sized enterprises.</w:t>
      </w:r>
    </w:p>
    <w:p>
      <w:r>
        <w:rPr>
          <w:b/>
        </w:rPr>
        <w:t>[Pages 67–69]</w:t>
      </w:r>
    </w:p>
    <w:p>
      <w:r>
        <w:t xml:space="preserve">access to the local loop in the metropolitan area, by accessing, through the entities of Orange business services responsible for marketing electronic communication services to large enterprises (the major accounts division) and medium-sized enterprises (the business agencies), a scope of information derived from the management of the copper local loop that third-party operators do not benefit from in a comparable manner, and this, according to differentiated processes ensuring it an undue competitive advantage.  </w:t>
        <w:br/>
        <w:t xml:space="preserve">309. This practice is likely to have effects on the market for fixed electronic communication services aimed at non-residential customers, particularly in the large accounts market segment and in the market segment for businesses outside the low-end market. On the one hand, by allowing the major accounts division and the business agencies to benefit in their commercial activities from more complete and faster information derived from the copper local loop, this practice is likely to protect or artificially strengthen Orange's particular position in the market by establishing the foundations for competition not based on merits. On the other hand, by not providing the operator community with comparable information and processes, Orange at least potentially constrains third-party operators in their customer acquisition and commercial relationships. This practice is also likely to raise barriers to entry in this market and, at the very least, is likely to lead to a regression of competitive intensity in the retail market.  </w:t>
        <w:br/>
        <w:t xml:space="preserve">310. This practice has been implemented, concerning the major accounts division, since January 2003 and, concerning the business agencies, since 2008. In both cases, it is still ongoing as of the date of the notification of the grievance.  </w:t>
        <w:br/>
        <w:t xml:space="preserve">b) On grievance no. 2  </w:t>
        <w:br/>
        <w:t xml:space="preserve">311. Orange does not contest having abused, in violation of the provisions of Article L. 420-2 of the Commercial Code and Article 102 of the TFEU, its dominant position in the metropolitan market for mobile electronic communication services aimed at non-residential customers by implementing, through its "Changez de mobile" program, a loyalty practice that does not fall within the exercise of competition based on merits. This practice, which did not allow an Orange customer, except at the cost of losing the equivalent value of loyalty points acquired under the program, to use these points other than within the framework of a new commitment, not only constituted a fundamental instrument of the loyalty policy applied in the metropolitan area by Orange to all segments of the non-residential customer base, but also served as a more targeted loyalty instrument depending on the competitive context, such as during the launch of the new mobile number portability process in May 2007.  </w:t>
        <w:br/>
        <w:t xml:space="preserve">312. This practice was likely to have effects on the aforementioned market. First, it was likely to crystallize Orange's market shares by dissuading the consumer from playing the competition at the only moment when it was possible, namely at the end of their commitment period. This practice was also likely, by reducing the number of potential customers, to artificially create a barrier to entry for any new entrant wishing to penetrate the considered market and, at the very least, to lead to a regression of competitive intensity in this market.  </w:t>
        <w:br/>
        <w:t xml:space="preserve">313. This practice was implemented from December 2002 until early February 2010.  </w:t>
        <w:br/>
        <w:t xml:space="preserve">c) On grievance no. 3  </w:t>
        <w:br/>
        <w:t xml:space="preserve">314. Orange does not contest having abused, in violation of the provisions of Article L. 420-2 of the Commercial Code and Article 102 of the TFEU, its dominant position in the metropolitan market for mobile communication services aimed at non-residential customers by establishing a particularly elaborate loyalty discount system. On the one hand, through the "privilege" discount, this system aims to engage the customer for long durations and to create artificial exit barriers, notably through a tacit renewal re-engagement mechanism. On the other hand, through a set of additional and complementary discounts linked to line volumes, consumption, or revenue (such as "park" discounts, target discounts, etc.), the system in place dissuades Orange customers from entrusting all or part of their lines and consumption to a third-party operator.  </w:t>
        <w:br/>
        <w:t xml:space="preserve">315. This practice is likely to have effects on the retail market for mobile electronic communication services aimed at non-residential customers. By artificially increasing the costs of switching operators, particularly exit costs, by locking the customer in for a duration and constraining them through commitments of volume or minimum consumption, this practice is likely to lock the addressable market and to artificially protect Orange's position in the retail market for mobile electronic communication services aimed at non-residential customers by establishing the foundations for competition not based on merits.  </w:t>
        <w:br/>
        <w:t xml:space="preserve">316. This practice was implemented from April 2003 and was still ongoing at the date of the notification of the grievance.  </w:t>
        <w:br/>
        <w:t xml:space="preserve">d) On grievance no. 4  </w:t>
        <w:br/>
        <w:t xml:space="preserve">317. Orange does not contest having abused, in violation of the provisions of Article L. 420-2 of the Commercial Code and Article 102 of the TFEU, its dominant position in the metropolitan market for retail interconnection services aimed at business customers by implementing, during the marketing of its Equant IPVPN and Business VPN offers, a system of exclusivity discounts consisting of applying different discounts to its customers linked to their commitment terms in terms of duration and volume on the condition that they do not source from third-party operators in this market.  </w:t>
        <w:br/>
        <w:t xml:space="preserve">318. By its very nature, this practice may have had the effect of restricting competition both in terms of its ability to bind customers and in terms of its ability to eliminate competitors.  </w:t>
        <w:br/>
        <w:t xml:space="preserve">319. It was implemented from July 15, 2006, and was still ongoing at the date of the notification of the grievances.  </w:t>
        <w:br/>
        <w:t xml:space="preserve">B. ON THE OTHER PRACTICES REPORTED BY THE COMPLAINANTS  </w:t>
        <w:br/>
        <w:t xml:space="preserve">320. Bouygues Telecom and SFR reported in their complaint predatory pricing practices implemented by Orange, particularly during public and private tenders, in the market for mobile communications aimed at non-residential customers.  </w:t>
        <w:br/>
        <w:t xml:space="preserve">321. In light of the findings set out in paragraphs 239 to 259, it is not established that Orange practiced prices that did not cover its average variable costs. Furthermore, in cases where the prices charged by Orange may prove to be lower than its average total costs, no element of intent to eliminate its competitors is highlighted by the documents in the file.  </w:t>
        <w:br/>
        <w:t xml:space="preserve">322. It follows that the reported predatory pricing practices are not demonstrated. Consequently, there is no need to continue the procedure regarding these practices, in application of the provisions of Article L. 464-6 of the Commercial Code.  </w:t>
        <w:br/>
        <w:t xml:space="preserve">C. ON THE SANCTION  </w:t>
        <w:br/>
        <w:t xml:space="preserve">323. Paragraph I of Article L. 464-2 of the Commercial Code and Article 5 of Regulation No. 1/2003 empower the Authority to impose a monetary sanction on companies and organizations engaging in anti-competitive practices prohibited by Article L. 420-2 of the Commercial Code and Article 102 of the TFEU.  </w:t>
        <w:br/>
        <w:t xml:space="preserve">324. Furthermore, the third paragraph of I of Article L. 464-2 of the Commercial Code provides that "monetary sanctions are proportionate to the seriousness of the alleged facts, the importance of the damage caused to the economy, the individual situation of the sanctioned organization or company or the group to which the company belongs, and any potential repetition of practices prohibited by [Title VI of Book IV of the Commercial Code]. They are determined individually for each sanctioned company or organization and reasoned for each sanction."  </w:t>
        <w:br/>
        <w:t xml:space="preserve">325. According to the fourth paragraph of I of Article L. 464-2 of the Commercial Code, "the maximum amount of the sanction is, for a company, 10% of the highest amount of global turnover excluding taxes during one of the financial years closed since the financial year preceding the one during which the practices were implemented. If the accounts of the concerned company have been consolidated or combined under the applicable texts to its legal form, the turnover taken into account is that appearing in the consolidated or combined accounts of the consolidating or combining company."  </w:t>
        <w:br/>
        <w:t xml:space="preserve">326. Paragraph III of Article L. 464-2 of the Commercial Code, in its version prior to Law No. 2015-990 of August 6, 2015, which is the applicable version of the text in this case given the date of the notification of the grievances, states that "when an organization or a company does not contest the reality of the grievances notified to it, the general rapporteur may propose to the Competition Authority, which hears the parties and the Government Commissioner without prior establishment of a report, to impose the monetary sanction provided for in I taking into account the absence of contestation. In this case, the maximum amount of the sanction incurred is reduced by half. When the company or organization also commits to modifying its behavior for the future, the general rapporteur may propose to the Competition Authority to take this into account as well in determining the amount of the sanction."  </w:t>
        <w:br/>
        <w:t>327. Orange has been given the opportunity to make observations on the main elements of law and fact in the file that may, according to the investigation services of the Authority, influence the determination of the sanction that may be imposed on it. The presentation of these various elements by the investigation services does not prejudge the assessment of the college on the determinants of the sanction, which is solely within its deliberation.</w:t>
      </w:r>
    </w:p>
    <w:p>
      <w:r>
        <w:rPr>
          <w:b/>
        </w:rPr>
        <w:t>[Pages 70–72]</w:t>
      </w:r>
    </w:p>
    <w:p>
      <w:r>
        <w:t xml:space="preserve">1. ON THE GRAVITY OF THE PRACTICES  </w:t>
        <w:br/>
        <w:t xml:space="preserve">328. The gravity of the practices is assessed objectively and concretely, in light of all relevant elements of the case at hand. Several criteria may be taken into account to assess the gravity of a practice.  </w:t>
        <w:br/>
        <w:t xml:space="preserve">329. The Paris Court of Appeal specified in a ruling dated March 23, 2010, "Gaz de Grenoble," the criteria that may be considered in this perspective. Thus, the gravity of a practice may be assessed in particular with regard to the methods used by companies to implement the practice, the competitive context, the nature of the products, the markets concerned, and the sensitivity of these markets affecting consumers directly or not, the profile of the victims of the practices, the duration of the practices, and their continuation beyond the referral to the Authority.  </w:t>
        <w:br/>
        <w:t xml:space="preserve">330. In order to assess the gravity of the facts in the case at hand, it is appropriate to successively address the nature of the infringements in question, the nature of the sector and activities concerned, the nature of the persons likely to be affected, the nature of the products concerned, and the concrete characteristics of these practices.  </w:t>
        <w:br/>
        <w:t xml:space="preserve">a) On the gravity related to the nature of the infringements in question  </w:t>
        <w:br/>
        <w:t xml:space="preserve">331. Complaint No. 1, relating to discrimination in access to information regarding the local copper loop, and complaints No. 2 to 4, relating to loyalty and exclusivity discounts, concern exclusionary practices by the dominant company that are considered serious insofar as they have the effect of preventing access and development of competitors in the market by means not based on competition by merits.  </w:t>
        <w:br/>
        <w:t xml:space="preserve">332. Indeed, these practices entail "a mechanical and automatic effect of exclusion of competitors, which are traditionally qualified by competition authorities and by European and national courts as serious" (see in this sense decisions 12-D-24 and 14-D-05, paragraph 212). The Authority has also pointed out that this type of practice carries "a certain degree of gravity in that it tends to raise barriers to entry and to prevent a competitor from developing in the market despite its own merits" (decision No. 14-D-02, paragraph 358). The gravity of the practices is therefore established on this first point.  </w:t>
        <w:br/>
        <w:t xml:space="preserve">b) On the gravity related to Orange's situation in the sector  </w:t>
        <w:br/>
        <w:t xml:space="preserve">333. It should be emphasized the particular responsibility of Orange in the electronic communications sector both in wholesale and retail markets. As noted by the Competition Council in its decision No. 05-D-59 (paragraph 125), it appears that "FT is the historical operator in the telecommunications sector. (...) This strategic position gives FT a particular responsibility in the concerned markets, in the general context of the opening of the telecommunications sector to competition and in the specific framework of the development of new technologies and new services, such as the Internet and ADSL. FT's presence in all electronic communications markets, both in wholesale and retail markets, further increases this responsibility."  </w:t>
        <w:br/>
        <w:t xml:space="preserve">334. Regarding the situation of the sector in which the practice related to access and use of information concerning the management of the local copper loop and the exclusivity discount practice implemented by Orange on its VPN offers occurred, Orange's responsibility appears greater due to its former status as a legal monopoly (see, in this regard, decision No. 05-D-59 of November 7, 2005, concerning practices implemented by France Télécom in the high-speed Internet sector, confirmed by the Paris Court of Appeal in its ruling of July 4, 2006, decision No. 09-D-24 of July 28, 2009, concerning practices implemented by France Télécom in various markets for fixed electronic communications services in the DOM, and the Authority's decision No. 15-D-01 of February 5, 2015, paragraph 245).  </w:t>
        <w:br/>
        <w:t xml:space="preserve">335. Furthermore, the practices appear all the more serious as they rely, for some of them, on the exploitation of infrastructures that are essential infrastructures. This is the case for the practice related to access and use of information concerning the management of the local copper loop. The Competition Council has already had the opportunity to emphasize the particular gravity of this type of practice by noting that "the discrimination operated in access to information on line eligibility and the ordering process is of particular gravity in that France Télécom could not ignore its strategic nature for the market and notably for the development of mass marketing of offers from Wanadoo's competitors" (decision No. 07-D-33 of October 15, 2007, paragraph 94).  </w:t>
        <w:br/>
        <w:t xml:space="preserve">336. By creating artificial barriers to the entry of competing actors into the market, Orange has disregarded the particular responsibility that it bore in both wholesale and retail markets.  </w:t>
        <w:br/>
        <w:t xml:space="preserve">c) On the gravity related to the nature of the persons likely to be affected by the practices  </w:t>
        <w:br/>
        <w:t xml:space="preserve">337. The nature of the persons likely to be affected by the practices implemented by Orange can be broadly understood in that the effects of these practices may concern directly or indirectly both operators in the electronic communications sector and end customers, which in this case correspond to all businesses established in France, regardless of their size.  </w:t>
        <w:br/>
        <w:t xml:space="preserve">338. Regarding the business clientele, affected by all practices having effects on retail markets, while it is true that businesses are considered to be less vulnerable consumers than the general public in that they generally have more resources and greater capacity for choice, this difference diminishes at the lower end of the market, composed of professionals and small businesses. SMEs, and particularly very small enterprises (TPEs), therefore appear especially exposed to the observed practices that are likely to affect their competitiveness.  </w:t>
        <w:br/>
        <w:t xml:space="preserve">339. Regarding competing telecommunications operators, specifically affected by complaint No. 1, it should be noted, beyond their competitive situation in retail markets, their dependency on Orange in wholesale markets.  </w:t>
        <w:br/>
        <w:t xml:space="preserve">d) On the gravity related to the nature of the products concerned  </w:t>
        <w:br/>
        <w:t xml:space="preserve">340. Regarding the nature of the products concerned, it appears that electronic communication services, both fixed and mobile (telephony and data), constitute essential services for businesses. The quality and price of these services have a direct impact on their competitiveness. In this sense, the Authority has already had the opportunity to note, in the residential sector, that mobile services have become "everyday products" and "thus represent a quasi-necessary expense in household budgets" (decisions 12-D-24, paragraph 621).  </w:t>
        <w:br/>
        <w:t xml:space="preserve">341. In this case, the nature of the services in question reinforces the concrete gravity of the infringements committed by Orange in the considered markets.  </w:t>
        <w:br/>
        <w:t xml:space="preserve">e) On the gravity related to the objective characteristics of the infringements  </w:t>
        <w:br/>
        <w:t xml:space="preserve">342. The practices in question present, in light of their objective characteristics, a certain degree of gravity.  </w:t>
        <w:br/>
        <w:t xml:space="preserve">343. On the one hand, the fact that Orange has simultaneously combined several distinct practices affecting all fixed and mobile markets aimed at non-residential customers constitutes an aggravating factor, especially as the sector is experiencing a convergence movement of mobile and fixed communications (telephony and data) through comprehensive offers combining these various services.  </w:t>
        <w:br/>
        <w:t xml:space="preserve">344. On the other hand, the temporal characteristics of the infringements also attest to their gravity. These practices are all old; they have been implemented continuously over a long period, and for three of them (complaints No. 1, 3, and 4), were still ongoing at the time of the notification of complaints.  </w:t>
        <w:br/>
        <w:t xml:space="preserve">345. Finally, the intrinsic characteristics of the practices and Orange's full awareness of the scope of its actions are likely to characterize the gravity of the infringements.  </w:t>
        <w:br/>
        <w:t xml:space="preserve">346. Complaint No. 1 targets a covert and unformalized practice of privileged access by Orange's sales teams to information regarding the local copper loop held by the dominant operator as the manager of this infrastructure. In light of the documents in the file (see paragraph 528 of the notification of complaints), Orange was aware of the prohibited nature of such a practice under competition law.  </w:t>
        <w:br/>
        <w:t xml:space="preserve">347. Complaints No. 2 and 3 relate to a complex system of discounts that was designed by Orange as a customer retention tool and not as an instrument to benefit customers from efficiency gains resulting from their loyalty. Several internal documents from Orange show, for example, that it deliberately used the "change mobile" program in a targeted manner to limit the consequences of the entry into force of the new mobile number portability process, which was considered by ARCEP as a "decisive" element for opening up to competition (see point 647 of the notification of complaints).  </w:t>
        <w:br/>
        <w:t xml:space="preserve">348. Furthermore, the sophistication of this discount system lies in the fact that the various discounts practiced in different forms accumulate and complement each other to generate enhanced loyalty effects. Some discounts depend on the volume of business done with Orange (e.g., "park" discount) and dissuade the customer from entrusting part of their fleet to a third operator, while other discounts (e.g., "privilege" discount) allow the customer to commit line by line for significantly long durations, depriving them of the possibility of leveraging competition.  </w:t>
        <w:br/>
        <w:t xml:space="preserve">349. Finally, the practice of loyalty discounts presents a systematic and generalized character in that the "change mobile" program and the "park" discount automatically apply to all eligible customers and where nearly all mobile lines are, in fact, engaged by the "privilege" discount.  </w:t>
        <w:br/>
        <w:t>350. The objective characteristics of the practices therefore attest to the certain gravity of the facts.</w:t>
      </w:r>
    </w:p>
    <w:p>
      <w:r>
        <w:rPr>
          <w:b/>
        </w:rPr>
        <w:t>[Pages 73–75]</w:t>
      </w:r>
    </w:p>
    <w:p>
      <w:r>
        <w:t xml:space="preserve">2. ON THE IMPORTANCE OF THE DAMAGE CAUSED TO THE ECONOMY  </w:t>
        <w:br/>
        <w:t xml:space="preserve">a) Reminder of principles  </w:t>
        <w:br/>
        <w:t xml:space="preserve">351. The damage caused to the economy is assessed based on the general disruption that the practices in question are likely to generate for the economy (see, for example, judgment of the Paris Court of Appeal of October 8, 2008, SNEF, no. 2007/18040, p. 4). It is therefore not to be confused with the harm that the victims of these practices may have suffered.  </w:t>
        <w:br/>
        <w:t xml:space="preserve">352. The existence of damage to the economy is not presumed (judgment of the Court of Cassation of April 7, 2010, Orange France et al., no. 09-12984, 09-13163, and 09-65940). The Authority must assess its existence and significance based on as comprehensive an analysis as possible of the elements of the case file and by examining the various aspects of the general disruption of the normal functioning of the economy caused by the practices in question (judgments of the Paris Court of Appeal of June 30, 2011, Orange France, no. 2010/12049, p. 5, confirmed on appeal by judgment of the Court of Cassation of May 30, 2012, cited above, and of January 26, 2012, Beauté Prestige International et al., no. 2012/23945, p. 89). Damage is therefore assessed objectively and globally by taking into account all relevant elements of the case. However, the Authority is not required to quantify it.  </w:t>
        <w:br/>
        <w:t xml:space="preserve">353. To assess the damage caused to the economy, the Authority takes into account, in particular, the extent of the infringement, in light of its geographical coverage and the market share of the company in question, its conjunctural or structural consequences on the market, as well as the relevant economic characteristics of the sector or market concerned (see, for example, judgments of the Paris Court of Appeal of June 30, 2011, cited above, p. 5, and of January 26, 2012, cited above, p. 89; see also, in this sense, judgment of the Court of Cassation of May 30, 2012, cited above). Both proven and potential effects of the practice may be taken into consideration in this regard (see, in this sense, judgment of the Court of Cassation of June 28, 2005, Novartis Pharma, no. 04-13910).  </w:t>
        <w:br/>
        <w:t xml:space="preserve">354. In the present case, the anticompetitive practices were implemented by Orange in distinct markets and are therefore likely to be subject to a differentiated analysis of the damage to the economy. However, grievances no. 2 and 3, both targeting loyalty practices implemented in the non-residential mobile communications services market, will be subject to a joint analysis.  </w:t>
        <w:br/>
        <w:t xml:space="preserve">355. Despite this differentiated analysis, the extent of the practices, and thus the damage they may have caused to the economy, is also evident from the simultaneous implementation of these four abuses of dominant position that affected the entire sector of non-residential fixed or mobile electronic communications services for nearly 10 years. Indeed, the anticompetitive effects of the practices may have mutually reinforced each other. Thus, the choice by a non-residential customer of a fixed telephony operator may be influenced by that customer's relationship with their mobile telephony operator and vice versa. These contagion effects are all the more significant as, as noted by ARCEP in its opinion (reference 25463), fixed-mobile convergence is a fundamental trend in the sector.  </w:t>
        <w:br/>
        <w:t xml:space="preserve">b) Assessment of the damage to the economy related to grievance no. 1  </w:t>
        <w:br/>
        <w:t xml:space="preserve">i) On the extent of the practices in question  </w:t>
        <w:br/>
        <w:t xml:space="preserve">356. Grievance no. 1 targets a practice implemented at the national level. However, the differentiated access to information from the local loop resulting from this practice only concerns the major accounts division and business agencies, which only operate in the high and mid-market segments, excluding the low market. According to ARCEP's opinion, in 2009, out of 4.5 million businesses and 23,500,000 employees and non-employees, businesses with between 0 and 9 employees represent 9,000,000 people, those with between 10 and 49 employees 4,500,000 people, those with between 50 and 500 employees 6,000,000 people, and finally, those with more than 500 employees 5,000,000 people. Thus, businesses with fewer than 50 employees, which, as such, are not followed by the major accounts division or business agencies but by other commercial teams not concerned by the practices, represent 57.5% of employees and non-employees likely, in the first approximation, to have fixed access to electronic communications services intended for professional clientele.  </w:t>
        <w:br/>
        <w:t xml:space="preserve">357. Furthermore, the copper pair of Orange's telephone network is the main local loop network used for providing fixed high-speed electronic communications services. While French operators are sometimes required to deploy their own network elements, access to the local loop remains essential to offer electronic communications services in retail markets. National case law has thus recognized the essential nature of this access to France Télécom's copper local loop (decision no. 05-D-59 of November 7, 2005, regarding practices implemented by France Télécom in the high-speed Internet sector, confirmed by a judgment of July 4, 2006, of the Paris Court of Appeal and by a judgment of October 23, 2007, of the Court of Cassation).  </w:t>
        <w:br/>
        <w:t xml:space="preserve">358. Competitors who are victims of Orange's discriminatory practice and thus have lesser access to information therefore had no substitute options to continue offering their services in the retail market under the same conditions as Orange.  </w:t>
        <w:br/>
        <w:t xml:space="preserve">ii) On the objective economic characteristics of the sector  </w:t>
        <w:br/>
        <w:t xml:space="preserve">359. The damage caused by the practices may have been amplified by the determinants of customer behavior in this retail market. Indeed, electronic communications services correspond to quasi-fixed expenses in the budgets of businesses. In its opinion (references 25480 and 25481), ARCEP recalls that beyond basic uses of web browsing and email exchanges, access to the Internet is used by businesses for marketing, searching for calls for tenders or partners, monitoring, purchasing, recruitment, remote maintenance, sales, logistics, financial relations with partners and banks, dematerialization of relations with administrations, etc. Therefore, the reduction of competition caused by the lesser access of Orange's competitors to the information that it continued to benefit from, by favoring Orange over its competitors, led to a decrease in competitive intensity in the market, which may also have translated into an increase in prices, as the services sold by Orange are essential to customers.  </w:t>
        <w:br/>
        <w:t xml:space="preserve">360. Moreover, the discrimination in access to information implemented by Orange led to a degradation of the performance of competitors, both concerning their commercial outreach and the service ultimately marketed, and thus may have contributed to degrading their brand image. However, businesses are particularly attentive to the quality of the service offered, as any interruption of service can, for example, affect their operations (cf. ARCEP's opinion, reference 25442). Such a degradation of the quality of service of competitors is all the more damaging as the market is not fluid due to businesses' reluctance to change and the complexity of migration processes (cf. ARCEP's opinion p. 35).  </w:t>
        <w:br/>
        <w:t xml:space="preserve">iii) On the conjunctural and structural consequences of the practices  </w:t>
        <w:br/>
        <w:t xml:space="preserve">361. Discriminatory access to information provided Orange with a significant advantage since, compared to their competitors, Orange's teams had quicker access to more complete information, particularly for tracking customer relocations, handling complaints, locating concentration points and copper pairs, desaturation, etc. While it is difficult to quantify the frequency with which this information was useful to Orange or would have been useful to competitors, these situations were numerous enough for the commercial teams of the major accounts division to encounter "difficulties" following the removal of the teams' access to the 42C database and insist on obtaining a remedy made necessary by this removal.  </w:t>
        <w:br/>
        <w:t xml:space="preserve">362. According to SFR, this discriminatory behavior allowed Orange to enjoy a quasi-monopoly situation in fixed communications offered to non-residential customers (reference 44879). This company also notes that in the fixed data markets, its market share by value has been 10% since 2008 while Orange's remains above 75%. For SFR, the stagnation of its market share is abnormal given the growth of unbundling since 2006 and its market share of 21% in the residential market not affected by the practices (reference 44886).  </w:t>
        <w:br/>
        <w:t xml:space="preserve">363. The practice targeted by grievance no. 1 may indeed have had the effect of diminishing competitors' ability to stimulate competition and gain market share and may therefore help explain the market share differential mentioned by SFR. The gap between SFR's market shares in the residential market and the non-residential market is all the more remarkable as Free's entry into the residential market alone automatically led to a reduction in SFR's market share. However, the elements of the case file do not allow for a precise determination of the extent to which SFR's market share in the non-residential market would have been similar to that achieved in the residential market in the absence of the practices. Consumer expectations in the two markets are not identical, and, regardless of the practices, Orange has a particular position in the non-residential market that could partly explain these differences in market share. Furthermore, according to ARCEP (reference 25457), in the non-residential fixed data market, Orange's market share is higher in the segments of small businesses and SMEs while the practices in question only concerned large and medium-sized enterprises.  </w:t>
        <w:br/>
        <w:t xml:space="preserve">364. Finally, the practice did not only affect competitors. It also harmed non-residential customers, either because they faced higher prices from Orange, which, already dominant, saw the competitive pressure exerted by its competitors diminished due to the practice, or because they chose a competitor of Orange and thus benefited from a service provision that was degraded compared to what they would have received in the absence of the practices.  </w:t>
        <w:br/>
        <w:t xml:space="preserve">c) Assessment of the damage to the economy related to grievance no. 4  </w:t>
        <w:br/>
        <w:t xml:space="preserve">i) On the extent of the practices in question  </w:t>
        <w:br/>
        <w:t>365. The damage caused by exclusivity discounts can be particularly significant when, in the absence of the practices, customers would have been willing to share their sites among</w:t>
      </w:r>
    </w:p>
    <w:p>
      <w:r>
        <w:rPr>
          <w:b/>
        </w:rPr>
        <w:t>[Pages 76–78]</w:t>
      </w:r>
    </w:p>
    <w:p>
      <w:r>
        <w:t xml:space="preserve">several operators. Nevertheless, in the case at hand, the operators all noted that companies generally prefer to assign their VPN to a single operator, due to, according to SFR, "the necessity of having a technical unity" (reference 39491).  </w:t>
        <w:br/>
        <w:t xml:space="preserve">366. However, there are also several situations in which a company may wish to share its sites among several competing operators (references 39416, 39417, and 39491), for example, due to its territorial organization or for historical reasons (for instance, following a merger of companies). The harm caused by the practices referred to in complaint no. 4 does not concern all of Orange's clientele but only those who would have been willing to share their VPN among several operators.  </w:t>
        <w:br/>
        <w:t xml:space="preserve">367. Furthermore, Orange's market share in the affected market is around 70% according to several internal documents of the company (Orange considering in its submissions that the figures cited in these internal documents were overstated and that its market share would be 56%). While these market shares are high, it can be noted that in 2008, approximately 20% of companies self-managed the interconnection of their sites (reference 40445), thus marginally mitigating the extent of the practice.  </w:t>
        <w:br/>
        <w:t xml:space="preserve">ii) On the objective economic characteristics of the sector  </w:t>
        <w:br/>
        <w:t xml:space="preserve">368. The developments regarding the economic characteristics of the markets affected by the practice referred to in complaint no. 1 are largely also relevant for the analysis of the harm caused by the practice referred to in complaint no. 4. VPN offers are thus essential for the companies that use them. ARCEP notes, for example (reference 25482) that site interconnection services are becoming a necessity for companies and that the offers generally subscribed are virtual private networks. Furthermore, there are also significant barriers to changing operators in the market affected by complaint no. 4, as in the market affected by complaint no. 1, due in particular to the significant costs of migrating a VPN from one operator to another (references 39147 and 39492). The practices have therefore contributed to rigidifying a market that already exhibited reduced fluidity.  </w:t>
        <w:br/>
        <w:t xml:space="preserve">iii) On the conjunctural and structural consequences of the practices  </w:t>
        <w:br/>
        <w:t xml:space="preserve">369. The extent of the conjunctural and structural consequences depends in particular on the characteristics of the discount system implemented and in particular on their conditions for obtaining and their amounts.  </w:t>
        <w:br/>
        <w:t xml:space="preserve">370. In this case, the exclusivity condition of the discounts referred to in complaint no. 4 (a removal of discounts was triggered as soon as the client company entrusted a single site to a competitor) could completely eliminate competitors from providing certain clients who, potentially, could have shared their sites among several operators. The extent of the effect of these discounts also depends on their amount: the higher they are, the more the client is incentivized to entrust all of its sites to Orange and the less competitors are able to compensate for the loss of exclusivity discounts with price reductions.  </w:t>
        <w:br/>
        <w:t xml:space="preserve">371. In this case, there exists, according to the different versions of the document titled "price reference and method for calculating pre-sale discounts," a catalog price applicable to contracts without a duration commitment and a "3-year price" applicable to contracts with a minimum duration of three years, the price difference between the two offers being most often greater than 10%. From the "3-year price," the client can also accumulate additional discounts based on a criterion related to the number of sites (discount of up to 15%), a criterion related to the duration of the contract exceeding three years (for example, an additional 2% discount for a 3-year contract, 4% on a 5-year contract), and a criterion related to the potential subscription of "strategic" services (1%). Floor prices below which sales forces cannot sell the service are also defined.  </w:t>
        <w:br/>
        <w:t xml:space="preserve">372. Ultimately, a company that entrusts one of its sites to a third-party operator loses the benefit of the "3-year price" and all of the previously described discounts. The breach of the exclusivity condition therefore leads to a significant increase in the prices charged by Orange, so that the incentive for clients to only use Orange was high even for those initially willing to share their sites among several operators.  </w:t>
        <w:br/>
        <w:t xml:space="preserve">d) Assessment of the economic harm related to complaints no. 2 and 3  </w:t>
        <w:br/>
        <w:t xml:space="preserve">i) On the extent of the practices in question  </w:t>
        <w:br/>
        <w:t xml:space="preserve">373. Regardless of the period and market segment considered, Orange's market share in the residential mobile market is between 50% and 60%. However, the extent of the practices may potentially be mitigated in the low-end market segment to the extent that, as noted by the Authority in its decision no. 12-D-24 of December 13, 2012 (paragraph 371), there may be a certain permeability between the mobile communication needs of very small businesses and those of residential customers.  </w:t>
        <w:br/>
        <w:t xml:space="preserve">374. Furthermore, the practices referred to in complaints no. 2 and 3 have been almost generalized within the non-residential clientele. Thus, according to data from Orange (reference 44193), only 11% of Orange's customer lines were free of any duration commitment during the period covered by complaint no. 2. Finally, non-committed lines are also affected by the practices to the extent that a client benefiting from the PCM will be discouraged from competing even if their lines are not committed, for fear of losing the value of the points acquired. Similarly, the mechanism of the park discount may have encouraged clients with some of their lines committed to Orange to entrust the remaining lines or a significant portion of them to Orange.  </w:t>
        <w:br/>
        <w:t xml:space="preserve">375. Therefore, a significant portion of the market has been affected by the practices of Orange referred to in complaints no. 2 and 3.  </w:t>
        <w:br/>
        <w:t xml:space="preserve">ii) On the objective economic characteristics of the sector  </w:t>
        <w:br/>
        <w:t xml:space="preserve">376. The use of loyalty mechanisms must be viewed in light of the lack of fluidity that characterizes the non-residential market. Like the fixed markets analyzed previously, the mobile telephony market for non-residential clientele exhibits reduced fluidity due to this clientele's reluctance to change operators. ARCEP notes (p.6) that beyond the risks of interruption related to migration, the technical complexity, and the clients' risk aversion, certain contractual clauses that are likely to increase exit costs can contribute to freezing the market. Furthermore, the demand from clients in this market is also almost constrained due to the importance of mobile telecommunications services for businesses.  </w:t>
        <w:br/>
        <w:t xml:space="preserve">377. The degree of market maturity and the asymmetry of market shares should be subject to a more detailed analysis.  </w:t>
        <w:br/>
        <w:t xml:space="preserve">On the degree of market maturity  </w:t>
        <w:br/>
        <w:t xml:space="preserve">378. As noted by the Authority in its decision no. 09-D-36 of December 9, 2009 (paragraph 317), "the more mature the market, the more loyalty practices can restrict competition. In a growing market, the 'customers to be taken' are newly present consumers in the market. Therefore, even if most consumers are not part of the 'addressable demand' because they are committed to an operator, a new entrant can, in principle, succeed in penetrating the market. In contrast, in a mature market, most of the potential demand is already present in the market. Thus, if these consumers are already committed to existing players for long commitment periods, the penetration of a new entrant will be made very difficult." In this case, ARCEP's opinion indicates that the non-residential mobile telephony market is experiencing moderate growth during the periods of the referrals (reference 25462).  </w:t>
        <w:br/>
        <w:t xml:space="preserve">379. Conversely, Orange notes, based on ARCEP data, a tripling of the mobile subscriber base in the non-residential market between 2008 and 2014 (references 44135 and 44136). However, as highlighted by SFR during the session, this market growth primarily comes from the growth of the machine-to-machine ("MtoM") subscriber base. ARCEP indicates (p. 16) that the number of "business" SIM cards increased from 6.7 million in 2008 to 14.6 million in 2013, but that traditional subscriptions (voice and voice/data) only grew from 5.2 million to 6.6 million during the same period. In contrast, the number of "MtoM" cards increased from 0.9 million to 6.9 million during the period.  </w:t>
        <w:br/>
        <w:t xml:space="preserve">380. The significant growth in the number of "MtoM" lines, which would constitute addressable demand for competitors, is not able to compensate for the negative effects of the loyalty programs implemented by Orange, nor to challenge the mature nature of the market. Indeed, the "MtoM" market generates only low revenues and is therefore unattractive: according to ARCEP, in 2014, the sale of more than 7 million MtoM SIM cards marketed in France only represented a turnover of 88 million euros, compared to the turnover of all mobile services to businesses of approximately 2.88 billion euros in 2013.  </w:t>
        <w:br/>
        <w:t>381. Regarding the period prior to 2008, ARCEP indicates that the number of "business" SIM cards increased from 5.1 million in 2003 to 7.6 million in 2007, representing an increase of nearly 50%, which is largely independent of the growth in the number of "MtoM" lines. However, these developments are measured in terms of the number of lines, not the number of client businesses. Now, the loyalty system implemented by Orange is likely to lead to the locking in of new lines created by an existing Orange client (for example, because by entrusting the new lines created to Orange, the client benefits from an increase in the "park" discount). Competitors were therefore not necessarily likely to benefit from the increase in the number of lines of existing clients. The mitigation of harm invoked by Orange due to market growth should therefore be put into perspective.</w:t>
      </w:r>
    </w:p>
    <w:p>
      <w:r>
        <w:rPr>
          <w:b/>
        </w:rPr>
        <w:t>[Pages 79–81]</w:t>
      </w:r>
    </w:p>
    <w:p>
      <w:r>
        <w:t xml:space="preserve">On market share asymmetries  </w:t>
        <w:br/>
        <w:t xml:space="preserve">382. In its aforementioned decision No. 09-D-36, the Authority also noted (§ 316) that "regarding the market structure, it should be noted that when it is characterized by strong asymmetries in market shares, particularly by the presence of small operators that have not reached critical size, loyalty practices will be more likely to prevent the development of these operators, even to cause their exit from the market."  </w:t>
        <w:br/>
        <w:t xml:space="preserve">383. In the case at hand, the metropolitan non-residential mobile market does not present the same degree of asymmetry in market shares as the market considered in decision No. 09-D-36, where Orange's market share could reach up to 83%. Orange's market share in the non-residential mobile market in the metropolitan area is indeed between 50% and 60%, while SFR's market share is around 30%. Although this asymmetry remains very significant, the risk of competitor eviction is lower compared to the context considered in decision No. 09-D-36, especially since Orange's competitors in the non-residential mobile market can pool part of their costs due to their activity in the residential mobile market.  </w:t>
        <w:br/>
        <w:t xml:space="preserve">iii) On the conjunctural and structural consequences of practices  </w:t>
        <w:br/>
        <w:t xml:space="preserve">384. Regarding the "privilege" discount, the associated commitment periods were limited to two or three years, with a prevalence of two-year commitments. While the fluidity of the market has thus been limited, most contracts could be subject to re-competition every two years. However, the presence of a tacit renewal clause, the overlap of commitments combined with the park discount, or the implementation of the "change mobile" program may have prolonged the effects of these commitments, particularly for small customers, who are less able to optimize the management of their contracts.  </w:t>
        <w:br/>
        <w:t xml:space="preserve">385. ARCEP, in its opinion, indeed considers that "the effect of [this] 'privilege' clause, whether cumulative or not with other discounts such as the 'change mobile' program [...], appears to significantly reduce the customer's ability to change operators, in proportions exceeding the simple notion of commitment duration, and thereby contributes to degrading market fluidity and the ability of competitors to enjoy fair competition" (reference 25500) (...) "notably by creating artificial barriers to the operator change process. However, in the specific context of non-residential markets, for which migrations remain complex processes perceived as risky, their competitive impact can be significant given customers' attachment to continuity and service quality" (reference 255008).  </w:t>
        <w:br/>
        <w:t xml:space="preserve">386. Regarding the "park" discount, its anti-competitive effects are conditioned by the existence of a non-contestable fraction of a customer's volumes by Orange's competitors, due to the duration commitments also implemented by Orange through the "privilege" discount. Thus, for a customer whose part of the lines remains committed to Orange, particularly due to the tacit renewal included in their contract, entrusting other lines free of commitment to a competitor leads to a reduction in the discounts granted on the lines still committed to Orange.  </w:t>
        <w:br/>
        <w:t xml:space="preserve">387. The effects of the "park" discount are also differentiated depending on whether it applies to catalog offers, intended for small customers, or non-catalog offers, intended for larger customers.  </w:t>
        <w:br/>
        <w:t xml:space="preserve">388. The gradual nature of the "park" discounts on catalog offers is indeed less than for non-catalog offers. Moreover, for these catalog offers, the discount thresholds are not individualized. The effect of these discounts is thus mitigated, and in its economic study, Orange shows that the pricing disadvantage suffered by Orange's competitors has likely been of low magnitude. In fact, the number of lines entrusted by each customer to Orange does not present a particular "peak" at the level of the discount grid thresholds, as one might have expected if customers only entrusted competitors with a number of lines allowing them not to exceed a threshold in this grid in order to continue benefiting from maximum discounts.  </w:t>
        <w:br/>
        <w:t xml:space="preserve">389. Conversely, regarding high-end customers benefiting from non-catalog offers, retroactive discounts are individualized and present a strong progression. A customer entrusting a limited fraction of their lines to a competitor can therefore be penalized by a significant decrease in the discounts granted by Orange on the lines that, due to duration commitments, remain entrusted to them. In some cases, however, co-terminus options subscribed by these high-end customers may have allowed them to terminate all their lines without penalty payment. While it is difficult to quantify the proportion of these customers benefiting from such co-terminus options over the entire period covered by grievance No. 3, it would not be negligible, at least at the end of said period (cf. ARCEP's opinion, reference 25499).  </w:t>
        <w:br/>
        <w:t xml:space="preserve">390. Finally, it should be noted that the "park" discount does not apply to all components of the price paid by customers (international communications, for example), which also tends to mitigate its competitive impact compared to a discount that would have applied to all services paid by customers.  </w:t>
        <w:br/>
        <w:t xml:space="preserve">391. Finally, regarding the "change mobile" program (PCM), its intensity has varied over time. In particular, the valuation of points increased with the implementation of the new mobile number portability procedure (PNMV2) in May 2007. However, several internal documents from Orange attest that Orange considered PNMV2 to be likely to increase customer mobility. Orange thus notes that PNMV2 is "a reality already established in large companies" and that PNMV2 presents "a strong threat to VSEs/SMEs," particularly insofar as "the two main barriers for VSEs/SMEs will be lifted by PNMV2: the heaviness of the process and the delay" (reference 17640). In another internal document, Orange also estimates that "the enterprise market faces numerous competitive and regulatory pressures," such as "the launch of PNMV2," and that this situation calls for "targeted marketing actions (pricing, loyalty...)" (reference 17812). Moreover, Orange also relied on "the lessons from PNM in Europe on the Enterprise market" presented in an internal document (reference 40084) according to which there is "an accelerating effect on churn at the launch of PNM," even if there is "an erosion over time." Thus, the launch of PNMV2 could indeed have strengthened competition among operators. However, in the end, Orange noted that "since May 2007, PNM V2 has been implemented and shows a currently positive balance for Orange" (reference 42102) as well as "a global context of controlled churn rates and dynamic sales." The practices have thus effectively limited the impact of the entry into force of the new mobile number portability.  </w:t>
        <w:br/>
        <w:t xml:space="preserve">392. For its part, Orange considers that the commitment durations associated with PCM could not have had a significant effect on the market (reference 44195). It points out in this regard that few terminations would have occurred in the month following the end of the commitment period, that the possibility of using PCM without re-commitment, starting in February 2010, would not have led to an increase in its use by customers, and finally, that the termination rates of lines would also have remained stable after this date.  </w:t>
        <w:br/>
        <w:t xml:space="preserve">393. However, PCM is not the only loyalty program implemented by Orange, making it difficult to assess the respective effects of these different practices. In this context, as recalled by the Paris Court of Appeal in its judgment of July 4, 2013, "it is difficult to measure the precise effects of the loyalty offer, isolating them from the effects produced by other anti-competitive practices implemented by Orange." Moreover, an internal document from Orange notes that the churn rate on free lines is four times higher than that observed on committed lines (reference 40088), so that the PCM program, by encouraging the re-commitment of its customers and thus limiting their mobility, has indeed led to a decrease in market fluidity.  </w:t>
        <w:br/>
        <w:t xml:space="preserve">394. The limitation of market fluidity caused by the combination of these different mechanisms has had a direct negative impact on committed customers by preventing them from benefiting, during the duration of their commitment, from lower prices from competitors or offers better suited to their needs. This is particularly the case for the many customers who found themselves locked in by the tacit renewal mechanism of the privilege discount (see references 225 and 227, 43573 and 43574). It has also been likely to weaken competitors who have been forced to reimburse the termination fees of certain customers in order to compete with Orange.  </w:t>
        <w:br/>
        <w:t xml:space="preserve">395. SFR considers that the practices had a direct impact on its market share during the period of the practices: according to its internal estimates, it would have quickly increased from 2001 to 2003 (from 28% to 34%) before stagnating and then decreasing sharply from 2008 (from 36% to 32% in 2014 - reference 44883).  </w:t>
        <w:br/>
        <w:t xml:space="preserve">396. However, while this evolution of SFR's market share can partly be explained by the practices implemented by Orange, it only provides a very imperfect estimate of their impact. In particular, the data provided by ARCEP in its opinion (reference 25454) show that part of the decline in SFR's market share, at least between 2008 and 2011, can also be explained by the rise of Bouygues Telecom (whose market share increased from about 15% to about 20% both in volume and value between 2008 and 2011), whose growth may have been slowed by the practices.  </w:t>
        <w:br/>
        <w:t xml:space="preserve">397. SFR also considers that the fact that Orange's market share in value is higher than its market share in volume (the reverse being true for SFR) would indicate the effect of the practices in the sense that to maintain its market share, SFR would have been forced to make significant financial efforts. However, other factors may also impact the difference between market shares in value and those in volume, such as, for example, a strategy of increasing value implemented by Orange.  </w:t>
        <w:br/>
        <w:t>398. Finally, as SFR points out, the practices not only slowed the penetration of existing operators like itself or Bouygues Telecom but also certainly discouraged other entrants present in the residential market. However, entry into this market was also made difficult by other factors. Indeed, the main potential entrant in the non-residential mobile market would have been Free. However, it appears that the assets that Free had in the consumer market (notably brand image, ADSL customer base, control of distribution channels) were not immediately transferable to the non-residential mobile market given the specifics of the enterprise market. In this context, the practices implemented by Orange thus added to other barriers to entry without it being possible to consider that in the absence of these practices, Free or other competitors would have effectively entered this market.</w:t>
      </w:r>
    </w:p>
    <w:p>
      <w:r>
        <w:rPr>
          <w:b/>
        </w:rPr>
        <w:t>[Pages 82–84]</w:t>
      </w:r>
    </w:p>
    <w:p>
      <w:r>
        <w:t xml:space="preserve">3. ON REITERATION  </w:t>
        <w:br/>
        <w:t xml:space="preserve">399. In the present case, several previous findings of infringement can be validly taken into account to characterize the reiteration. To stick to the most recent:  </w:t>
        <w:br/>
        <w:t xml:space="preserve">- by decision No. 97-D-53 of July 1, 1997, the Competition Council also sanctioned France Télécom and one of its subsidiaries for exclusionary practices implemented in the data transmission market;  </w:t>
        <w:br/>
        <w:t xml:space="preserve">- in its judgment of June 29, 1999, the Paris Court of Appeal ruled that France Télécom had abused its dominant position in the telephone subscriber list market by implementing price differentiation practices in the prospecting file market;  </w:t>
        <w:br/>
        <w:t xml:space="preserve">- by decision No. 01-D-46 of July 13, 2001, the Council sanctioned France Télécom for implementing a price squeeze practice in the fixed-to-mobile call market for "major accounts" customers;  </w:t>
        <w:br/>
        <w:t xml:space="preserve">- by decision No. 05-D-59 dated November 7, 2005, France Télécom was also sanctioned for implementing a restrictive practice regarding third-party operators' access to the local loop and its extensions in the broadband internet sector;  </w:t>
        <w:br/>
        <w:t xml:space="preserve">- France Télécom was again sanctioned for abusing its dominant position in the local loop market, by decision No. 07-D-33 dated October 15, 2007;  </w:t>
        <w:br/>
        <w:t xml:space="preserve">- Finally, the Authority sanctioned Orange Caraïbe and France Télécom, in its decision No. 09-D-36 of December 9, 2009, for implementing various exclusionary practices in the mobile communications services markets in the departments of Martinique, Guadeloupe, and Guyana;  </w:t>
        <w:br/>
        <w:t xml:space="preserve">400. These various infringements have all become final as of the date of this decision. They occurred before the cessation of the practices in question and are, for those preceding the infringement periods, less than 15 years prior to the commencement of the practices. They have the same object and effect as those sanctioned in the present case since they all consist of exclusionary practices implemented by the dominant operator in the telecommunications sector aimed at raising barriers to entry in the markets and preventing the development of competition by means not based on competition on merits.  </w:t>
        <w:br/>
        <w:t xml:space="preserve">401. Furthermore, among these various decisions, some infringements concern the same type of practices as those at issue in the present case, namely practices of discrimination against third-party operators in accessing the essential infrastructure that constitutes the copper local loop (decision No. 05-D-59 of November 7, 2005, cited above) or practices of abusive loyalty discounts (decision No. 97-D-53 of July 1, 1997, cited above, concerning a retroactive discount likely to hinder competition in the market and decision No. 09-D-36 of December 9, 2009, sanctioning the "change of mobile" program implemented in the Antilles-Guyane area in the residential market).  </w:t>
        <w:br/>
        <w:t xml:space="preserve">402. In the present case, the abusive practices in question have persisted for many years since 2002-2003 despite multiple findings of infringement of competition law occurring shortly before and throughout the period of implementation of these practices. This situation demonstrates Orange's propensity to disregard competition rules despite successive reminders from the Council and then the Authority.  </w:t>
        <w:br/>
        <w:t xml:space="preserve">403. It is true that following decision No. 09-D-36 of December 9, 2009, which sanctioned the "change of mobile" program implemented in the residential market, Orange ended this same program in 2010 in the market for mobile services aimed at non-residential customers. However, despite this finding of infringement, Orange continued, after 2009, to implement other discounts (notably the "privilege" discount) having similar effects of abusive loyalty towards non-residential customers.  </w:t>
        <w:br/>
        <w:t xml:space="preserve">404. The situation of reiteration is therefore characterized.  </w:t>
        <w:br/>
        <w:t xml:space="preserve">4. CONCLUSION ON THE AMOUNT OF THE SANCTION  </w:t>
        <w:br/>
        <w:t xml:space="preserve">405. To take into account the non-contestation of the grievances, which allows for procedural gains for the Authority in terms of drafting and defending the decision and which constitutes a guarantee of a rapid restoration of a healthy competitive situation in the market, the general rapporteur proposed that the financial penalty that may be incurred by Orange does not exceed three hundred fifty million euros.  </w:t>
        <w:br/>
        <w:t xml:space="preserve">406. This maximum amount proposed by the general rapporteur does not exceed the legal ceiling of the sanction. It allows, in the circumstances of the case, in addition to the injunctions that will be imposed to rectify and prevent the ongoing practices, the imposition of a sanction that is both deterrent and proportionate, taking into account the legal criteria for individualizing the sanction and drawing the consequences of the non-contestation procedure implemented. It is therefore necessary to impose a financial penalty on Orange in the amount of three hundred fifty million euros.  </w:t>
        <w:br/>
        <w:t xml:space="preserve">D. ON THE INJUNCTIONS  </w:t>
        <w:br/>
        <w:t xml:space="preserve">407. Article L. 464-2 of the Commercial Code empowers the Authority not only to order companies or organizations that have implemented an anti-competitive practice to cease such practices within a specified period but also to impose specific conditions on them. These injunctions aim to ensure that the sanctioned company will modify its behavior for the future to cease the harm caused to competition. They must be proportionate to the objective pursued.  </w:t>
        <w:br/>
        <w:t xml:space="preserve">408. In the present case, while the practice targeted by grievance No. 2 has ceased since February 2010, grievances No. 1, 3, and 4 concern practices that are still ongoing. It is therefore necessary to order Orange to take the necessary measures to cease these infringements and to allow for the effective restoration of the competitive situation in the markets affected by the practices.  </w:t>
        <w:br/>
        <w:t xml:space="preserve">409. To this end, regarding the practice targeted by grievance No. 1, Orange is ordered to establish a system ensuring the provision to operators of information from the copper local loop sourced from the same sources, within the same timeframes, under the same conditions, and at an identical level of reliability and performance as those enjoyed by its own commercial services. This system must guarantee that Orange's commercial teams cannot access information and ordering conditions related to the copper local loop under more favorable conditions. To this end, Orange will communicate to the Competition Authority within two months a description of the implementation steps of this system, which must be operational and effective within a period not exceeding eighteen months. Orange will communicate to ARCEP the operational and technical modalities of this new system and will transmit, as soon as this decision is published, a detailed description of the processes for accessing information related to the local loop as well as access to the "operator web" tools and platforms through which operators can consult eligibility information and place orders for the relevant products. Orange will allow ARCEP and its services to obtain any information regarding the conditions of access to information related to access to the local loop by Orange's commercial services upon request. From the notification of this decision, Orange will implement any transitional measures to improve the conditions under which operators access information, bringing them as close as possible to those of its commercial teams.  </w:t>
        <w:br/>
        <w:t xml:space="preserve">410. Orange will inform operators of both the transitional developments and the operational and technical modalities of the new system, particularly within the framework of multilateral exchanges conducted under the auspices of ARCEP.  </w:t>
        <w:br/>
        <w:t xml:space="preserve">411. At the end of a period of 24 months from this decision, Orange will present to the services of the Competition Authority a report detailing the establishment of the new system.  </w:t>
        <w:br/>
        <w:t xml:space="preserve">412. Regarding the practice targeted by grievance No. 3, Orange is ordered to take all necessary measures to cease the concerned practice and to refrain in the future from implementing practices having an equivalent object or effect. Without prejudice to the implementation of other necessary measures to cease the infringement, Orange must, within three months from the notification of this decision:  </w:t>
        <w:br/>
        <w:t xml:space="preserve">- modify the calculation methods for termination fees related to the subscription of the "privilege" discount so that beyond the initial commitment period of 24 or 36 months, these fees do not exceed the reimbursement of objective counterparts, for example, the subsidy for terminal renewal, and propose the modification of ongoing contracts for this purpose;  </w:t>
        <w:br/>
        <w:t xml:space="preserve">- ensure, at all times, clear information for its customers regarding the end dates of their line commitments;  </w:t>
        <w:br/>
        <w:t xml:space="preserve">- allow customers to easily know the amount of termination fees for all their lines.  </w:t>
        <w:br/>
        <w:t xml:space="preserve">413. Regarding grievance No. 4, Orange is ordered to cease the exclusive discount practice in question and to refrain from implementing any practice having an equivalent object or effect.  </w:t>
        <w:br/>
        <w:t xml:space="preserve">E. ON THE OBLIGATION TO PUBLISH  </w:t>
        <w:br/>
        <w:t xml:space="preserve">414. Under Article L. 464-2 of the Commercial Code, "the Competition Authority may order the publication, dissemination, or display of its decision or an excerpt thereof according to the modalities it specifies [...]. The costs are borne by the interested party."  </w:t>
        <w:br/>
        <w:t>415. In this case, in order to inform non-residential customers of this decision and to encourage them to be vigilant regarding the practices sanctioned for abuse of dominant position, it is necessary to order Orange to publish, at its own expense, in paper editions</w:t>
      </w:r>
    </w:p>
    <w:p>
      <w:r>
        <w:rPr>
          <w:b/>
        </w:rPr>
        <w:t>[Pages 85–87]</w:t>
      </w:r>
    </w:p>
    <w:p>
      <w:r>
        <w:t>415. In this case, in order to inform non-residential customers of this decision and to encourage them to be vigilant regarding the practices sanctioned for abuse of a dominant position, it is necessary to order Orange to publish, at its own expense, in the print editions of the newspapers "Le Figaro" and "Challenges," the summary of this decision as set out in the following paragraph.</w:t>
      </w:r>
    </w:p>
    <w:p>
      <w:r>
        <w:t>416. "Seized by Bouygues Telecom, which subsequently withdrew, and then by SFR, the Competition Authority has just issued a decision in which it sanctions Orange in the amount of 350 million euros for implementing, in several electronic communications markets, particularly aimed at businesses, four series of anti-competitive practices, some of which are still ongoing. The decision also imposes a series of injunctions on Orange aimed at immediately restoring the effective functioning of competition.</w:t>
      </w:r>
    </w:p>
    <w:p>
      <w:r>
        <w:t xml:space="preserve">Discrimination in access to information related to the management of the copper local loop  </w:t>
        <w:br/>
        <w:t xml:space="preserve">Orange owns a copper access network deployed during the time of the historical monopoly. This copper local loop, which corresponds to the last link of the telecommunications network going from the distribution point to the subscriber's home, is used by operators in the sector to provide the majority of broadband and very high-speed access. Lacking an infrastructure equivalent to that of Orange, which covers 98% of the French population, competing operators wishing to market this type of service in the retail markets are forced to rely on this historical local loop and to subscribe to the wholesale access offers proposed by Orange.  </w:t>
        <w:br/>
        <w:t xml:space="preserve">As the technical manager of the network, Orange has, notably through the "42C" database, all the information related to the copper local loop. It has been established that, for several years, Orange's commercial services, responsible for the mid and high-end business clientele, have access, for the needs of their activity, to a more comprehensive scope of information and according to faster processes than third-party operators, thus facilitating, in terms of timelines and service quality, the marketing of their offers to business customers.  </w:t>
        <w:br/>
        <w:t>This ongoing discrimination in access to essential technical information for marketing fixed services in the retail market has been likely to disadvantage third-party operators in acquiring and managing customers and to raise barriers to entry in the retail market.</w:t>
      </w:r>
    </w:p>
    <w:p>
      <w:r>
        <w:t xml:space="preserve">Abusive customer loyalty through the implementation of the "change mobile" program in the business market  </w:t>
        <w:br/>
        <w:t xml:space="preserve">At least since 2002, Orange has implemented the "change mobile" program aimed at business customers. This program allowed the customer to automatically accumulate points each month, based on the seniority of the line, the amount of the annual bill, and the number of lines in the portfolio. Until 2010, the customer could only use their loyalty points on the condition of renewing their line with Orange for 12 or 24 months.  </w:t>
        <w:br/>
        <w:t>This practice has been likely to crystallize market shares in favor of Orange, the dominant operator, by discouraging consumers from choosing a third-party operator, at the risk of losing their loyalty points. The customer could therefore only leverage competition at the moment when it was possible for them, that is, at the end of their commitment period.</w:t>
      </w:r>
    </w:p>
    <w:p>
      <w:r>
        <w:t xml:space="preserve">Abusive customer loyalty through the establishment of a discount system in the mobile business market  </w:t>
        <w:br/>
        <w:t xml:space="preserve">At least since 2003, Orange has implemented a set of loyalty discounts in the mobile business market. The "privilege" discount, central to the loyalty system established by Orange, allows for extending customer commitment periods from 12 to 24 or 36 months and automatically renews the commitment by tacit renewal every 12 months. It also provides for the payment of early termination penalties that are often deterrent and generates an effect of proliferation of commitments, all of which end on different dates, thus hindering any desire to change operators.  </w:t>
        <w:br/>
        <w:t xml:space="preserve">This duration-based discount is accompanied by a set of additional and complementary volume-related discounts, which have the effect of encouraging the customer to entrust all lines in their portfolio to Orange. This is particularly the case with the "portfolio" discount, which is a "catalog" discount linked to the volume of lines subscribed by the customer, with a progressive rate, particularly beyond 100 lines, and applies globally rather than by tranche of lines. As a result of these discounts, the departure of some lines to another operator is likely to increase the costs of all remaining lines entrusted to Orange.  </w:t>
        <w:br/>
        <w:t>By artificially increasing the costs of changing operators, by locking the customer in for a duration, and by constraining them through volume commitments, this ongoing practice has been likely to lock the market and protect Orange's dominant position in the market for mobile communication services aimed at professionals and businesses.</w:t>
      </w:r>
    </w:p>
    <w:p>
      <w:r>
        <w:t xml:space="preserve">Abusive customer loyalty through the implementation of an exclusivity discount on virtual private network offers aimed at businesses  </w:t>
        <w:br/>
        <w:t xml:space="preserve">The virtual private network (VPN) services offered by operators meet the needs for privatized and secure interconnection of businesses located across multiple geographical sites.  </w:t>
        <w:br/>
        <w:t xml:space="preserve">Orange has established a set of discounts on its VPN offers, particularly "Equant IP VPN" and "Business VPN," while instructing its sales forces to only grant these benefits to customers on the condition that they do not entrust any connection of their sites to third-party operators, thus reserving exclusivity over the company's portfolio.  </w:t>
        <w:br/>
        <w:t>This exclusivity discount mechanism practiced at least since 2006, and until July 2015, by Orange, the dominant operator in the market, has had the effect of restricting competition both in terms of its ability to bind customers and its ability to eliminate competitors.</w:t>
      </w:r>
    </w:p>
    <w:p>
      <w:r>
        <w:t xml:space="preserve">A dissuasive and proportionate monetary sanction accompanied by injunctions aimed at improving the competitive functioning of business markets  </w:t>
        <w:br/>
        <w:t xml:space="preserve">The Authority considered that these exclusionary practices constituted abuses of a dominant position, prohibited by European law and national competition law. Coming from a historical operator that still manages the essential infrastructure that is the local loop, these behaviors are all the more serious as they have been implemented over a very long period, up to today for the most significant ones, and across almost all telecommunications markets offered to businesses. Orange has also been condemned several times in the past for similar practices.  </w:t>
        <w:br/>
        <w:t xml:space="preserve">The various practices observed have caused significant harm to the economy, hindering the ability of third-party operators to compete with Orange, and therefore to offer businesses, for whom telecommunications services are increasingly essential, alternative offers that may be more competitive in price, quality, or innovation.  </w:t>
        <w:br/>
        <w:t>For all the practices corresponding to the grievances notified, which Orange has not contested, the Authority imposed a total sanction of three hundred and fifty million euros.</w:t>
      </w:r>
    </w:p>
    <w:p>
      <w:r>
        <w:t xml:space="preserve">The Authority decided to accompany this sanction, the amount of which is both proportionate and dissuasive, with several injunctions aimed at allowing the effective and immediate restoration of the competitive situation in the markets affected by the practices. The Authority therefore ordered Orange to:  </w:t>
        <w:br/>
        <w:t xml:space="preserve">• Implement within 18 months a system guaranteeing the provision to operators of information from the copper local loop derived from the same sources, within the same timelines, under the same conditions, and at an identical level of reliability and performance as those enjoyed by its own commercial services. Until then, Orange will implement any transitional measures to improve the conditions under which operators access information, bringing them as close as possible to those of its commercial teams.  </w:t>
        <w:br/>
        <w:t xml:space="preserve">• Take all necessary measures to cease the loyalty discount practices in the mobile business market and to refrain in the future from implementing practices with equivalent objects or effects. Orange must notably within three months: - modify the calculation methods for termination fees related to the subscription of the "privilege" discount so that beyond the initial commitment period of 24 or 36 months, these fees do not exceed the reimbursement of objective counterparts, for example, the subsidy for the renewal of the terminal, and offer its customers the modification of ongoing contracts for this purpose; - ensure, at all times, clear information for its customers regarding the end dates of their line commitments; - allow customers to easily know the amount of termination fees for all their lines.  </w:t>
        <w:br/>
        <w:t xml:space="preserve">• Cease the practice of exclusivity discounts on its virtual private network offers and refrain from implementing any equivalent practices.  </w:t>
        <w:br/>
        <w:t>Orange has chosen to cooperate with the Competition Authority: it does not contest the practices nor their anti-competitive nature, nor the outcome of the case, whether it concerns the monetary sanction or the injunctions aimed at immediately restoring a competitive functioning of the market.</w:t>
      </w:r>
    </w:p>
    <w:p>
      <w:r>
        <w:rPr>
          <w:b/>
        </w:rPr>
        <w:t>[Pages 88–88]</w:t>
      </w:r>
    </w:p>
    <w:p>
      <w:r>
        <w:t xml:space="preserve">DECISION  </w:t>
        <w:br/>
        <w:t xml:space="preserve">Article 1: It is established that Orange has violated the provisions of Article L. 420-2 of the Commercial Code as well as those of Article 102 of the Treaty on the Functioning of the European Union by implementing the practices referred to in the four grievances set out in paragraph 260.  </w:t>
        <w:br/>
        <w:t xml:space="preserve">Article 2: The Competition Authority considers, based on the information available to it, that the conditions for a prohibition under Articles 102 of the Treaty on the Functioning of the European Union and Article L. 420-2 of the Commercial Code are not met with regard to the other practices denounced by the complaints. Therefore, there is no need to continue the procedure concerning these practices.  </w:t>
        <w:br/>
        <w:t xml:space="preserve">Article 3: For the practices referred to in Article 1, a monetary penalty of 350,000,000 euros is imposed on Orange.  </w:t>
        <w:br/>
        <w:t xml:space="preserve">Article 4: Orange is ordered to fully comply with the injunctions provided for in paragraphs 409 to 413 of this decision.  </w:t>
        <w:br/>
        <w:t xml:space="preserve">Article 5: Orange shall publish at its own expense the text appearing in paragraph 416 of this decision in the newspapers "Le Figaro" and "Challenges" while respecting the formatting. This publication shall appear in a box with black characters on a white background at least three millimeters high under the following title, in bold characters of the same size: "Decision of the Competition Authority No. 15-D-20 of December 17, 2015, regarding practices implemented in the electronic communications sector." This title will be followed by the link to the full text of the decision on the website of the Competition Authority. Orange will send, by registered mail, a copy of this publication to the procedure office, as soon as it is published and no later than February 17, 2016.  </w:t>
        <w:br/>
        <w:t xml:space="preserve">Deliberated on the oral report of Messrs. Franck Bertrand and Henry-Pierre Mélone, rapporteurs, and the intervention of Mr. Nicolas Deffieux, deputy general rapporteur, by Ms. Elisabeth Flüry-Hérard, vice-president, chair of the session, Ms. Sandra Lagumina, and Ms. Pierrette Pinot, members.  </w:t>
        <w:br/>
        <w:t xml:space="preserve">The session secretary, The vice-president,  </w:t>
        <w:br/>
        <w:t xml:space="preserve">Claire Villeval Elisabeth Flüry-Hérard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