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https://www.autoritedelaconcurrence.fr/fr/decision/relative-des-pratiques-mises-en-oeuvre-dans-le-secteur-des-coupons-de-reduction</w:t>
      </w:r>
    </w:p>
    <w:p>
      <w:r>
        <w:t>Pages translated : 25</w:t>
      </w:r>
    </w:p>
    <w:p/>
    <w:p>
      <w:r>
        <w:rPr>
          <w:b/>
        </w:rPr>
        <w:t>[Pages 1–3]</w:t>
      </w:r>
    </w:p>
    <w:p>
      <w:r>
        <w:t xml:space="preserve">FRENCH REPUBLIC  </w:t>
        <w:br/>
        <w:t xml:space="preserve">Decision No. 10-D-20 of June 25, 2010  </w:t>
        <w:br/>
        <w:t xml:space="preserve">regarding practices implemented in  </w:t>
        <w:br/>
        <w:t>the discount coupon sector</w:t>
      </w:r>
    </w:p>
    <w:p>
      <w:r>
        <w:t xml:space="preserve">The Competition Authority (section V),  </w:t>
        <w:br/>
        <w:t xml:space="preserve">Having regard to the letter registered on May 18, 2009, under numbers 09/0068 F and 09/0069 M and the letter registered on May 27, 2009, under numbers 09/0072 F and 09/0073 M, by which the Institute of Links and Studies of Consumer Industries (hereinafter, "ILEC") on the one hand, and the company My Shopping List (hereinafter, "MLDC") on the other hand, referred to the Competition Authority practices implemented by certain companies of the HighCo and Sogec groups, in the discount coupon sector and also requested the issuance of interim measures;  </w:t>
        <w:br/>
        <w:t xml:space="preserve">Having regard to the decision of July 30, 2009, by which the general rapporteur joined the investigation of these two cases;  </w:t>
        <w:br/>
        <w:t xml:space="preserve">Having regard to the letter of December 4, 2009, by which the deputy general rapporteur informed the Technical Association of Trade and Distribution Perifem that, considering the elements of the file, it was appropriate to summon it as a party to the proceedings;  </w:t>
        <w:br/>
        <w:t xml:space="preserve">Having regard to Articles 101 and 102 of the Treaty on the Functioning of the European Union;  </w:t>
        <w:br/>
        <w:t xml:space="preserve">Having regard to Book IV of the Commercial Code;  </w:t>
        <w:br/>
        <w:t xml:space="preserve">Having regard to the business secrecy decisions No. 09-DSA-252 of October 20, 2009; No. 09-DSA-255 of October 23, 2009; No. 09-DSA-256 of October 23, 2009; No. 09-DSA-257 of October 23, 2009; No. 09-DSA-258 of October 23, 2009; No. 09-DSA-259 of October 23, 2009; No. 09-DSA-268 of November 2, 2009; No. 09-DSA-271 of November 4, 2009; No. 09-DSA-271 of November 4, 2009; No. 09-DSA-285 of November 16, 2009; No. 09-DSA-289 of November 24, 2009; No. 09-DSA-290 of November 24, 2009; No. 09-DSA-314 of December 10, 2009; No. 09-DSA-315 of December 10, 2009; No. 10-DSA-12 of March 2, 2010; No. 10-DSA-52 of March 2, 2010; No. 10-DSA-81 of May 17, 2010; No. 10-DSA-82 of May 17, 2010;  </w:t>
        <w:br/>
        <w:t xml:space="preserve">Having regard to the commitments proposed by the companies HighCo Data, HighCo 3.0, Sogec gestion, Sogec marketing, Sogec informatique and the association Perifem on March 24, 2010, May 14, 2010, and in session on May 25, 2010;  </w:t>
        <w:br/>
        <w:t>Having regard to the observations presented by the companies Fromageries Bel, Catalina Marketing France, Couponstar Ltd., Hénaff, HighCo Data, HighCo 3.0, MLDC, Nestlé France SAS, Segafredo Zanetti, Sogec gestion, Sogec marketing, Sogec informatique, Tilbury, as well as by ILEC and the Stalaven group;</w:t>
      </w:r>
    </w:p>
    <w:p>
      <w:r>
        <w:t xml:space="preserve">The rapporteur, the deputy general rapporteur, the Government Commissioner, and the representatives of the companies HighCo Data, HighCo 3.0, MLDC, Sogec, as well as those of ILEC and Perifem, heard during the sessions of the Competition Authority on March 9 and May 25, 2010;  </w:t>
        <w:br/>
        <w:t>Adopts the following decision:</w:t>
      </w:r>
    </w:p>
    <w:p>
      <w:r>
        <w:t xml:space="preserve">I. Findings  </w:t>
        <w:br/>
        <w:t xml:space="preserve">A. THE SECTOR AND THE PRODUCTS CONCERNED  </w:t>
        <w:br/>
        <w:t xml:space="preserve">1. The granting of discount coupons (or couponing), which is part of the many sales promotion techniques, encourages the consumer to purchase a product by offering a direct financial advantage on the purchase of a specific product for a defined period and provides companies that use them (referred to as advertisers) with information about consumer preferences and behaviors.  </w:t>
        <w:br/>
        <w:t xml:space="preserve">2. Discount coupons, regardless of their format, have certain common characteristics, such as the mention of the product and its brand, the validity dates of the promotional operation, a face value, and a barcode provided by a processing center chosen by the advertiser for the management of its promotional operation.  </w:t>
        <w:br/>
        <w:t xml:space="preserve">3. There are two main types of discount coupon media: (1) offline coupons, pre-printed on paper or packaging, (2) online coupons (or e-coupons), issued via the Internet and printable by consumers after receiving an email as part of a solicitation campaign or directly from the brand's website or that of the distributor or from specialized multi-brand platforms (or multi-advertiser portals).  </w:t>
        <w:br/>
        <w:t xml:space="preserve">4. The development of e-coupons reflects the dematerialization process initiated in the sector, also represented by Mcouponing (or the distribution of discount coupons via SMS on mobile phones).  </w:t>
        <w:br/>
        <w:t xml:space="preserve">5. Unlike paper coupons, e-coupons initially did not have any specific security measures allowing distributors to protect themselves against fraud on this medium. They reportedly caused in 2008, "200 times more clashes at checkout than a traditional offline coupon," according to a presentation made on February 11, 2009, by the Technical Association of Trade and Distribution (hereinafter referred to as Perifem) and the processing centers (references 1048 to 1067). In light of the risk of increased fraud and the associated disadvantages for distributors, namely the slowdown of checkout flows and the deterioration of customer relations, they requested that the process be secured to ensure the reimbursement of amounts advanced upon presentation of easily verifiable e-coupons at checkout.  </w:t>
        <w:br/>
        <w:t>6. To this end, Perifem, which represents the major retail chains in France, contacted in 2008 the two existing processing centers in France, managed by the Highco and Sogec groups, which include the companies HighCo Data, HighCo 3.0, Sogec gestion, Sogec marketing, and Sogec informatique (hereinafter, respectively and unless otherwise specified "HighCo" and "Sogec"). According to Perifem, they appeared to be the best positioned to meet this need, as they are the ones who reimburse the amounts advanced by distributors, in accordance with the mandate entrusted to them by advertisers at the launch of each promotional campaign for discount coupons.</w:t>
      </w:r>
    </w:p>
    <w:p>
      <w:r>
        <w:rPr>
          <w:b/>
        </w:rPr>
        <w:t>[Pages 4–6]</w:t>
      </w:r>
    </w:p>
    <w:p>
      <w:r>
        <w:t>7. Meetings of a working group organized under the aegis of Perifem and composed of distributors as well as representatives from Sogec, HighCo, and Perifem, resulted in the development of a standardized secure e-coupon, called the Webcoupon. The specifications for this standard include "proprietary" elements owned by HighCo, namely the Webcoupon brand and a visual representing a hand (hereinafter, the "hand visual").</w:t>
      </w:r>
    </w:p>
    <w:p>
      <w:r>
        <w:t xml:space="preserve">8. The process of creating and using e-coupons in France after the creation of the Webcoupon is outlined in the following diagram.  </w:t>
        <w:br/>
        <w:t xml:space="preserve">STEPS ... ACTIVITY ... OPERATORS ... CLIENTS ...  </w:t>
        <w:br/>
        <w:t xml:space="preserve">The advertiser wishing to proceed  </w:t>
        <w:br/>
        <w:t xml:space="preserve">Assignment of a code to an e-couponing operation is •HighCo  </w:t>
        <w:br/>
        <w:t xml:space="preserve">for an operation is assigned an operation code •Sogec •Advertisers  </w:t>
        <w:br/>
        <w:t xml:space="preserve">by one of the two promotional management centers that will appear on all coupons.  </w:t>
        <w:br/>
        <w:t xml:space="preserve">•HighCo 3.0  </w:t>
        <w:br/>
        <w:t xml:space="preserve">•Sogec Marketing  </w:t>
        <w:br/>
        <w:t xml:space="preserve">WEBCOUPONS  </w:t>
        <w:br/>
        <w:t xml:space="preserve">(for the account of multi-brand platforms)  </w:t>
        <w:br/>
        <w:t xml:space="preserve">•Advertisers  </w:t>
        <w:br/>
        <w:t xml:space="preserve">the advertiser or the service provider of their choice.  </w:t>
        <w:br/>
        <w:t xml:space="preserve">•Multi-brand platforms  </w:t>
        <w:br/>
        <w:t>•Multi-brand platforms</w:t>
      </w:r>
    </w:p>
    <w:p>
      <w:r>
        <w:t xml:space="preserve">OTHER  </w:t>
        <w:br/>
        <w:t xml:space="preserve">•Advertisers  </w:t>
        <w:br/>
        <w:t xml:space="preserve">E-COUPONS  </w:t>
        <w:br/>
        <w:t xml:space="preserve">•Distributors  </w:t>
        <w:br/>
        <w:t xml:space="preserve">•Distributors  </w:t>
        <w:br/>
        <w:t xml:space="preserve">The voucher is made available to the consumer and materialized by them during their  </w:t>
        <w:br/>
        <w:t xml:space="preserve">•Multi-brand platforms  </w:t>
        <w:br/>
        <w:t xml:space="preserve">Distribution printing, which can be carried out from a multi-brand platform or the  </w:t>
        <w:br/>
        <w:t xml:space="preserve">advertiser's or distributor's website.  </w:t>
        <w:br/>
        <w:t xml:space="preserve">Presentation The voucher is redeemed by the consumer at the distributor,  </w:t>
        <w:br/>
        <w:t xml:space="preserve">at the CHECKOUT that is, presented at the checkout of a store in payment of a  </w:t>
        <w:br/>
        <w:t xml:space="preserve">part of the product price.  </w:t>
        <w:br/>
        <w:t xml:space="preserve">•Distributors  </w:t>
        <w:br/>
        <w:t xml:space="preserve">Audiotel  </w:t>
        <w:br/>
        <w:t xml:space="preserve">•HighCo  </w:t>
        <w:br/>
        <w:t xml:space="preserve">HighCo The voucher is submitted by the distributor to one of the two  </w:t>
        <w:br/>
        <w:t xml:space="preserve">management centers to obtain reimbursement (face value and handling fees), which itself is reimbursed by the advertiser for the amounts paid to the distributor, increased by its fees.  </w:t>
        <w:br/>
        <w:t xml:space="preserve">The submissions allow  </w:t>
        <w:br/>
        <w:t xml:space="preserve">•Advertisers  </w:t>
        <w:br/>
        <w:t>to enrich the advertisers' databases on the consumption profile of their clients.</w:t>
      </w:r>
    </w:p>
    <w:p>
      <w:r>
        <w:t xml:space="preserve">B. THE PARTIES  </w:t>
        <w:br/>
        <w:t xml:space="preserve">1. THE INSTITUTE OF LINKS AND STUDIES OF CONSUMER INDUSTRIES  </w:t>
        <w:br/>
        <w:t>9. The Institute of Links and Studies of Consumer Industries (hereinafter, "ILEC"), one of the two complainants, is an association governed by the law of July 1, 1901, which was created in 1959. ILEC brings together approximately 80 groups that market products of national and international renown in the food and non-food production sectors.</w:t>
      </w:r>
    </w:p>
    <w:p>
      <w:r>
        <w:t xml:space="preserve">2. THE COMPANY MY SHOPPING LIST  </w:t>
        <w:br/>
        <w:t>10. My shopping list (hereinafter, "MLDC"), the other complainant, is a simplified joint-stock company of the startup type created in January 2008, which uses a promotional technique of targeted distribution of e-coupons to consumers on behalf of partner advertisers. Since May 2008, it has operated the website www.malistedecourses.net, which aims to send e-coupons offered by partner brands to consumers who have previously registered for its service (by free registration, but which requires providing a certain amount of information), based on needs identified within a shopping list.</w:t>
      </w:r>
    </w:p>
    <w:p>
      <w:r>
        <w:t xml:space="preserve">3. THE COMPANIES OF THE HIGHCO GROUP  </w:t>
        <w:br/>
        <w:t>11. The HighCo group includes HighCo SA and its subsidiaries. It specializes in marketing solutions for consumer goods manufacturers and distribution groups. HighCo achieved a consolidated turnover of nearly 146 million euros in 2008.</w:t>
      </w:r>
    </w:p>
    <w:p>
      <w:r>
        <w:t>12. HighCo Data (formerly known as Scancoupon) is the entity of the group responsible, in France, for processing discount coupons, meaning it manages the HighCo processing center.</w:t>
      </w:r>
    </w:p>
    <w:p>
      <w:r>
        <w:t>13. HighCo 3.0 (which uses the trade name Pixibox on the Internet) is the entity that issues and distributes e-coupons in France for the group, thus Webcoupons since their creation.</w:t>
      </w:r>
    </w:p>
    <w:p>
      <w:r>
        <w:t xml:space="preserve">4. THE COMPANIES OF THE SOGEC GROUP  </w:t>
        <w:br/>
        <w:t>14. The Sogec group was created in 1971 and includes Sogec Marketing Financial Company and its subsidiaries, organized around three main areas of expertise: a first area dedicated to hosting, marketing data processing, and campaign management, a second area dedicated to promotion, and a third area to logistics. This group specializes in customer relationship management. It achieved a turnover of approximately 28.7 million euros in 2008, of which more than 95% was in France.</w:t>
      </w:r>
    </w:p>
    <w:p>
      <w:r>
        <w:t>15. Sogec Gestion represents the first area of activity of the group. This company is, in France, the historical operator for processing discount coupons.</w:t>
      </w:r>
    </w:p>
    <w:p>
      <w:r>
        <w:t>16. Regarding the e-couponing activity, Sogec indicated that "there is no particular entity within the Sogec group that exclusively intervenes in e-coupons: e-coupons are marketed by our sales teams in the same way as other marketing solutions marketed by Sogec." More specifically, the issuance contracts, the processing center, and billing are managed by Sogec Gestion. Sogec Marketing, for its part, is responsible for promoting the e-coupon issuance activity, and these are created and made available to clients by teams employed by Sogec Informatique, the internal IT service provider of the Sogec group. Since the creation of the Webcoupon, Sogec has had a free license from HighCo that allows it to issue Webcoupons with their "proprietary" elements.</w:t>
      </w:r>
    </w:p>
    <w:p>
      <w:r>
        <w:t xml:space="preserve">5. THE PERIFEM ASSOCIATION  </w:t>
        <w:br/>
        <w:t>17. Perifem was created in 1980. It has 200 members, divided into four colleges, the first of which groups French distributors. This association seeks technical solutions to meet the needs of its members. It has notably contributed, with a standardization organization called GS1, to establish a standard for securing paper discount coupons in France.</w:t>
      </w:r>
    </w:p>
    <w:p>
      <w:r>
        <w:t xml:space="preserve">C. THE CONDEMNED PRACTICES  </w:t>
        <w:br/>
        <w:t>18. ILEC and MLDC accuse HighCo and Sogec of abusing their market power to eliminate any existing and potential competing operator from the markets for the issuance and distribution of electronic discount coupons, by developing and establishing in opacity a unique, essential, and closed Internet coupon standard, that is, one that they refuse to allow any other player to use under acceptable conditions. The standard defines the appearance and dimensions of electronic coupons, the information that must appear on them, as well as the various security elements that must be respected, particularly for the printing of the coupon by the consumer.</w:t>
      </w:r>
    </w:p>
    <w:p>
      <w:r>
        <w:t>19. MLDC finds particularly unacceptable the technical conditions that would allow access to the standard, which require the "transfer of sensitive commercial data."</w:t>
      </w:r>
    </w:p>
    <w:p>
      <w:r>
        <w:t>20. The complainants argue that regardless of this issue, the pricing for the issuance of Webcoupons by HighCo and Sogec that any other issuer or distributor must resort to in order to use this format generates a pricing scissors effect, preventing effective competition against HighCo and Sogec.</w:t>
      </w:r>
    </w:p>
    <w:p>
      <w:r>
        <w:t>21. The complainants assert that HighCo and Sogec have also maintained confusion between the Webcoupon brand, to which access is de facto denied, and the security standard for e-coupons, so that the market for the issuance of e-coupons is locked.</w:t>
      </w:r>
    </w:p>
    <w:p>
      <w:r>
        <w:t>22. HighCo and Sogec would have further reinforced this lock by disseminating disparaging messages regarding non-Webcoupon e-coupons and suggesting that these, unlike Webcoupons, do not comply with the standard, which should therefore be refused at checkout and are not guaranteed for reimbursement. This situation would lead to making the issuance service of Webcoupons by HighCo and Sogec unavoidable.</w:t>
      </w:r>
    </w:p>
    <w:p>
      <w:r>
        <w:t>23. HighCo and Sogec would also cumulatively hold the qualities of issuers of Webcoupons and of the body issuing certificates of conformity to this format.</w:t>
      </w:r>
    </w:p>
    <w:p>
      <w:r>
        <w:rPr>
          <w:b/>
        </w:rPr>
        <w:t>[Pages 7–9]</w:t>
      </w:r>
    </w:p>
    <w:p>
      <w:r>
        <w:t>24. The complainants further accuse HighCo and Sogec of providing Webcoupons with more favorable processing services than those offered to other e-coupons and of HighCo applying a "surcharge" for the processing of e-coupons that do not comply with the Webcoupon format.</w:t>
      </w:r>
    </w:p>
    <w:p>
      <w:r>
        <w:t>25. The standard contracts for the issuance of Webcoupons from Sogec would contain exclusivity and duration clauses whose combination would aim to obligate advertisers, who wish to switch to the Webcoupon standard by using Sogec's services, to use the Webcoupon standard for all their e-coupon distribution campaigns, and this for a minimum duration of two years.</w:t>
      </w:r>
    </w:p>
    <w:p>
      <w:r>
        <w:t>26. The complainants argue that identical pricing for the issuance service of Webcoupons by HighCo and Sogec, which they further consider excessive in light of the low fraud rate on e-coupons and the cost of the security services provided, results from a restrictive competition agreement between the two operators.</w:t>
      </w:r>
    </w:p>
    <w:p>
      <w:r>
        <w:t>27. ILEC and MLDC assert that the behaviors denounced constitute an anti-competitive agreement "through the agreement on prices, on the dissemination of a false, disparaging, discriminatory message calling for a boycott of competing products of the Webcoupon," this agreement resulting from the standardization agreement made for the purpose of implementing a single standard and its pricing in order to lock the market for the issuance of e-coupons. They argue that such behaviors also characterize an abuse of collective dominant position by HighCo and Sogec, according to ILEC in the French markets for coupon processing, standardization, as well as in the market for the issuance and distribution of e-coupons, and according to MLDC in the French markets for processing discount coupons, securing e-coupons, and distributing e-coupons.</w:t>
      </w:r>
    </w:p>
    <w:p>
      <w:r>
        <w:t>D. THE PRELIMINARY ASSESSMENT OF THE ALLEGED PRACTICES</w:t>
      </w:r>
    </w:p>
    <w:p>
      <w:r>
        <w:t>1. THE APPLICABILITY OF COMMUNITY LAW</w:t>
      </w:r>
    </w:p>
    <w:p>
      <w:r>
        <w:t>28. The behaviors of companies are subject to the rules of the Treaty on the Functioning of the European Union (hereinafter, "TFEU") prohibiting anti-competitive agreements and abuses of dominant position simultaneously with national rules, provided that the practices in question are likely to significantly affect trade between Member States.</w:t>
      </w:r>
    </w:p>
    <w:p>
      <w:r>
        <w:t>29. Regarding practices covering, as in this case, a single Member State, the European Commission's guidelines on the notion of affecting trade set out in Articles [101 and 102 TFEU] (OJ 2004, C 101, p. 81, paragraph 77) state that "the nature of the alleged infringement, and in particular its propensity to restrict access to the national market, provides insight into the ability of the agreement or practice to affect trade between Member States."</w:t>
      </w:r>
    </w:p>
    <w:p>
      <w:r>
        <w:t>30. Paragraph 84 of these guidelines specifies that horizontal cooperation agreements "are sometimes likely to affect trade between Member States when they have exclusionary effects. This may be the case with agreements establishing sectoral standardization and certification regimes that exclude companies from other Member States (...). In these conditions, the agreements make it more difficult for companies from other Member States to penetrate the national market."</w:t>
      </w:r>
    </w:p>
    <w:p>
      <w:r>
        <w:t>31. In this case, the behaviors in question particularly concern an agreement concluded between HighCo, Sogec, and Perifem for the purpose of applying the Webcoupon format throughout the national territory, likely to lead to exclusionary effects regarding operators from other Member States wishing to engage in issuance and distribution activities in this territory, such as Couponstar.</w:t>
      </w:r>
    </w:p>
    <w:p>
      <w:r>
        <w:t>32. Without needing to make a definitive ruling, given the commitment acceptance procedure followed in this case, the behaviors in question are therefore likely to significantly affect trade between Member States. They appear to require, consequently, an assessment under the competition rules not only of national law but also of European Union law.</w:t>
      </w:r>
    </w:p>
    <w:p>
      <w:r>
        <w:t>2. THE RELEVANT MARKETS AND THE POSITION OF HIGHCO AND SOGEC</w:t>
      </w:r>
    </w:p>
    <w:p>
      <w:r>
        <w:t>33. There is a priori reason to distinguish, for the purposes of the preliminary assessment of the case at hand:</w:t>
        <w:br/>
        <w:t>- The market for processing discount coupons, for which Perifem and its members have called upon the two processing centers in French territory, managed by HighCo and Sogec, in order to obtain a guarantee of compensation by adopting a security format for e-coupons;</w:t>
        <w:br/>
        <w:t>- The market or markets for the issuance and distribution of e-coupons, on which the complainants as well as HighCo and Sogec operate, whose activity is affected by the adoption of the Webcoupon format.</w:t>
      </w:r>
    </w:p>
    <w:p>
      <w:r>
        <w:t>a) The processing of discount coupons</w:t>
      </w:r>
    </w:p>
    <w:p>
      <w:r>
        <w:t>34. The Competition Council, in decision No. 02-D-33 of June 10, 2002, concerning practices identified in the discount coupon processing sector, confirmed by the Paris Court of Appeal in a judgment of February 4, 2003, has already considered that "due to its particularities as well as the behavior of demand, the processing of discount coupons constitutes a relevant market in itself [...] comprising all operations of sorting, sending to manufacturers, and control incumbent upon retailers or wholesalers, as well as those of receiving, counting, reimbursing, and controlling incumbent upon coupon issuers." This definition is not disputed and there is no need to challenge it.</w:t>
      </w:r>
    </w:p>
    <w:p>
      <w:r>
        <w:t>35. Regarding the geographical dimension of the market, it corresponds to the territory on which the companies concerned are engaged in the offer of the relevant goods and services and on which the conditions of competition are sufficiently homogeneous.</w:t>
      </w:r>
    </w:p>
    <w:p>
      <w:r>
        <w:t>36. As all concerned operators have explained, and more specifically Couponstar, which operates a platform for distributing e-coupons in the United Kingdom, Ireland, Spain, Belgium, Germany, the Netherlands, Sweden, Denmark, Norway, Finland, and Switzerland and which is a potential new entrant in France, the discount coupon sector is organized differently in each country. Moreover, the behaviors observed in this case concern different stages of the so-called e-couponing operations regarding products sold exclusively on national territory, with discount e-coupons ultimately processed by one of the two management centers located on national territory. These elements suggest that the geographical dimension of the market is national.</w:t>
      </w:r>
    </w:p>
    <w:p>
      <w:r>
        <w:t>37. The evolution of the French market has been as follows. The shares of operators that were present in this market at the time of the facts examined in decision No. 02-D-33 have significantly changed. The companies NCH and Eurodata are no longer present, while HighCo has gained significant shares, estimating today to account for between 55% and 60% of discount coupon processing in France through its subsidiary HighCo Data. The remaining shares of the French market are held by Sogec, which also considers that HighCo, its only competitor, holds "more than 55% of this market (...)," (quote 1143). Thus, only HighCo and Sogec remain today in the market for processing discount coupons.</w:t>
      </w:r>
    </w:p>
    <w:p>
      <w:r>
        <w:t>38. It does not seem justified to distinguish between the processing of paper coupons and that of e-coupons, as the financial and material modalities of operations concerning these two supports appear largely identical.</w:t>
      </w:r>
    </w:p>
    <w:p>
      <w:r>
        <w:t>39. The applicants in this market are, on the one hand, advertisers, who launch e-couponing operations on products bearing their brand, and on the other hand, distributors who accept or not these coupons at checkout and periodically send them to management centers for processing. The suppliers are the management centers that process the discount coupons sent to them by the distributors.</w:t>
      </w:r>
    </w:p>
    <w:p>
      <w:r>
        <w:t>40. The information gathered does not allow for the exclusion that HighCo Data now holds a dominant position in the market for processing discount coupons or that HighCo and Sogec, particularly given the links that have developed between them in the context of the establishment of the Webcoupon, have acquired a collective dominant position in that market.</w:t>
      </w:r>
    </w:p>
    <w:p>
      <w:r>
        <w:t>b) The issuance and distribution of discount e-coupons</w:t>
      </w:r>
    </w:p>
    <w:p>
      <w:r>
        <w:t>41. It seems possible to consider one or two emerging markets for the issuance and distribution specific to e-coupons. The use of e-coupons, rather than traditional discount vouchers, indeed responds to a fairly new and different commercial approach.</w:t>
      </w:r>
    </w:p>
    <w:p>
      <w:r>
        <w:t>42. The fact that Sogec Gestion and HighCo 3.0 are the only issuers of e-coupons in the Webcoupon format on behalf of industrial advertisers and distributors, while other operators issuing e-coupons do not comply with this format, does not seem to imply that the issuance of e-coupons in the Webcoupon format should be distinguished from that not complying with this format. Indeed, initially, the different formats of e-coupons are normally substitutable.</w:t>
      </w:r>
    </w:p>
    <w:p>
      <w:r>
        <w:t>43. It has also been noted that the actors present at the stage of issuing e-coupons do not necessarily disseminate these supports. In this regard, Sogec has emphasized that it is active exclusively for issuance, while HighCo is present at both the issuance and distribution stages of discount e-coupons. Nevertheless, it is not necessary to rule on whether the two activities belong to one or two different markets.</w:t>
      </w:r>
    </w:p>
    <w:p>
      <w:r>
        <w:t>44. In addition to HighCo and Sogec, the actors in the issuance and distribution of e-coupons in France are multi-brand platforms, certain advertisers who carry out the distribution of e-coupons from a dedicated website promoting their brand, as well as certain distributors conducting trade marketing operations from their own website.</w:t>
      </w:r>
    </w:p>
    <w:p>
      <w:r>
        <w:rPr>
          <w:b/>
        </w:rPr>
        <w:t>[Pages 10–12]</w:t>
      </w:r>
    </w:p>
    <w:p>
      <w:r>
        <w:t>impact sur la concurrence et les effets sur le marché. La Commission souligne également que les accords de normalisation doivent être évalués en tenant compte de leur contribution à l'innovation et à l'efficacité économique, tout en s'assurant qu'ils ne nuisent pas à la concurrence sur le marché.</w:t>
      </w:r>
    </w:p>
    <w:p>
      <w:r>
        <w:t>57. En conclusion, l'accord de partenariat entre HighCo, Sogec et Perifem pour le format Webcoupon soulève des préoccupations en matière de concurrence, car il pourrait restreindre la capacité des autres acteurs à développer des normes alternatives et à entrer sur le marché des e-coupons. Les autorités de concurrence devront examiner de près les implications de cet accord et son impact sur la dynamique concurrentielle du marché.</w:t>
      </w:r>
    </w:p>
    <w:p>
      <w:r>
        <w:rPr>
          <w:b/>
        </w:rPr>
        <w:t>[Pages 13–15]</w:t>
      </w:r>
    </w:p>
    <w:p>
      <w:r>
        <w:t>Article L. 420-4 of the Commercial Code.</w:t>
      </w:r>
    </w:p>
    <w:p>
      <w:r>
        <w:t>56. In this regard, the European Commission recalls, in points 169 and following of the guidelines on horizontal cooperation agreements, that it is appropriate, in this context, to examine the economic benefits presented by a standardization agreement, its essential nature, and finally, whether the standard in question is likely to eliminate competition.</w:t>
      </w:r>
    </w:p>
    <w:p>
      <w:r>
        <w:t>57. Regarding, first, the economic benefits, the Commission states that their existence is normally linked to the possibility for all to use the standard and to the fact that a significant share of the sector's players is involved in its determination. It is "the parties' responsibility (...) to prove that any restriction related to the determination, use, or access to the standard brings economic benefits" (paragraph 169 of the guidelines on horizontal cooperation agreements).</w:t>
      </w:r>
    </w:p>
    <w:p>
      <w:r>
        <w:t>58. Concerning, secondly, the essential nature of the standard, "the choice of one standard over another must be justified [and] all competitors operating in the markets affected by the standard should [in principle] have the opportunity to participate in the discussions." Furthermore, "standardization agreements should only cover the elements strictly necessary to achieve their objectives (...)" (paragraphs 171 to 173 of the guidelines on horizontal cooperation agreements).</w:t>
      </w:r>
    </w:p>
    <w:p>
      <w:r>
        <w:t>59. Finally, regarding the absence of elimination of competition, when "organizations or groups of private companies define a standard or if their proprietary technology becomes a de facto standard, competition will be eliminated if this standard is not accessible to third parties" (paragraph 175 of the guidelines on horizontal cooperation agreements).</w:t>
      </w:r>
    </w:p>
    <w:p>
      <w:r>
        <w:t>60. In this case, the elements of the file reveal that while the stakeholders in the sector have expressed support for the standardization of e-coupons to ensure the security of these supports, the aforementioned conditions are not met. Indeed, the advertising manufacturers, who are the primary distributors of discount coupons, did not participate in the meetings of the working group on the security of e-coupons. Certainly, this single circumstance would likely be insufficient to rule out the application of the exemption, but it accumulates with the following elements.</w:t>
      </w:r>
    </w:p>
    <w:p>
      <w:r>
        <w:t>61. In this regard, the Webcoupon standard appears de facto to be imposed on these manufacturers for the issuance of e-coupons bearing their brand.</w:t>
      </w:r>
    </w:p>
    <w:p>
      <w:r>
        <w:t>62. Furthermore, the Webcoupon brand and the hand visual appearing on the Webcoupons are subject to an intellectual property right held by HighCo. The use of these elements does not seem essential to the objective of securing e-coupons, even though non-proprietary alternatives are available. This circumstance alone would also likely be insufficient to rule out the application of the exemption, but it accumulates with other restrictions.</w:t>
      </w:r>
    </w:p>
    <w:p>
      <w:r>
        <w:t>63. In particular, a technical notice defining the minimum criteria of the Webcoupon standard, disseminated by HighCo, Sogec, and Perifem, indicated that "all issuers of discount coupons wishing to benefit from the guarantees of the Webcoupon standard could: 1/ Either go through the secure solution proposed by their clearing center; 2/ Or adopt a solution validated by the two clearing centers owning the Webcoupon brand and the hand visual, in order to obtain the right to use these elements" (reference 152).</w:t>
      </w:r>
    </w:p>
    <w:p>
      <w:r>
        <w:t>64. However, it appears from the file, on the one hand, that HighCo refused to grant the right to use these elements to any operator other than Sogec, to which it granted an exclusive license free of charge (see, in this regard, the refusal opposed to MLDC, references 270 and 272, and that opposed to Couponstar, reference 1,456). On the other hand, the first option entails for operators such as MLDC the disclosure of sensitive commercial data either to Sogec, a competitor at the stage of issuing e-coupons, or to HighCo, a competitor at the stages of issuing and distributing e-coupons.</w:t>
      </w:r>
    </w:p>
    <w:p>
      <w:r>
        <w:t>65. The agreement concluded between the companies involved is therefore likely not to meet the cumulative exemption criteria set out in paragraph 3 of Article 101 TFEU.</w:t>
      </w:r>
    </w:p>
    <w:p>
      <w:r>
        <w:t>b) The pricing of Webcoupon issuance</w:t>
      </w:r>
    </w:p>
    <w:p>
      <w:r>
        <w:t>66. The complainants essentially added that the exclusionary effect due to the essential nature of the format would potentially be reinforced, provided that access to the Webcoupon is granted to other issuers, given the pricing for issuance retained by Sogec and HighCo, which could place them, such as MLDC, in a pricing squeeze situation that does not allow them to offer a competitive commercial offer.</w:t>
      </w:r>
    </w:p>
    <w:p>
      <w:r>
        <w:t>67. Furthermore, it appeared that the pricing grids for the issuance of Webcoupons from Sogec and HighCo followed an identical declining scale.</w:t>
      </w:r>
    </w:p>
    <w:p>
      <w:r>
        <w:t>68. Such price alignment could result from the normal functioning of the market considering the similarity of the production conditions of Webcoupons and the operation of a common brand. But the complainants argued that it resulted from an explicit agreement, which is also not excluded.</w:t>
      </w:r>
    </w:p>
    <w:p>
      <w:r>
        <w:t>c) The surcharge applied by HighCo</w:t>
      </w:r>
    </w:p>
    <w:p>
      <w:r>
        <w:t>69. Finally, HighCo did not provide elements justifying the application of a surcharge for the processing of e-coupons that do not comply with the Webcoupon format. These surcharges may constitute an additional incentive for advertisers, who bear the full cost, to prefer issuing Webcoupons to avoid the costs associated with issuing e-coupons that do not comply with this format. This can have a direct effect on the activity of issuers such as MLDC and Couponstar.</w:t>
      </w:r>
    </w:p>
    <w:p>
      <w:r>
        <w:t>d) Conclusion</w:t>
      </w:r>
    </w:p>
    <w:p>
      <w:r>
        <w:t>70. The behaviors in question could lead to the gradual introduction, both towards upstream advertisers at the stage of issuing e-coupons, and towards downstream distributors at the stage of accepting e-coupons, of the Webcoupon format as the only format that guarantees the security and thus, the compensation of e-coupons presented at checkout, while other formats could very likely provide the same level of guarantee and HighCo and Sogec seem to refuse others the possibility of issuing Webcoupons under satisfactory conditions. The effects of these behaviors are likely to lead, in a nascent market, to the exclusion of operators offering other formats of e-coupons and could be difficult to reverse.</w:t>
      </w:r>
    </w:p>
    <w:p>
      <w:r>
        <w:t>E. THE IMPLEMENTATION OF THE COMMITMENT PROCEDURE</w:t>
      </w:r>
    </w:p>
    <w:p>
      <w:r>
        <w:t>71. Given the elements indicated above which were presented notably in the session on March 9, 2010, HighCo, Sogec, and Perifem proposed commitments in accordance with I of Article L. 464-2 of the Commercial Code and a "market test" was published on March 24, 2010, on the Authority's website for potentially interested third parties.</w:t>
      </w:r>
    </w:p>
    <w:p>
      <w:r>
        <w:t>1. THE INITIAL COMMITMENTS PROPOSED</w:t>
      </w:r>
    </w:p>
    <w:p>
      <w:r>
        <w:t>72. HighCo, Sogec, and Perifem first proposed to state, in a communication following the same format as that of the press release of October 2008 and including an information notice (hereinafter, the "information notice") and a technical annex, that they have established a specification for the security of e-coupons whose technical elements are included in said annex. They state in this communication that this specification is open and accessible to any operator wishing to issue and/or distribute e-coupons. The Webcoupon format with this brand and the hand visual would only be an application solution and consequently, e-coupons complying with the specification without the proprietary elements of Webcoupon could be issued. They add that this specification is not intended to be a unique standard, as any operator wishing to issue and/or distribute e-coupons is free to define its own technical solution, under its own brand, whether or not complying with the specification.</w:t>
      </w:r>
    </w:p>
    <w:p>
      <w:r>
        <w:t>73. They also proposed to state, in this communication, that the management centers process all e-coupons under the terms of their general service conditions and that all e-coupons benefit from processing by the management centers under conditions equivalent to those applied to the processing of paper coupons. HighCo and Sogec specify that the management centers provide no guarantee of compensation for any coupon or e-coupon whatsoever, but that they can "relay," on their websites, information regarding any possible issuance guarantee that issuers and/or distributors choose to implement, if applicable.</w:t>
      </w:r>
    </w:p>
    <w:p>
      <w:r>
        <w:t>74. HighCo, Sogec, and Perifem, secondly and thirdly, proposed to commit not to oppose the development and establishment of new standards for the issuance of e-coupons by either of them.</w:t>
      </w:r>
    </w:p>
    <w:p>
      <w:r>
        <w:t>75. Lastly, HighCo proposed to eliminate the Audiotel service as well as the surcharge applied, amounting to €0.048 excluding taxes per e-coupon that is not a Webcoupon.</w:t>
      </w:r>
    </w:p>
    <w:p>
      <w:r>
        <w:t>2. THE OBSERVATIONS OF INTERESTED THIRD PARTIES</w:t>
      </w:r>
    </w:p>
    <w:p>
      <w:r>
        <w:t>76. Ten contributions were received as part of the market test, namely, from the Bel dairies, Catalina marketing France, Couponstar Ltd., the Stalaven group, Hénaff, Nestlé France SAS, Segafredo Zanetti, Tilbury, and the complainants.</w:t>
      </w:r>
    </w:p>
    <w:p>
      <w:r>
        <w:t>77. In general, the initially proposed commitments were deemed insufficient by the contributors.</w:t>
      </w:r>
    </w:p>
    <w:p>
      <w:r>
        <w:rPr>
          <w:b/>
        </w:rPr>
        <w:t>[Pages 16–18]</w:t>
      </w:r>
    </w:p>
    <w:p>
      <w:r>
        <w:t>a) The insufficiency of opening the security specifications for e-coupons without the proprietary elements of Webcoupon to restore competition</w:t>
      </w:r>
    </w:p>
    <w:p>
      <w:r>
        <w:t>78. Bel, Catalina, Couponstar, Stalaven, ILEC, MLDC, Nestlé, and Segafredo Zanetti first argued that opening the security specifications for e-coupons without the proprietary elements of Webcoupon would not challenge Webcoupon as the de facto industry standard, because it fulfills the objective sought by distributors "which explains [emphasizes MLDC] that it has preempted the market." Essentially, the situation might not change.</w:t>
      </w:r>
    </w:p>
    <w:p>
      <w:r>
        <w:t>79. The complainants, Catalina and Nestlé, argue that the Webcoupon standard is even less likely to be challenged as it benefits, unlike other formats, from unconditional acceptance as evidenced by the letters sent to Perifem signed by five major retail chains.</w:t>
      </w:r>
    </w:p>
    <w:p>
      <w:r>
        <w:t>b) The risk of the multiplication of e-coupon formats</w:t>
      </w:r>
    </w:p>
    <w:p>
      <w:r>
        <w:t>80. Regarding the technical specifications contained in the specifications, which should be identical to those of Webcoupon, HighCo, Sogec, and Perifem would have taken advantage of the inclusion of the specifications in their commitment proposals to introduce ranges of dimensions that do not correspond to those of Webcoupon, as well as the possibility of unilaterally modifying the specifications.</w:t>
      </w:r>
    </w:p>
    <w:p>
      <w:r>
        <w:t>81. Several interested parties consequently request that a rigorous reproduction of the technical specifications of Webcoupon be imposed in the information notice, in order to avoid the risk of multiplying e-coupon formats, which could "generate great confusion regarding which e-coupons are acceptable or not by distributors."</w:t>
      </w:r>
    </w:p>
    <w:p>
      <w:r>
        <w:t>c) The multiplication of compensation guarantees</w:t>
      </w:r>
    </w:p>
    <w:p>
      <w:r>
        <w:t>82. It has been argued that the proposals contained no precision regarding the refund guarantee mechanism, which, according to Stalaven, Hénaff, ILEC, MLDC, and Segafredo Zanetti, risks leading to a multiplication of the types of guarantees offered, thereby increasing distributors' distrust of non-Webcoupon e-coupons.</w:t>
      </w:r>
    </w:p>
    <w:p>
      <w:r>
        <w:t>83. Couponstar and the complainants emphasized that the likelihood of distributors visiting the website confirming the existence of such a guarantee is very low.</w:t>
      </w:r>
    </w:p>
    <w:p>
      <w:r>
        <w:t>84. MLDC, Stalaven, and Tilbury suggested a modification of the commitments to specify, without ambiguity, that processing centers have the obligation to ensure the necessary intermediation services to enable the effective implementation of refund guarantees from any issuer.</w:t>
      </w:r>
    </w:p>
    <w:p>
      <w:r>
        <w:t>d) The application and evolution of the specifications as well as the request for the designation of a third-party certifier</w:t>
      </w:r>
    </w:p>
    <w:p>
      <w:r>
        <w:t>85. The complainants, Catalina, Couponstar, and Tilbury also requested that a third-party certifier be involved to monitor compliance with the specifications and, if necessary, the evolution of its content.</w:t>
      </w:r>
    </w:p>
    <w:p>
      <w:r>
        <w:t>86. In this regard, ILEC again argued that the fact that Sogec and HighCo hold both the roles of operators in the e-coupon issuance market and certifiers is not acceptable under competition rules, particularly given the refusals made by HighCo and Sogec when "certification" requests were presented to them by MLDC and Couponstar. According to ILEC, "the Sogec and HighCo groups, under the guise of refusing to grant the proprietary brand, deny third parties access to the standard of the secure e-coupon. The locking of the electronic coupon issuance market is therefore evident (...)".</w:t>
      </w:r>
    </w:p>
    <w:p>
      <w:r>
        <w:t>87. A corrective measure could therefore have consisted, according to ILEC, "in instituting a third-party certifier who would have been authorized to allow a competing operator, meeting the required technical specifications, to access the Webcoupon standard (that is to say, apart from the technical specifications, to access the visual elements of Webcoupon) on non-discriminatory pricing conditions." The absence of such a mechanism would create insecurity for operators in the sector.</w:t>
      </w:r>
    </w:p>
    <w:p>
      <w:r>
        <w:t>88. Similarly, it was indicated that the fact that the commitments do not provide for the participating advertisers to be involved in any discussions regarding the evolution of the standard undermines the effectiveness of the system and that it is in any case necessary to clarify the conditions under which the specifications may evolve.</w:t>
      </w:r>
    </w:p>
    <w:p>
      <w:r>
        <w:t>89. ILEC also requested that the amount of the compensation guarantee be determined by a third-party certifier based on the actual risk of fraud.</w:t>
      </w:r>
    </w:p>
    <w:p>
      <w:r>
        <w:t>e) The possibility for HighCo, Sogec, and Perifem, or others, to develop new standards</w:t>
      </w:r>
    </w:p>
    <w:p>
      <w:r>
        <w:t>90. The proposals on this point, according to a majority of contributions, only return to respecting competition law.</w:t>
      </w:r>
    </w:p>
    <w:p>
      <w:r>
        <w:t>91. Catalina, for its part, believes that Perifem must commit to disseminating to its members any new e-coupon model that complies with the specifications and to present it to its members in an objective and non-discriminatory manner. It considers that HighCo, Sogec, and Perifem must commit "each in its own regard, not to oppose the development of new standards for the issuance and distribution of e-coupons by one or more of them and/or by third-party companies."</w:t>
      </w:r>
    </w:p>
    <w:p>
      <w:r>
        <w:t>f) The Audiotel service</w:t>
      </w:r>
    </w:p>
    <w:p>
      <w:r>
        <w:t>92. ILEC, MLDC, and Catalina believe that the removal of the Audiotel service represents a "setback" in the services offered to consumers and operators in the sector and that only the additional cost, and not the service, should have been removed.</w:t>
      </w:r>
    </w:p>
    <w:p>
      <w:r>
        <w:t>93. Catalina further considers that HighCo and Sogec should commit not to charge any additional costs or services related to the processing of a non-Webcoupon e-coupon.</w:t>
      </w:r>
    </w:p>
    <w:p>
      <w:r>
        <w:t>g) The pricing grid for the issuance of Webcoupons</w:t>
      </w:r>
    </w:p>
    <w:p>
      <w:r>
        <w:t>94. According to some interested parties, the pricing grid of Sogec and HighCo for the issuance of Webcoupons should have been a concern for competition expressed in session by the investigating services and a commitment, as the evidence of collusion was explicitly included in the elements submitted to the file during the investigation.</w:t>
      </w:r>
    </w:p>
    <w:p>
      <w:r>
        <w:t>h) The potential pricing scissors effect</w:t>
      </w:r>
    </w:p>
    <w:p>
      <w:r>
        <w:t>95. ILEC and MLDC believe that the existence of a pricing scissors effect persists in light of the proposed commitments.</w:t>
      </w:r>
    </w:p>
    <w:p>
      <w:r>
        <w:t>i) The contracts for the issuance of Webcoupons</w:t>
      </w:r>
    </w:p>
    <w:p>
      <w:r>
        <w:t>96. The absence of a challenge to the exclusivity and duration clauses that would be contained in the Webcoupon issuance contracts of Sogec and HighCo is also criticized.</w:t>
      </w:r>
    </w:p>
    <w:p>
      <w:r>
        <w:t>j) The technical specifications of the specifications</w:t>
      </w:r>
    </w:p>
    <w:p>
      <w:r>
        <w:t>97. Several interested parties express technical criticisms regarding the security elements of the specifications and suggest that any operator should be free to use its own security solution.</w:t>
      </w:r>
    </w:p>
    <w:p>
      <w:r>
        <w:t>k) The execution deadlines and control measures for the commitments</w:t>
      </w:r>
    </w:p>
    <w:p>
      <w:r>
        <w:t>98. MLDC notes that the execution deadlines and control measures for the commitments proposed by the companies involved should be provided.</w:t>
      </w:r>
    </w:p>
    <w:p>
      <w:r>
        <w:t>l) The information measures</w:t>
      </w:r>
    </w:p>
    <w:p>
      <w:r>
        <w:t>99. Couponstar, ILEC, and MLDC have more specifically criticized the absence of a challenge to the October 2008 press release and subsequent communications regarding the Webcoupon standard, as the proposals could be interpreted as allowing the maintenance of the initial message alongside the new one, which would contribute, according to the complainants, to perpetuating the confusion already established regarding, in particular, the nature of the guarantee and the specifications of the specifications.</w:t>
      </w:r>
    </w:p>
    <w:p>
      <w:r>
        <w:t>100. The complainants have therefore requested the rectification and withdrawal of the messages previously disseminated by HighCo, Sogec, and Perifem. In this regard, ILEC indicated that it was not possible to establish an exhaustive list of these messages. It considered that, consequently, a strong and formal general denial should be obtained.</w:t>
      </w:r>
    </w:p>
    <w:p>
      <w:r>
        <w:t>101. Couponstar, ILEC, and MLDC denounced the unverifiable nature and lack of credibility of the communication commitment, which seemed imprecise to them, so that the Authority would not be able to verify its compliance.</w:t>
      </w:r>
    </w:p>
    <w:p>
      <w:r>
        <w:t>102. The complainants have, therefore, requested that the corrective communication measures to be applied be specified, which should, according to them, have the same scope as those concerning Webcoupon, that is to say, in particular, that they should target the press, advertisers, and distributors. Couponstar indicated that the communication should be published for at least 18 months on the homepage of the companies involved, but also sent by mail directly to all issuers and distributors.</w:t>
      </w:r>
    </w:p>
    <w:p>
      <w:r>
        <w:t>103. ILEC requests, in this regard, that a circular be sent to the distributors who have committed to Perifem in favor of the use of Webcoupon, to specify that these letters have no binding force and that they be asked "to disengage from their previous letter for those who returned it signed" and emphasizes that HighCo,</w:t>
      </w:r>
    </w:p>
    <w:p>
      <w:r>
        <w:rPr>
          <w:b/>
        </w:rPr>
        <w:t>[Pages 19–21]</w:t>
      </w:r>
    </w:p>
    <w:p>
      <w:r>
        <w:t>Sogec and Perifem have in fact made no commitment to cease exerting pressure on distributors and advertisers.</w:t>
      </w:r>
    </w:p>
    <w:p>
      <w:r>
        <w:t>II. Discussion</w:t>
      </w:r>
    </w:p>
    <w:p>
      <w:r>
        <w:t>104. The Competition Authority has the power, based on § I of Article L. 464-2 of the Commercial Code, to "accept commitments proposed by companies or organizations that are likely to address its competition concerns [regarding behaviors] that may constitute prohibited practices referred to in Articles L. 420-1, L. 420-2, and L. 420-5," according to the terms specified in Article R. 464-2 of the Commercial Code.</w:t>
      </w:r>
    </w:p>
    <w:p>
      <w:r>
        <w:t>A. THE ADDITIONAL COMMITMENT PROPOSALS</w:t>
      </w:r>
    </w:p>
    <w:p>
      <w:r>
        <w:t>105. On May 14, 2010, HighCo, Sogec, and Perifem submitted new commitment proposals, as well as observations on the contributions to the market test. On May 20, 2010, ILEC provided observations to comment on these new proposals. MLDC made its observations on these proposals orally during the session on May 25, 2010. During the session, HighCo, Sogec, and Perifem again supplemented their proposals. The final text of these proposals, to which reference is made, is attached to this decision.</w:t>
      </w:r>
    </w:p>
    <w:p>
      <w:r>
        <w:t>a) On access to the proprietary elements of Webcoupon</w:t>
      </w:r>
    </w:p>
    <w:p>
      <w:r>
        <w:t>106. HighCo and Sogec ultimately propose to grant free access to the "proprietary" elements related to Webcoupons to any operator who requests it. This proposal is made on the condition that the issuer or distributor commits to comply with the technical specifications of the specifications and to provide a guarantee for the reimbursement of fraudulent Webcoupons.</w:t>
      </w:r>
    </w:p>
    <w:p>
      <w:r>
        <w:t>107. Such access will be subject to a free and non-exclusive trademark license agreement with HighCo (or a sublicense with Sogec), concerning the Webcoupon brand and the hand visual, subject to compliance with the two aforementioned conditions. The list of contracts thus concluded will appear on the websites of Sogec and HighCo.</w:t>
      </w:r>
    </w:p>
    <w:p>
      <w:r>
        <w:t>108. During the discussions, ILEC and MLDC considered it appropriate to specify that this access encompasses "all proprietary elements protected by intellectual property rights, current and future, related to Webcoupons" and that "the use of these elements on other supports than Webcoupons" should be addressed.</w:t>
      </w:r>
    </w:p>
    <w:p>
      <w:r>
        <w:t>109. The final commitment proposals specify that all proprietary elements used on the Webcoupon will be accessible, in order to account for the possibility that these elements may evolve. The license (or sublicense) agreement providing access to these elements will stipulate "that the licensee (or sublicensee) will be authorized to [use them] (...) in addition to on e-coupons, on any communication, commercial or contractual documents related to its activity as an issuer/distributor of Webcoupon, provided that this use does not infringe the brand."</w:t>
      </w:r>
    </w:p>
    <w:p>
      <w:r>
        <w:t>b) On the risk of the multiplication of e-coupon formats</w:t>
      </w:r>
    </w:p>
    <w:p>
      <w:r>
        <w:t>110. Regarding the risk of confusion related to the difference in formats between the Webcoupon and e-coupons compliant with the specifications, the dimensions of the Webcoupon are now well understood within the ranges specified in the new information notice.</w:t>
      </w:r>
    </w:p>
    <w:p>
      <w:r>
        <w:t>c) On the multiplication of compensation guarantees</w:t>
      </w:r>
    </w:p>
    <w:p>
      <w:r>
        <w:t>111. It is stated, in point 3 of the new information notice, that "management centers do not themselves provide any guarantee of reimbursement for any coupon, such a guarantee may however be provided by any issuer/distributor of e-coupons under conditions of its choice," it being specified that a guarantee meeting the conditions of point 4 (ii) of the same notice must be provided by any operator wishing to issue or distribute Webcoupons.</w:t>
      </w:r>
    </w:p>
    <w:p>
      <w:r>
        <w:t>112. Point 4 of the new information notice describes in detail the mechanism of the guarantee under which the issuer will be required to ensure reimbursement to the advertiser for any Webcoupon it has issued that has been subject to fraud, except in cases of "store" fraud, such as the photocopying of a non-fraudulent e-coupon, which management centers typically identify during the processing of coupons, and cases of obvious fraud, such as exceeding the validity period, which the distributor should have noted.</w:t>
      </w:r>
    </w:p>
    <w:p>
      <w:r>
        <w:t>113. Thus, within the framework of the system proposed by HighCo and Sogec, in the event of fraud of a Webcoupon that constitutes neither "store" fraud nor obvious fraud, the reimbursement to the management center of the processed Webcoupon will be requested by it from the advertiser benefiting from the guarantee provided by the issuer or distributor, and the management center commits to reimburse the concerned store.</w:t>
      </w:r>
    </w:p>
    <w:p>
      <w:r>
        <w:t>114. ILEC and MLDC requested that it be specified that issuers will not have to make a prior security deposit before implementing the reimbursement guarantee.</w:t>
      </w:r>
    </w:p>
    <w:p>
      <w:r>
        <w:t>115. Furthermore, ILEC considered that a mention should be added in the commitments indicating that "the guarantee mechanism will result from the contract concluded between the management center and the advertiser on the one hand and between the advertiser and the issuer on the other hand, the burden of the guarantee ultimately resting on the issuer" and "that the guarantee must, where applicable, be implemented under identical and non-discriminatory conditions compared to the conditions under which it is implemented with respect to Sogec and HighCo as issuers." MLDC indicated in the session that it wished for a commitment to be made regarding the implementation of the guarantee according to non-discriminatory and transparent criteria and that the intermediation of management centers in this matter be ensured under conditions of absolute free of charge.</w:t>
      </w:r>
    </w:p>
    <w:p>
      <w:r>
        <w:t>116. The commitment proposals ultimately include the following wording: "the reimbursement guarantee provided by any issuer and/or distributor will be implemented under non-discriminatory conditions by the management centers as long as they have been duly informed by the concerned issuer/distributor."</w:t>
      </w:r>
    </w:p>
    <w:p>
      <w:r>
        <w:t>117. The new proposals explicitly respond to part of the requests made by the complainants and implicitly address the remainder. The commitment proposals are in any case likely to dispel the concerns expressed on this point, as they provide clarifications aimed at a better understanding of the distribution of responsibilities of each of the actors in the sector regarding the implementation of the guarantee concerning fraudulent coupons. They also simplify the proposed system and lead to issuers not being required to resort to the intermediation of management centers.</w:t>
      </w:r>
    </w:p>
    <w:p>
      <w:r>
        <w:t>d) On the application and evolution of the specifications as well as the request for the designation of a certifying third party</w:t>
      </w:r>
    </w:p>
    <w:p>
      <w:r>
        <w:t>118. In their new proposals, HighCo, Sogec, and Perifem offered to invite representatives of distributors and advertisers as well as issuers and distributors to participate in discussions regarding potential evolutions of the specifications that must be subject to a consensus among the entities that participated in the reflection to be retained. If this is the case, it is proposed that Perifem inform all its members by email and that appropriate communication be made on the websites of HighCo, Sogec, and Perifem. Unless urgent, the evolution would only become effective one month after this communication.</w:t>
      </w:r>
    </w:p>
    <w:p>
      <w:r>
        <w:t>119. ILEC, which maintained its request for the intervention of a certifying third party, emphasized that GS1 France, an organization playing this role, has come forward during the procedure to propose "a more scalable system for managing electronic discount coupons."</w:t>
      </w:r>
    </w:p>
    <w:p>
      <w:r>
        <w:t>120. ILEC argued: "in the absence of the designation of a certifying third party [neutral, competent, free, and representing, equally, the stakeholders], HighCo and Sogec will de facto be called upon to certify the compliance of the electronic coupon issued (...) which is not acceptable in light of competition rules." It stated that "the designation of a certifying third party, authorized to certify the compliance of the electronic coupons issued with the specifications and authorized to resolve disputes related to the specifications, or any evolution that may be planned, is essential for the functioning of the envisaged system."</w:t>
      </w:r>
    </w:p>
    <w:p>
      <w:r>
        <w:t>121. In support of this argument, ILEC cited the judgment of July 1, 2008, Motoe v. Elliniko Dimosio, C-49/07, Rec. p. J-4863, in which the Court of Justice ruled that Articles 82 EC and 86 EC (now Articles 102 TFEU and 104 TFEU) "oppose a national regulation that grants a legal entity, which organizes motorcycle competitions and concludes contracts for sponsorship, advertising, and insurance in this context, the power to give a favorable opinion on requests for authorization submitted for the organization of such competitions, without this power being accompanied by limits, obligations, and control."</w:t>
      </w:r>
    </w:p>
    <w:p>
      <w:r>
        <w:t>122. The complainants also referred to the commitments accepted by the European Commission, in paragraph 22 of its decision of October 14, 2009, COMP/39416/Ship Classification (see the summary in the OJ 2010, C 2, p. 5), providing for the intervention of accredited, external, and independent certification bodies to evaluate and apply the program established by the International Association of Classification Societies Limited (hereinafter, "IACS") to award a certificate of compliance for the validation of the application of new members. In its decision, the Commission indicated that the ten members of IACS, which are the largest maritime classification societies in the world, set the rules and procedures covering more than 90% of the global tonnage allocated to the transport of goods. It estimated, in the context of a preliminary assessment, that competition was likely to be restricted in the market for classification services for merchant ships due to the decisions of IACS.</w:t>
      </w:r>
    </w:p>
    <w:p>
      <w:r>
        <w:rPr>
          <w:b/>
        </w:rPr>
        <w:t>[Pages 22–24]</w:t>
      </w:r>
    </w:p>
    <w:p>
      <w:r>
        <w:t>relating to the applications of non-member classification societies, which conditioned access to the rules and procedures it establishes. Non-member classification societies risked thus "facing significant competitive disadvantages" and the fact that the issuance of the certificate necessary for their membership was subject to the approval of the association's members risked compromising the independence and objectivity of this system.</w:t>
      </w:r>
    </w:p>
    <w:p>
      <w:r>
        <w:t>123. In this regard, the guidelines on horizontal cooperation agreements provide in paragraph 167 that "agreements that grant certain bodies the exclusive right to conduct conformity tests with the standard go beyond the primary objective that led to the definition of the standard and may (...) restrict competition." Furthermore, there is no legal obstacle a priori to providing for a third-party certifier in commitments accepted by the Competition Authority.</w:t>
      </w:r>
    </w:p>
    <w:p>
      <w:r>
        <w:t>124. Nevertheless, in the two cases cited by the complainants, the operators in question ruled on compliance with relatively complex specifications of the services offered by their competitors in a market where they were themselves active, while this decision conditioned the ability of said competitors to provide their services.</w:t>
      </w:r>
    </w:p>
    <w:p>
      <w:r>
        <w:t>125. In this case, under the terms of the proposed commitments, the Webcoupon is clearly no longer displayed as the sole applicable standard for e-coupons since it constitutes only a proprietary application of an open standard available to all, which is itself optional. The Webcoupon solution is also now freely accessible provided that fair, transparent, objective, non-discriminatory, few in number, and not overly complex criteria are met. Thus, since the specifications and, a fortiori, the Webcoupon are not a unique standard, nothing seems to justify that its application and its developments be necessarily subject to the control of a third party, especially since, it should be noted, HighCo, Sogec, and Perifem ultimately proposed that any evolution of the specifications be subject to the consensus of the operators who participated in the reflection on this matter.</w:t>
      </w:r>
    </w:p>
    <w:p>
      <w:r>
        <w:t>126. The requests concerning the intervention of a third-party certifier exceed what is necessary to dispel the competition concerns expressed on this point, and it is therefore not necessary for HighCo, Sogec, and Perifem to modify their commitments in this regard.</w:t>
      </w:r>
    </w:p>
    <w:p>
      <w:r>
        <w:t>e) On the possibility for HighCo, Sogec, and Perifem or others to develop new standards</w:t>
      </w:r>
    </w:p>
    <w:p>
      <w:r>
        <w:t>127. To ensure the consistency of the framework provided regarding their freedom to participate in the development of new e-coupon standards, HighCo, Sogec, and Perifem have, in their new commitment proposals, provided to terminate their partnership contract for the deployment of an e-coupon standard, which led to the development of the Webcoupon.</w:t>
      </w:r>
    </w:p>
    <w:p>
      <w:r>
        <w:t>128. They have also added, in their proposals, a mention stating that they will not oppose the development of any e-coupon issuance standard by one or more of them and/or by any third party.</w:t>
      </w:r>
    </w:p>
    <w:p>
      <w:r>
        <w:t>f) On the Audiotel service</w:t>
      </w:r>
    </w:p>
    <w:p>
      <w:r>
        <w:t>129. HighCo argues that it cannot be required to maintain a service that has become unnecessary given the proposals made with Perifem and Sogec before the Authority.</w:t>
      </w:r>
    </w:p>
    <w:p>
      <w:r>
        <w:t>130. The measure proposed by HighCo in this regard addresses the competition concern expressed regarding the potentially discriminatory pricing practices of this company for the processing of e-coupons that do not comply with the Webcoupon format, even as this service appears to be less necessary in light of the clarifications provided regarding all e-coupon formats.</w:t>
      </w:r>
    </w:p>
    <w:p>
      <w:r>
        <w:t>g) On the pricing grid for the issuance of Webcoupons</w:t>
      </w:r>
    </w:p>
    <w:p>
      <w:r>
        <w:t>131. Without needing to rule on the coordinated nature, or not, of the issuance prices of Webcoupons by HighCo and Sogec, it is sufficient to note that since the latter commit to renounce their current pricing grid for the future and to develop each a new pricing grid independently, it is planned to put an end to the behaviors denounced in this regard by the complainants.</w:t>
      </w:r>
    </w:p>
    <w:p>
      <w:r>
        <w:t>h) On the potential pricing squeeze effect of the Webcoupon issuance price</w:t>
      </w:r>
    </w:p>
    <w:p>
      <w:r>
        <w:t>132. The opening of the specifications proposed in the initial commitments already dissipated this risk, as it allowed the issuance of e-coupons without resorting to the Webcoupon format. A fortiori, free access to the proprietary elements of the Webcoupon definitively eliminates this issue.</w:t>
      </w:r>
    </w:p>
    <w:p>
      <w:r>
        <w:t>i) On the exclusivities of Webcoupon issuance contracts</w:t>
      </w:r>
    </w:p>
    <w:p>
      <w:r>
        <w:t>133. Sogec and HighCo have certified that their Webcoupon issuance contracts do not contain exclusivity clauses, contrary to what would be inferred from a misinterpretation. HighCo further indicates that the one-year duration provided in its standard Webcoupon issuance contract simply aims to maintain, for this duration, the conditions applicable to the processing of offers transmitted by the advertiser, without however imposing on the latter to transmit all of its e-coupon offers to it. The Authority takes note of this by observing that some of HighCo and Sogec's current clients are also clients of MLDC.</w:t>
      </w:r>
    </w:p>
    <w:p>
      <w:r>
        <w:t>j) On the technical specifications of the specifications</w:t>
      </w:r>
    </w:p>
    <w:p>
      <w:r>
        <w:t>134. The Competition Authority does not need to rule on technical solutions. According to the proposed commitments, any issuer is in any case free to use its own security solution if that of the specifications does not suit it.</w:t>
      </w:r>
    </w:p>
    <w:p>
      <w:r>
        <w:t>k) On the execution deadlines and control measures for the commitments</w:t>
      </w:r>
    </w:p>
    <w:p>
      <w:r>
        <w:t>135. Regarding the execution deadlines and control measures for the commitments, HighCo, Sogec, and Perifem have offered to implement all of their commitments within a maximum period of one month from the acceptance decision of the Authority and to ensure the execution of most of the information measures as well as the termination of the tripartite partnership contract on the Webcoupon within 15 days.</w:t>
      </w:r>
    </w:p>
    <w:p>
      <w:r>
        <w:t>136. They also propose to submit a written report describing the execution measures of the commitments within a maximum period of four months from the date of the Authority's decision.</w:t>
      </w:r>
    </w:p>
    <w:p>
      <w:r>
        <w:t>137. These new proposals ensure the execution of the proposed commitments within reasonable timeframes, in light of the elements in the file.</w:t>
      </w:r>
    </w:p>
    <w:p>
      <w:r>
        <w:t>l) On the information measures</w:t>
      </w:r>
    </w:p>
    <w:p>
      <w:r>
        <w:t>138. HighCo, Sogec, and Perifem have specified, on the one hand, the conditions for disseminating the information notice by Perifem to its members as well as to a number of specialized newspapers or magazines and, on the other hand, the precise conditions for the publication of this notice on their websites, as well as the fact that this publication will be maintained as long as the specifications and the Webcoupon solution are in effect.</w:t>
      </w:r>
    </w:p>
    <w:p>
      <w:r>
        <w:t>139. They have also proposed to remove from their respective websites any information referring to the "Webcoupon standard," including the press release of October 1, 2008. They have offered not to refer to it in the future and to request its cessation by third parties, if such information comes to their attention.</w:t>
      </w:r>
    </w:p>
    <w:p>
      <w:r>
        <w:t>140. The complainants reproach the companies involved for not having provided for information measures aimed at advertisers, even though HighCo had indicated, at the time of the launch of the Webcoupon format, that it had contacted the Union of Advertisers and 5,800 industrialists.</w:t>
      </w:r>
    </w:p>
    <w:p>
      <w:r>
        <w:t>141. The ILEC requests that the commitments specifically provide for the publication of the notice as well as a "very brief joint press release from HighCo, Sogec, Perifem, the ILEC, and MLDC, stating the agreement reached by the parties to the procedure and that a new transparent, open specifications allowing for the development of e-coupons has been established under the aegis of the Competition Authority."</w:t>
      </w:r>
    </w:p>
    <w:p>
      <w:r>
        <w:t>142. It is recalled in this regard that the commitment procedure does not stem from an "agreement reached by the parties to the procedure," but from commitments made by the companies or bodies involved towards the Authority, which is responsible for enforcing public economic order.</w:t>
      </w:r>
    </w:p>
    <w:p>
      <w:r>
        <w:t>143. The text of the information notice also now specifies, in the introduction, that it is "published in accordance with the commitments made by HighCo, Sogec, and Perifem in the context of the procedure before the Competition Authority (...)" and that this document "cancels and replaces the notice disseminated [in] October 2008."</w:t>
      </w:r>
    </w:p>
    <w:p>
      <w:r>
        <w:t>144. Furthermore, operators such as MLDC and Couponstar are able to disseminate the information notice themselves to their advertiser clientele.</w:t>
      </w:r>
    </w:p>
    <w:p>
      <w:r>
        <w:t>145. Regarding the responsibility for the publication of the information notice and its annex, which totals four pages, this does not seem feasible, from a practical standpoint, in a daily such as Les Echos, for example. It also appeared that Perifem, which had not taken such a measure regarding the Webcoupon, proposes to replicate identically the measures taken at the time, namely, the emailing of the information notice to the 25 publications mentioned in the list annexed to the commitments, with the responsibility for them to disseminate, if necessary, the information to their readership.</w:t>
      </w:r>
    </w:p>
    <w:p>
      <w:r>
        <w:t>146. Finally, under the terms of the complementary commitment proposals, Perifem unilaterally renounces the distributors' promises in favor of the use of the Webcoupon. Perifem will send an explicit letter to each affected distributor.</w:t>
      </w:r>
    </w:p>
    <w:p>
      <w:r>
        <w:rPr>
          <w:b/>
        </w:rPr>
        <w:t>[Pages 25–25]</w:t>
      </w:r>
    </w:p>
    <w:p>
      <w:r>
        <w:t>147. The Authority considers that the proposed commitments, which address the competition concerns expressed regarding the promotional measures of the specifications, are proportionate and acceptable as they stand.</w:t>
      </w:r>
    </w:p>
    <w:p>
      <w:r>
        <w:t>B. CONCLUSION</w:t>
      </w:r>
    </w:p>
    <w:p>
      <w:r>
        <w:t>148. The Competition Authority believes that the commitments as proposed at the end of the procedure by HighCo, Sogec, and Perifem address the competition concerns raised in this case and are credible and verifiable.</w:t>
      </w:r>
    </w:p>
    <w:p>
      <w:r>
        <w:t>DECISION</w:t>
      </w:r>
    </w:p>
    <w:p>
      <w:r>
        <w:t>Article 1: The commitments proposed by HighCo and Sogec for the companies in their groups, and by the Technical Association of Commerce and Distribution Perifem, which are an integral part of this decision to which they are annexed, are accepted by the Competition Authority. These commitments become mandatory upon notification of this decision.</w:t>
      </w:r>
    </w:p>
    <w:p>
      <w:r>
        <w:t>Article 2: The procedure recorded under numbers 09/0068 F and 09/0069 M, 09/0072 F and 09/0073 M is hereby terminated.</w:t>
      </w:r>
    </w:p>
    <w:p>
      <w:r>
        <w:t>Deliberated on the oral report of Ms. Isabelle Mauléon-Wells and the intervention of Mr. Jean-Marc Belorgey, deputy general rapporteur, by Mr. Patrick Spilliaert, vice-president, chair of the session, Ms. Reine-Claude Mader-Saussaye and Ms. Pierrette Pinot, members.</w:t>
      </w:r>
    </w:p>
    <w:p>
      <w:r>
        <w:t xml:space="preserve">The session secretary, The vice-president,  </w:t>
        <w:br/>
        <w:t xml:space="preserve">Véronique Letrado Patrick Spilliaert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