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https://www.autoritedelaconcurrence.fr/fr/decision/relative-des-pratiques-mises-en-oeuvre-dans-le-secteur-des-dechets-dequipements</w:t>
      </w:r>
    </w:p>
    <w:p>
      <w:r>
        <w:t>Pages translated : 8</w:t>
      </w:r>
    </w:p>
    <w:p/>
    <w:p>
      <w:r>
        <w:rPr>
          <w:b/>
        </w:rPr>
        <w:t>[Pages 1–3]</w:t>
      </w:r>
    </w:p>
    <w:p>
      <w:r>
        <w:t xml:space="preserve">FRENCH REPUBLIC  </w:t>
        <w:br/>
        <w:t xml:space="preserve">Decision No. 16-D-03 of February 10, 2016  </w:t>
        <w:br/>
        <w:t xml:space="preserve">regarding practices implemented in the sector of waste  </w:t>
        <w:br/>
        <w:t xml:space="preserve">of electrical and electronic equipment  </w:t>
        <w:br/>
        <w:t xml:space="preserve">The Competition Authority (section V),  </w:t>
        <w:br/>
        <w:t xml:space="preserve">Having regard to the requests registered on April 27, 2015 under numbers 15/0042F and 15/0043M by which the company European Recycling Platform France (ERP) referred to the Competition Authority a request for interim measures in support of a referral concerning practices implemented in the sector of waste of electrical and electronic equipment;  </w:t>
        <w:br/>
        <w:t xml:space="preserve">Having regard to Article 102 of the Treaty on the Functioning of the European Union (TFEU);  </w:t>
        <w:br/>
        <w:t xml:space="preserve">Having regard to Book IV of the Commercial Code;  </w:t>
        <w:br/>
        <w:t xml:space="preserve">Having regard to the observations submitted by the company ERP as well as by the company Eco-systèmes;  </w:t>
        <w:br/>
        <w:t xml:space="preserve">Having regard to the business secrecy decisions 15-DSA-206 of June 3, 2015, 15-DSA-236 of June 26, 2015, 15-DSA-250 of July 27, 2015, 15-DEC-57 of December 21, 2015, 15-DSA-263 of July 27, 2015, 15-DSA-278 of August 6, 2015, 15-DSA-400 of December 1, 2015, 15-DEC-58 of December 21, 2015;  </w:t>
        <w:br/>
        <w:t xml:space="preserve">Having regard to the other documents in the file;  </w:t>
        <w:br/>
        <w:t xml:space="preserve">The rapporteur, the deputy general rapporteur, the government commissioner, and the representatives of the companies ERP and Eco-systèmes, heard during the session of the Competition Authority on January 21, 2016;  </w:t>
        <w:br/>
        <w:t>Adopts the following decision:</w:t>
      </w:r>
    </w:p>
    <w:p>
      <w:r>
        <w:t xml:space="preserve">I. Findings  </w:t>
        <w:br/>
        <w:t xml:space="preserve">A. THE SECTOR OF ACTIVITY  </w:t>
        <w:br/>
        <w:t xml:space="preserve">1. In accordance with European Directive 2002/96/EC revised by Directive 2012/19/EU, the Environmental Code has established a system to ensure the collection, removal, and treatment of waste electrical and electronic equipment (hereinafter WEEE), which includes household WEEE and professional WEEE. The practices in question concern only the first category.  </w:t>
        <w:br/>
        <w:t xml:space="preserve">2. Article L. 541-10, II, paragraph 1 of the Environmental Code provides that: "In application of the principle of extended producer responsibility, producers, importers, and distributors of these products or the elements and materials used in their manufacture may be required to provide for or contribute to the management of the waste resulting from them." The sector of WEEE being covered by the principle of extended producer responsibility, the companies concerned by this category of waste must bear all or part of the cost of their treatment according to modalities defined by the regulations.  </w:t>
        <w:br/>
        <w:t xml:space="preserve">3. In this case, producers (manufacturers, importers, resellers under their brand, etc.) can, to ensure the handling and disposal of the waste generated by the products they market at the end of their life, either set up an individual collection and treatment system, or join an eco-organization to which they transfer this individual responsibility. Eco-organizations are approved by ministerial order, based on a specifications document that specifies their obligations.  </w:t>
        <w:br/>
        <w:t xml:space="preserve">4. Since the creation of the household WEEE system, all producers of electrical and electronic equipment (hereinafter EEE) have joined an approved eco-organization and none have set up an individual system.  </w:t>
        <w:br/>
        <w:t xml:space="preserve">5. Four eco-organizations were approved in 2006, then renewed for the period 2010-2014. Three of them, European Recycling Platform France (hereinafter ERP), Eco-systèmes, and Ecologic, are generalist eco-organizations that handle all EEE other than lamps (categories 1 to 10, except category 5), while the fourth, Récyclum, is only approved for lamps (category 5).  </w:t>
        <w:br/>
        <w:t xml:space="preserve">6. A coordinating body OCA WEEE was created in 2006 to coordinate certain activities of these four eco-organizations and more specifically the management of their relationships with local authorities managing waste disposal sites.  </w:t>
        <w:br/>
        <w:t xml:space="preserve">1. THE HOUSEHOLD WEEE SYSTEM  </w:t>
        <w:br/>
        <w:t xml:space="preserve">a) The financing of the WEEE system  </w:t>
        <w:br/>
        <w:t>7. The member producers pay contributions to the eco-organizations calculated based on a scale applied to the quantities of equipment they sell, in application of the regulations which require that costs be distributed each year among producers in proportion to the tonnages of equipment they market that same year.</w:t>
      </w:r>
    </w:p>
    <w:p>
      <w:r>
        <w:t xml:space="preserve">8. The law provides that the contribution paid by the producer is passed on identically to the final consumer who pays it at the time of purchasing the equipment in question. It appears on invoices and is displayed at the point of sale, which is why it is called a "visible contribution."  </w:t>
        <w:br/>
        <w:t xml:space="preserve">9. It should be noted that this contribution does not serve as a price paid in exchange for a service rendered in connection with the purchased goods: indeed, the surcharges paid by each final consumer and transferred by the producer to the eco-organizations are not used for the reprocessing of the goods that have just been purchased but simply allow, through retail market sales, the collection of revenues that will augment the budgets of the eco-organizations. These organizations use them to finance the treatment of old equipment that is discarded by their owners and has generally been marketed several years earlier, often by different companies.  </w:t>
        <w:br/>
        <w:t xml:space="preserve">b) The use of contributions by the eco-organizations of the WEEE system  </w:t>
        <w:br/>
        <w:t xml:space="preserve">10. In addition to a mission of information and promotion of selective collection and treatment of WEEE, eco-organizations are primarily required to organize and finance on behalf of their members, on the one hand, the selective collection of household WEEE and on the other hand, the removal and treatment of this waste. In this regard, eco-organizations transfer part of their revenues to the various actors in the sector.  </w:t>
        <w:br/>
        <w:t xml:space="preserve">11. The selective collection of WEEE is mainly carried out by distributors, social and solidarity economy structures, and local authorities. According to ADEME, the latter collected in 2014, 68% of household WEEE through the channel of waste disposal sites. The removal and treatment of the WEEE thus collected are carried out by service providers with whom the eco-organizations enter into contracts, possibly for a specific range of products.  </w:t>
        <w:br/>
        <w:t xml:space="preserve">12. Eco-organizations have obligations for the removal and treatment of WEEE set to cover all the waste that has been separately collected by the various actors in the collection. The share of waste that must be removed and treated by each generalist eco-organization is calculated in proportion to the tonnages of equipment placed on the market by its member producers. This share is defined in the form of a total volume of waste to be treated without distinguishing between the different categories of WEEE that fall within the scope of their approval.  </w:t>
        <w:br/>
        <w:t xml:space="preserve">13. For their part, local authorities do not choose the eco-organization responsible for treating their waste but enter into an agreement with the OCA WEEE that names the reference eco-organization that will be responsible for the removal and then the treatment of the WEEE they collect. Only one generalist eco-organization is designated by the agreement for all categories of waste. It is therefore not a market mechanism but a mechanism for the coordinated distribution of waste volumes on a geographical basis according to the financial capacities of each eco-organization. Unlike local authorities, other collection channels contract directly with the eco-organization without going through the coordinating body OCA WEEE.  </w:t>
        <w:br/>
        <w:t>14. Generalist eco-organizations must thus remove and treat all WEEE collected, notably by local authorities, without being able to select or refuse certain categories of waste. It is therefore on all categories of products for which they are approved and on all of their activity that the costs that must be covered by the contribution scale are defined and supported.</w:t>
      </w:r>
    </w:p>
    <w:p>
      <w:r>
        <w:rPr>
          <w:b/>
        </w:rPr>
        <w:t>[Pages 4–6]</w:t>
      </w:r>
    </w:p>
    <w:p>
      <w:r>
        <w:t xml:space="preserve">15. The absence of a link between the revenue-generating events and the expense-generating events has led public authorities to establish budget balancing mechanisms and rules for the use of any surplus revenue.  </w:t>
        <w:br/>
        <w:t xml:space="preserve">16. Eco-organizations operating as non-profit entities without the ability to distribute profits to their shareholders must address any discrepancy between revenue and expenses through a provisioning mechanism. The specifications applicable for the period from 2010 to 2014 set the authorized provision ceiling at twelve months of contributions. In the event that this ceiling is exceeded due to recurring surplus revenue, the specifications provide for the possibility for the eco-organization to adopt a gradual clearance plan for the provisions by adjusting the level of contributions it collects from its member producers.  </w:t>
        <w:br/>
        <w:t xml:space="preserve">17. Eco-organizations therefore construct a contribution scale that must allow them to find a balance between overall revenues and expenses by following an essentially budgetary logic rather than a pricing logic since their revenues depend on the quantities of newly marketed equipment by their members while their expenses are linked to the quantities of waste they are required to process based on their capacities. The validity of the contribution scale of each eco-organization can therefore only be assessed globally across all its activities.  </w:t>
        <w:br/>
        <w:t xml:space="preserve">2. THE COMPANIES CONCERNED  </w:t>
        <w:br/>
        <w:t xml:space="preserve">a) ERP  </w:t>
        <w:br/>
        <w:t xml:space="preserve">18. European Recycling Platform France (ERP) is an eco-organization created by four producers of EEE. In June 2014, the four founders of ERP sold 99% of their capital to the German company Topengi Deutschland GmbH, a subsidiary of the German eco-organization Groupe Landbell. ERP was approved as an eco-organization for the household WEEE sector from 2006 to 2014. This activity ended on January 1, 2015, following the refusal to renew its approval. ERP contests this refusal before the administrative court.  </w:t>
        <w:br/>
        <w:t xml:space="preserve">19. In 2014, ERP received, according to ADEME, 12.1 million euros in contributions from 474 member producers.  </w:t>
        <w:br/>
        <w:t xml:space="preserve">b) Eco-systèmes  </w:t>
        <w:br/>
        <w:t xml:space="preserve">20. Eco-systèmes is an eco-organization created by thirty-three producers of EEE (manufacturers and distributors). Its approval for the household WEEE sector has been regularly renewed since 2006.  </w:t>
        <w:br/>
        <w:t xml:space="preserve">21. For the year 2014, according to ADEME, Eco-systèmes received 105.7 million euros in contributions from 2520 member producers, which represents 75% of the total contributions received by generalist eco-organizations.  </w:t>
        <w:br/>
        <w:t xml:space="preserve">B. THE PRACTICES IN QUESTION  </w:t>
        <w:br/>
        <w:t xml:space="preserve">1. THE COMPLAINT BY ERP  </w:t>
        <w:br/>
        <w:t xml:space="preserve">22. ERP denounces practices of abuse of the dominant position of Eco-systèmes in a market defined as the "French market for membership for the removal and treatment of screens," contrary to Articles L.420-2 of the Commercial Code and 102 TFEU.  </w:t>
        <w:br/>
        <w:t xml:space="preserve">23. The main abuse would consist of a predatory pricing practice in the screen treatment segment. According to ERP, Eco-systèmes reduced the contribution scale it receives on screens by 40% on September 1, 2013, in order to eliminate its competitors from the relevant market segment. Based on a cost test, the complainant estimates that Eco-systèmes would not cover its average avoidable costs, which would allow for the presumption of an exclusionary strategy. Regarding these same rates, ERP also denounces, in the alternative, the implementation of abusively low prices contrary to the provisions of Article L.420-5 of the Commercial Code.  </w:t>
        <w:br/>
        <w:t xml:space="preserve">24. Furthermore, ERP believes that the reductions in Eco-systèmes' contribution scale in 2013 were targeted at a few categories of products (mainly screens and small household appliances) that particularly concern producers with whom ERP was in negotiations for potential membership. These reductions would, according to ERP, amount to a loyalty discount practice aimed at producers likely to join it.  </w:t>
        <w:br/>
        <w:t xml:space="preserve">25. Finally, ERP denounces the clause in the membership contract of Eco-systèmes which stipulates that membership covers all household EEE for which Eco-systèmes has been approved. This clause would prevent producers from choosing different eco-organizations for each of these categories of EEE and would amount to an anti-competitive exclusivity clause.  </w:t>
        <w:br/>
        <w:t xml:space="preserve">26. In addition to the main complaint, ERP has filed a request for interim measures against Eco-systèmes.  </w:t>
        <w:br/>
        <w:t xml:space="preserve">2. THE REVISION OF ECO-SYSTÈMES' CONTRIBUTION SCALE IN 2013  </w:t>
        <w:br/>
        <w:t xml:space="preserve">27. In 2010, when the provisions regarding the capping of provisions came into force, their cumulative amount for Eco-systèmes was sixteen months of contributions, a level higher than the twelve-month ceiling set by the specifications. According to Eco-systèmes, these surpluses are mainly explained by the fact that the contribution scale was set in 2006 based on forecasts of collection volumes made at the operational start of the sector, which turned out to be erroneous.  </w:t>
        <w:br/>
        <w:t xml:space="preserve">28. As part of its new approval, Eco-systèmes implemented a gradual clearance plan for its provisions, which relied, on the one hand, on an investment in the development of collection and, on the other hand, on a partial revision of the contribution scale for certain equipment. A first revision of the scale concerned, as of January 1, 2013, all small household appliances as well as certain equipment from categories 3, 4, and 7. This revision aimed to bring the scale closer to actual costs and resulted in reductions ranging from 50% to 69% compared to the previous scale of 2011.  </w:t>
        <w:br/>
        <w:t xml:space="preserve">29. The second revision, on September 1, 2013, concerned televisions and computer screens. Eco-systèmes explained that this revision was justified by the technological evolution of these products. Liquid crystal (LCD) technology and then light-emitting diode (LED) technology allow for the production of increasingly larger screens that maintain a weight much lower than that of screens from the old cathode ray tube technology. However, Eco-systèmes' contributions were based on screen size while those of competing eco-organizations were based on screen weight. As a result, the amount of Eco-systèmes' contribution increased while that of its competitors decreased.  </w:t>
        <w:br/>
        <w:t xml:space="preserve">30. To resolve the issue of a growing gap between Eco-systèmes' scale and those of its competitors, Eco-systèmes aligned itself, on September 1, 2013, with the scale practiced by Ecologic since July 2011.  </w:t>
        <w:br/>
        <w:t xml:space="preserve">31. The clearance plan for the provisions had the desired effect since in 2013 and 2014, revenues were lower than expenses and financial balance was achieved through recoveries on provisions.  </w:t>
        <w:br/>
        <w:t xml:space="preserve">II. Discussion  </w:t>
        <w:br/>
        <w:t xml:space="preserve">32. Article L. 462-8 of the Commercial Code provides that the Competition Authority may: "reject the complaint by reasoned decision when the alleged facts are not supported by sufficiently probative elements." Furthermore, Article R.464-1 of the same code states that: "the request for interim measures mentioned in Article L. 464-1 can only be made incidentally to a main complaint to the Competition Authority."  </w:t>
        <w:br/>
        <w:t xml:space="preserve">a) On the allegation of predatory pricing  </w:t>
        <w:br/>
        <w:t xml:space="preserve">33. The demonstration of the existence of predatory pricing relies, according to consistent case law, on the comparison of the prices of the goods or services in question and the costs incurred to produce them.  </w:t>
        <w:br/>
        <w:t xml:space="preserve">34. However, in this case, as indicated in points 9 and 17 above, this potential demonstration is hindered by the fact that the waste treatment system is based on a triple mutualization of revenues and expenses that prevents any relevant comparison between a price and a cost for the same category of equipment.  </w:t>
        <w:br/>
        <w:t xml:space="preserve">35. The first is a temporal mutualization: revenues based on the purchases of new goods currently finance the reprocessing of obsolete goods purchased several years earlier, this number of years being itself very variable depending on the nature of the goods and the individual behaviors of consumers.  </w:t>
        <w:br/>
        <w:t>36. The second is an inter-brand mutualization: revenues collected from goods marketed today by active operators can be used to finance the reprocessing of waste corresponding to goods sold by other operators, some of whom have sometimes disappeared from the market or have been acquired by competitors and who, when still active, may be members of a different eco-organization than the one receiving the revenues.</w:t>
      </w:r>
    </w:p>
    <w:p>
      <w:r>
        <w:rPr>
          <w:b/>
        </w:rPr>
        <w:t>[Pages 7–8]</w:t>
      </w:r>
    </w:p>
    <w:p>
      <w:r>
        <w:t>37. The third is a geographical pooling, which leads to a pooling of all products at the local level: when collection is carried out through local authorities, the eco-organization contracted with the managing local authority of a waste disposal site must process all waste presented to it without distinguishing between that of its members and that of the members of competing eco-organizations.</w:t>
      </w:r>
    </w:p>
    <w:p>
      <w:r>
        <w:t>38. For example, Eco-systèmes mentioned the case of computer printers for which it is the main reprocessing operator, given its very significant market share among local authorities, while the producers of these goods are mostly members of its competitor Ecologic, which groups shareholders from the computer equipment sector. The ratio between the volumes of new printers placed on the market by the members of Eco-systèmes and the volumes of printers discarded that this eco-organization collects and processes would be one to nine, making any cost test to evaluate the level of its contributions for this category of equipment impossible.</w:t>
      </w:r>
    </w:p>
    <w:p>
      <w:r>
        <w:t>39. The same reasoning applies to other equipment, notably screens. No relevant cost test by category of goods being possible, one cannot legally characterize a predatory pricing practice limited to screens alone.</w:t>
      </w:r>
    </w:p>
    <w:p>
      <w:r>
        <w:t>40. Incidentally, the mention of a practice of "abnormally low prices" by ERP is irrelevant for qualifying the contributions of producers since the provisions of Article L 420-5 of the Commercial Code only apply to prices charged to consumers.</w:t>
      </w:r>
    </w:p>
    <w:p>
      <w:r>
        <w:t>b) On the allegation of abusive loyalty discounts</w:t>
      </w:r>
    </w:p>
    <w:p>
      <w:r>
        <w:t>41. ERP argues that the targeted reduction of contributions by Eco-systèmes would amount to a practice of abusive discounts as it is intended to undermine its negotiations with producers who wish to leave Eco-systèmes to join it.</w:t>
      </w:r>
    </w:p>
    <w:p>
      <w:r>
        <w:t>42. However, such a practice that seeks to grant targeted discounts to a few producers is not credible since the same scale applies to all members. Indeed, these members have different brand portfolios and product ranges (white goods, brown goods, IT, small appliances) and are therefore affected differently by changes in the scale. Being subject to a global budgetary balance constraint, Eco-systèmes could not adopt a pricing change intended to favor certain contributors on part of their range without penalizing its other products or other producers on all or part of their range. These differentiated effects would also be quite unpredictable given that the organization has several hundred members.</w:t>
      </w:r>
    </w:p>
    <w:p>
      <w:r>
        <w:t>43. The complainant has not provided any serious evidence to support its allegation that the provisioning clearance plan of Eco-systèmes, approved by all shareholders, was designed to have a loyalty effect on certain of them.</w:t>
      </w:r>
    </w:p>
    <w:p>
      <w:r>
        <w:t>c) On the allegation of an abusive exclusivity clause</w:t>
      </w:r>
    </w:p>
    <w:p>
      <w:r>
        <w:t>44. ERP finally argues that the clause in the membership contract of Eco-systèmes stipulating that a member must provide its contributions for all categories of household WEEE would be an exclusivity clause contrary to the provisions of the Commercial Code as it would hinder the ability of producers to distribute their contributions among several organizations based on the prices offered.</w:t>
      </w:r>
    </w:p>
    <w:p>
      <w:r>
        <w:t>45. However, the missions of eco-organizations are defined globally without distinguishing between the different categories of WEEE that fall within the scope of their approval, and they cannot therefore adjust their contribution scale based on the interests of each member or negotiate with them as if it were a price. A global membership contract is therefore consistent with the budgetary logic and the pooling mechanisms that have been described previously.</w:t>
      </w:r>
    </w:p>
    <w:p>
      <w:r>
        <w:t>46. Additionally, it should be noted that the contested membership contract is concluded for a duration of one year, renewable by tacit agreement, and can be terminated at any time, subject to three months' notice. These provisions are, in themselves, unlikely to have an effect on the market. The complainant does not provide any evidence to show that this type of global contract could hinder competition among eco-organizations.</w:t>
      </w:r>
    </w:p>
    <w:p>
      <w:r>
        <w:t>d) Conclusion</w:t>
      </w:r>
    </w:p>
    <w:p>
      <w:r>
        <w:t>47. It follows from all of the above that the facts invoked in the context of the ERP complaint are not supported by sufficiently probative elements to substantiate the existence of practices that would have the object or effect of hindering the free play of competition.</w:t>
      </w:r>
    </w:p>
    <w:p>
      <w:r>
        <w:t>48. Consequently, it is appropriate to apply the provisions of Article L. 462-8 of the Commercial Code and to dismiss the complaint registered under number 15/0042F and, therefore, the request for interim measures registered under number 15/0043M.</w:t>
      </w:r>
    </w:p>
    <w:p>
      <w:r>
        <w:t>DECISION</w:t>
      </w:r>
    </w:p>
    <w:p>
      <w:r>
        <w:t>Article 1: The complaint of the company ERP registered under number 15/0042F is dismissed.</w:t>
      </w:r>
    </w:p>
    <w:p>
      <w:r>
        <w:t>Article 2: The request for interim measures of the company ERP registered under number 15/0043M is dismissed.</w:t>
      </w:r>
    </w:p>
    <w:p>
      <w:r>
        <w:t>Deliberated on the oral report of Ms. Florence Ribeiro, rapporteur, and the intervention of Mr. Éric Cuziat, deputy general rapporteur, by Mr. Thierry Dahan, vice-president, president of the session, Ms. Laurence Idot, Ms. Pierrette Pinot, and Ms. Carol Xueref, members.</w:t>
      </w:r>
    </w:p>
    <w:p>
      <w:r>
        <w:t>The session secretary, The president,</w:t>
        <w:br/>
        <w:t>Claire Villeval 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