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https://www.autoritedelaconcurrence.fr/fr/decision/relative-des-pratiques-mises-en-oeuvre-dans-le-secteur-des-eaux-de-vie-de-cognac-par-le</w:t>
      </w:r>
    </w:p>
    <w:p>
      <w:r>
        <w:t>Pages translated : 14</w:t>
      </w:r>
    </w:p>
    <w:p/>
    <w:p>
      <w:r>
        <w:rPr>
          <w:b/>
        </w:rPr>
        <w:t>[Pages 1–3]</w:t>
      </w:r>
    </w:p>
    <w:p>
      <w:r>
        <w:t>FRENCH REPUBLIC</w:t>
        <w:br/>
        <w:t>Decision No. 06-D-21 of July 21, 2006</w:t>
        <w:br/>
        <w:t>regarding practices implemented in the sector</w:t>
        <w:br/>
        <w:t>of Cognac eaux-de-vie by the National Interprofessional Bureau</w:t>
        <w:br/>
        <w:t>of Cognac</w:t>
        <w:br/>
        <w:t>The Competition Council (Section I),</w:t>
        <w:br/>
        <w:t>Having regard to the referral registered on November 29, 2005, under number 05/0092F, by which the Committee for the Defense of Charentaise Viticulture - MODEF referred to the Competition Council a complaint regarding the practices implemented by the National Interprofessional Bureau of Cognac (BNIC) in the market for Cognac eaux-de-vie, accompanied by a request for interim measures registered under number 05/0093M;</w:t>
        <w:br/>
        <w:t>Having regard to the Treaty establishing the European Community, in particular Articles 32, 36, 81, and 82;</w:t>
        <w:br/>
        <w:t>Having regard to Book IV of the Commercial Code relating to price freedom and competition and Decree No. 2002-689 of April 30, 2002, as amended, setting the conditions for its application;</w:t>
        <w:br/>
        <w:t>Having regard to the Rural Code, in particular Articles L. 632-1 to L. 632-11;</w:t>
        <w:br/>
        <w:t>Having regard to the observations presented by the Committee for the Defense of Charentaise Viticulture - MODEF, the National Interprofessional Bureau of Cognac, as well as by the Government Commissioner;</w:t>
        <w:br/>
        <w:t>Having regard to the other documents in the file;</w:t>
        <w:br/>
        <w:t>The rapporteur, the deputy rapporteur general, the Government Commissioner, as well as the representatives of the Committee for the Defense of Charentaise Viticulture - MODEF, and the National Interprofessional Bureau of Cognac, heard during the session of May 23, 2006,</w:t>
        <w:br/>
        <w:t>Adopts the following decision:</w:t>
      </w:r>
    </w:p>
    <w:p>
      <w:r>
        <w:t>I. Findings</w:t>
        <w:br/>
        <w:t>A. THE CHARENTES VINEYARD, COGNAC PRODUCTION, AND THE RELEVANT PROFESSIONAL ORGANIZATIONS</w:t>
        <w:br/>
        <w:t>1. THE VINEYARD AND COGNAC</w:t>
        <w:br/>
        <w:t>1. The Charentes vineyard is the largest vineyard in the world specialized in the production of wine intended for distillation to produce eaux-de-vie (72,724 hectares in 2004). The eaux-de-vie produced there benefits from a controlled designation of origin. The decree of May 15, 1936, which establishes this, assimilates the designations Cognac, Eau-de-vie de Cognac, and Eau-de-vie des Charentes. In practice, the designation of Cognac is reserved for the product delivered by the trade to the final consumer. Most of the marketed Cognac is the result of aging and blending of several eaux-de-vie.</w:t>
        <w:br/>
        <w:t>2. The delimited Cognac region covers most of the departments of Charente and Charente-Maritime. Six crus or sub-designations share the delimited region: Grande Champagne, Petite Champagne, Borderies, Fins Bois, Bons Bois, and Bois Ordinaires. Most of the Cognacs sold by trade are derived from blends of these different origins.</w:t>
        <w:br/>
        <w:t>2. THE COMMITTEE FOR THE DEFENSE OF CHARANTAIS VITICULTURE – MODEF</w:t>
        <w:br/>
        <w:t>3. The Committee for the Defense of Charentaise Viticulture – MODEF (hereinafter "CDVC-MODEF"), an association subject to the provisions of the law of July 1, 1901, was created on December 28, 1960. Its members are winegrowers from the delimited Cognac region as well as agricultural professional organizations whose activities extend to said region. The purpose of this association is to ensure "the representation and defense of the material, moral, and social interests of the winegrowers of the delimited region." The CDVC-MODEF can therefore be regarded as a professional organization that can refer to the Competition Council under Article L. 462-5 of the Commercial Code.</w:t>
        <w:br/>
        <w:t>3. THE NATIONAL INTERPROFESSIONAL BUREAU OF COGNAC</w:t>
        <w:br/>
        <w:t>4. Under its current status, the National Interprofessional Bureau of Cognac (hereinafter "BNIC") is established based on a decree from the Minister of Agriculture dated April 10, 1987. It is primarily composed of representatives from the viticulture and Cognac trade, appointed by the Minister upon the proposal of professional organizations. It was recognized as an interprofessional organization within the meaning of Articles L. 632-1 to L. 632-11 of the Rural Code by an interministerial decree dated July 24, 1989.</w:t>
      </w:r>
    </w:p>
    <w:p>
      <w:r>
        <w:t>5. Article 11 of the decree of April 10, 1987, assigns it the following objectives:</w:t>
        <w:br/>
        <w:t>− to conduct all studies concerning the production and marketing of wines and Cognac eaux-de-vie, to centralize statistics, and to gather all economic information necessary for this activity;</w:t>
        <w:br/>
        <w:t>− to propose to public authorities all measures related to the organization of the market for wines and Cognac eaux-de-vie and their marketing, in compliance with community regulations;</w:t>
        <w:br/>
        <w:t>− in conjunction with the National Institute of Appellations of Origin, to ensure the strict application of local, fair, and consistent practices, both in the production and trade of Cognac. To control, notably by all appropriate means, the production, conservation, and sale of Cognac eaux-de-vie;</w:t>
        <w:br/>
        <w:t>− to ensure the control of ages and the maintenance of aging accounts as well as the issuance of age certificates for the export of Cognac eaux-de-vie;</w:t>
        <w:br/>
        <w:t>− to ensure the proper harmonization of relations between the various interested professions;</w:t>
        <w:br/>
        <w:t>− to enter into all useful agreements with the administrations and organizations responsible for regulating the designations of origin and the market for wines and eaux-de-vie.</w:t>
        <w:br/>
        <w:t>6. The BNIC, whose decisions are mandatory, pursuant to Article 12 of the aforementioned decree, for all producers, cooperatives, trading houses, intermediaries, and distributors, exercises its powers over the entire delimited region of the controlled designation of origin of Cognac eaux-de-vie. Its decisions are subject to the approval of the administration, which may be tacit.</w:t>
        <w:br/>
        <w:t>7. As a recognized interprofessional organization, the BNIC can, based on Article L. 632-1 of the Rural Code, define and promote contractual approaches among its members, contribute to market management, notably through "a better adaptation of products in quantitative and qualitative terms."</w:t>
        <w:br/>
        <w:t>8. Based on paragraph I of Article L. 632-2 of the Rural Code, it can be consulted by the administrative authority on the orientations and measures of the sector policies concerning it.</w:t>
        <w:br/>
        <w:t>9. Based on paragraph II of the same article, the BNIC can, it seems, conclude agreements within itself "aiming to adapt supply to demand [provided that they do not involve] other restrictions of competition than those resulting from:</w:t>
        <w:br/>
        <w:t>- a coordinated and forecast programming of production according to outlets;</w:t>
        <w:br/>
        <w:t>- a quality improvement plan for products resulting in a direct limitation of production volume;</w:t>
        <w:br/>
        <w:t>- a limitation of production capacities;</w:t>
        <w:br/>
        <w:t>- a temporary restriction on access for new operators according to objective criteria applied in a non-discriminatory manner;</w:t>
        <w:br/>
        <w:t>- the setting of selling prices by producers or the prices for the purchase of raw materials."</w:t>
      </w:r>
    </w:p>
    <w:p>
      <w:r>
        <w:rPr>
          <w:b/>
        </w:rPr>
        <w:t>[Pages 4–6]</w:t>
      </w:r>
    </w:p>
    <w:p>
      <w:r>
        <w:t>10. The provision in question specifies that such agreements must be adopted unanimously by the member professions of the interprofessional organization and that the measures they implement are among the practices mentioned in paragraph 1 of Article 10 of Ordinance No. 86-1243 of December 1, 1986, relating to price freedom and competition (now Article L. 420-4 of the Commercial Code). For reference, this text provides that practices resulting from a legislative or regulatory text taken for its application are not subject to the provisions of Articles L. 420-1 and L. 420-2 of the Commercial Code, which prohibit anti-competitive agreements and abuses of dominant position.</w:t>
      </w:r>
    </w:p>
    <w:p>
      <w:r>
        <w:t>11. Article L. 632-3 of the Rural Code adds that agreements concluded within the framework of a recognized interprofessional organization may be extended by the competent authority, particularly when they aim at a common interest in line with the general interest and are compatible with the rules of the common agricultural policy, and that they seek to promote knowledge of supply and demand, the adaptation and regularization of supply, the implementation, under the control of the State, of marketing rules, prices, and payment conditions. Article L. 632-4 of the Rural Code specifies that when the extension is decided, the measures thus provided are mandatory, in the area of production concerned, for all members of the professions constituting the interprofessional organization. The competent authority has a period of two months from the receipt of the request submitted by the interprofessional organization to decide on the requested extension. If, at the end of this period, it has not notified its decision, the request is deemed accepted.</w:t>
      </w:r>
    </w:p>
    <w:p>
      <w:r>
        <w:t>B. THE LEGAL CONTEXT OF THE MARKET</w:t>
        <w:br/>
        <w:t>1. THE WINE REGULATION</w:t>
        <w:br/>
        <w:t>12. Council Regulation (EC) No. 1493/1999 of May 17, 1999, on the common organization of the wine market (OJEC L 179, p. 1) provides, in its Article 28, a specific regime for "wines made from grape varieties that are simultaneously listed for the same administrative unit as varieties for wine production and as varieties for other uses." These wines are subject to mandatory distillation for the portion of their production exceeding the "quantities normally vinified" (hereinafter QNV). The regulation sets a purchase price for the producer of wine delivered for mandatory distillation of 1.34 euros per degree of alcohol per hectoliter, on average over a campaign. In the following decision, reference will be made to "distillation under Article 28."</w:t>
      </w:r>
    </w:p>
    <w:p>
      <w:r>
        <w:t>13. Several regulations from the European Commission set the modalities for the application of Regulation No. 1493/1999 concerning market mechanisms.</w:t>
      </w:r>
    </w:p>
    <w:p>
      <w:r>
        <w:t>14. For these so-called "dual-purpose" wines and for each administrative unit, the QNV is set based on a reference constituted by the average quantities vinified during the wine campaigns from 1974-1975 to 1979-1980, with certain adjustments concerning, in particular, the delimited region of Cognac.</w:t>
      </w:r>
    </w:p>
    <w:p>
      <w:r>
        <w:t>15. Article 52 of Commission Regulation (EC) No. 1623/2000 of July 25, 2000 (OJEC L 194, p. 45), provides that the QNV per hectare is set by the concerned Member States.</w:t>
      </w:r>
    </w:p>
    <w:p>
      <w:r>
        <w:t>16. An interministerial decree finalizes each year the system established by the common market organization for each concerned region (Cognac and Armagnac in the case of France). For the year 2005, the joint decree of September 19, 2005, from the Minister of Agriculture and the Minister Delegate for the Budget, relating to the distillation of wines in the delimited Cognac region (JORF No. 227 of September 29, 2005, p. 15,605), sets the QNV at 8.3 hectoliters of pure alcohol per hectare and thus obliges winegrowers to deliver for withdrawal distillation the wines produced beyond this yield. Each winegrower is assigned an individual QNV based on the area of vineyard they operate.</w:t>
      </w:r>
    </w:p>
    <w:p>
      <w:r>
        <w:t>17. According to Article 3 of the aforementioned decree, the yield is expressed in hectoliters of pure alcohol although, in accordance with the new wording of Article 52 of Regulation (EC) No. 1623/2000, the determination of the quantity normally vinified encompasses wines intended for the production of Cognac, musts intended for the production of Pineau des Charentes, musts and wines intended for another traditional destination, and musts and wines claimed as Charentais country wines.</w:t>
      </w:r>
    </w:p>
    <w:p>
      <w:r>
        <w:t>18. Criminal and fiscal sanctions are provided to ensure compliance with the aforementioned provisions:</w:t>
        <w:br/>
        <w:t>− Ordinance No. 59-125 of January 7, 1959, relating to the repression of offenses in the wine sector provides for a maximum fixed fine of 3,750 euros in case of exceeding the QNV by the winegrower;</w:t>
        <w:br/>
        <w:t>− Law No. 2005-157 of February 23, 2005, relating to the development of rural areas, amended Article 1794 of the CGI and aggravated the repression of exceeding the QNV. Under this text, failure to deliver for distillation under Article 28 results in a penalty of one to three times the amount of the products or goods subject to the fraud.</w:t>
      </w:r>
    </w:p>
    <w:p>
      <w:r>
        <w:t>2. COGNAC EAU-DE-VIE IN LIGHT OF COMMUNITY LAW</w:t>
        <w:br/>
        <w:t>19. As the Court of Justice of the European Communities noted, particularly in the judgment of January 30, 1985, BNIC/Clair (123/83, Rec. p. 391, point 15), Cognac eau-de-vie is excluded from the list of agricultural products listed in Annex I of the Treaty establishing the European Community to which, under Article 32 EC, the specific rules provided for by said treaty for agriculture apply. It is notably on the basis of this finding that in this judgment, as well as in the judgment of December 3, 1987, BNIC/Aubert (136/86, Rec. p. 4789), the Court essentially ruled that competition restrictions such as the establishment of a minimum purchase price for eau-de-vie to winegrowers by merchants or the setting of production quotas for eau-de-vie by winegrowers, decided within the interprofessional framework of the BNIC, and then made mandatory by public authorities through an extension decree, were contrary to the provisions of Article 81 EC. In this regard, the Court noted that the intervention of public authorities aimed at making these decisions mandatory could not exempt them from the scope of Article 81 EC and that the concerned Member State failed in its obligations under the treaty by reinforcing through such intervention the effect of the anti-competitive agreements in question.</w:t>
      </w:r>
    </w:p>
    <w:p>
      <w:r>
        <w:t>20. The context of the BNIC's intervention has, however, changed since the time when these judgments were rendered. The limitation of the production of eau-de-vie now results from the QNV mechanism, which concerns its raw material, wine, and is provided for by a community agricultural regulation. Competition law must therefore be applied taking into account the community measures in question and the fact that the market directly regulated by these measures is that of an agricultural product. It should be recalled that Article 36 EC stipulates that the competition rules of the EC Treaty are applicable to the production and trade of agricultural products only to the extent determined by the Council of the European Union. In this regard, Regulation No. 26 of the Council, of April 4, 1962, applying certain competition rules to the production and trade of agricultural products (OJ 30, p. 993) must be considered. Article 1 notably renders Article 81 EC applicable to these activities, subject to the provisions of Article 2. Paragraph 1 of the latter states:</w:t>
        <w:br/>
        <w:t>"Article [81, paragraph 1, EC] is inapplicable to agreements, decisions, and practices (...) that are an integral part of a national market organization or that are necessary for achieving the objectives set out in Article [33 EC]. It does not apply in particular to agreements, decisions, and practices of agricultural operators, associations of agricultural operators, or associations of these associations belonging to a single Member State, insofar as, without imposing the obligation to practice a specific price, they concern the production or sale of agricultural products or the use of common storage, processing, or transformation facilities for agricultural products, unless the Commission finds that competition is thereby excluded or that the objectives of Article [33 EC] are jeopardized."</w:t>
      </w:r>
    </w:p>
    <w:p>
      <w:r>
        <w:t>C. THE CHARACTERISTICS OF THE WHITE WINE MARKET AND THE COGNAC EAU-DE-VIE MARKET</w:t>
        <w:br/>
        <w:t>1. THE SUPPLY</w:t>
        <w:br/>
        <w:t>21. Unlike what is the case for controlled designation of origin wines, the quality of Cognac white wine is not ensured by low yields. The distillation of Cognac eau-de-vie, which benefits from a controlled designation of origin, requires wines of low degrees and high acidity obtained within a wide range of yields around 120 hectoliters per hectare, knowing that the annual yield depends on the size of the vine stocks but also on climatic conditions.</w:t>
      </w:r>
    </w:p>
    <w:p>
      <w:r>
        <w:t>22. The presentation of the production system of the Charentes vineyard requires a historical reminder. After exceptional plantings in the early 1970s, the vineyard reached an area of 110,000 hectares and the production of white wines a historic peak of 12.6 million hectoliters. By the end of this decade, a situation of overproduction set in, as global sales of Cognac had significantly decreased. Viticulture reacted to this decrease in deliveries of eau-de-vie to trade by supplying the table wine market, which itself was affected by chronic overproduction.</w:t>
      </w:r>
    </w:p>
    <w:p>
      <w:r>
        <w:t>23. At the community level, measures have been taken, as the first regulation dates back to 1970. Some of these measures were structural (grubbing up and reconversion) and subsequently the "dual-purpose" system and withdrawal distillation were established to act on market mechanisms. This system is still in effect even though its imminent disappearance is announced.</w:t>
      </w:r>
    </w:p>
    <w:p>
      <w:r>
        <w:rPr>
          <w:b/>
        </w:rPr>
        <w:t>[Pages 7–9]</w:t>
      </w:r>
    </w:p>
    <w:p>
      <w:r>
        <w:t>24. The measures taken have had significant effects:</w:t>
        <w:br/>
        <w:t>− the overall production of white wines from Cognac has decreased to around 8 million hectoliters per year;</w:t>
        <w:br/>
        <w:t>− the percentage of the harvest sold as Cognac eau-de-vie has risen to around 50%;</w:t>
        <w:br/>
        <w:t>− however, the "other destinations" (pineau, local country wine, musts for grape juice) are characterized by stable outlets.</w:t>
        <w:br/>
        <w:t>25. Nevertheless, distillation under Article 28 continues to absorb a significant portion of the harvest. For the years 1997 to 2002, it represented an average volume of 1.38 million hectoliters of wine. On April 2, 2002, in a mission letter addressed to Mr. A. X…, Chief Engineer of Rural Engineering, Water, and Forests, asking him to develop proposals for the evolution of the Charente vineyard, the Minister of Agriculture wrote (excerpts): "The Charente viticulture is facing a deep and lasting crisis, resulting from the mismatch between the volume of wines produced and the needs of the Cognac market. It is now accepted that the evolution of outlets will not resolve the crisis and that a clear reduction in the area of the vineyard in production will be necessary."</w:t>
        <w:br/>
        <w:t>2. THE DEMAND FOR EAU-DE-VIE</w:t>
        <w:br/>
        <w:t>26. The demand for eau-de-vie expressed by merchants to winegrowers is itself dependent on the demand for Cognac in the global market. It also depends on the state of their own stocks of eau-de-vie. Sales of Cognac across all markets (referred to as "shipments") are ensured 99.5% by merchants and only 0.5% by direct sellers (including distillers and cooperatives).</w:t>
        <w:br/>
        <w:t>27. Furthermore, exports represent 95.6% of shipments, amounting to approximately 1.3 billion euros in 2005. The United States alone absorbs more than 50% of the total. Young Cognacs account for more than half of the global market and 73% of the American market.</w:t>
        <w:br/>
        <w:t>3. THE CONFRONTATION OF SUPPLY AND DEMAND</w:t>
        <w:br/>
        <w:t>28. The confrontation between a demand emanating from a few large trading houses, each exploiting competing brands in the global luxury alcohol market, and a supply coming from several thousand independent winegrowers producing eau-de-vie occurs under conditions that are not very transparent.</w:t>
        <w:br/>
        <w:t>29. The market for Cognac eau-de-vie encompasses very diverse realities. The product is by no means homogeneous; it is differentiated first by its origin according to the various crus or sub-appellations, then by its aging, and finally by qualitative variables.</w:t>
        <w:br/>
        <w:t>30. Each merchant strives to have sufficient supplies in volume and quality, but this objective can be achieved by different means, which may vary depending on the state of the market. In periods of overproduction of eau-de-vie relative to demand, the merchant finds themselves in a strong position relative to the producer of the "raw material" that is eau-de-vie. They will simply seek to "loyalize" a limited number of producers. They may cover the rest of their potential needs through brokers, in a "second market" sometimes referred to as a "scrap market" by some winegrowers. In periods of strong demand and even more so increasing demand, the trade, to secure the necessary resource, strives to stabilize its relationships with producers through multi-year contracts, some of which go so far as to require exclusivity.</w:t>
        <w:br/>
        <w:t>31. The prices practiced during these direct or indirect transactions between merchants and producers of eau-de-vie are surrounded by great secrecy.</w:t>
        <w:br/>
        <w:t>32. The mechanisms resulting from the common organization of the wine market for the delimited region of Cognac and the particularities of the Cognac eau-de-vie market affect individual operations more or less markedly depending on the degree of specialization of the operations, measured by the percentage of agricultural land (SAU) occupied by vines. This percentage is higher in the heart of the vineyard (Grande Champagne and Borderies), but there are specialized operations throughout the delimited region. Moreover, the share of the Cognac eau-de-vie outlet varies according to the crus. Some operators manage to deliver a quantity close to the QNV per hectare, while others do not exceed 2 hectoliters of pure alcohol per hectare.</w:t>
        <w:br/>
        <w:t>33. The allocation of the vineyard to the production of white wines for distillation into Cognac eau-de-vie generally represents the best financial profitability for the winegrower. The obligation to deliver for distillation, under Article 28, the quantities of wine exceeding the QNV per hectare certainly ensures a certain income for the operator, but its profitability is much lower than the sale of Cognac eau-de-vie on the market. The difference has been quantified at 56 euros per hectoliter of wine. Hence, there is an incentive to not comply with the provisions set out in Article 28.</w:t>
        <w:br/>
        <w:t>34. During the examination of the draft law relating to the development of rural areas (law No. 2005-157 of February 23, 2005), statistical data were communicated on the exceedances of the Cognac QNV in the delimited region.</w:t>
        <w:br/>
        <w:t>Harvest 2001 Harvest 2002 2002:2001</w:t>
        <w:br/>
        <w:t>Number of offenders 469 336 - 28%</w:t>
        <w:br/>
        <w:t>Volume in hectoliters 5,971 6,344 + 6.2%</w:t>
        <w:br/>
        <w:t>of pure alcohol</w:t>
        <w:br/>
        <w:t>Number of offenders 12 22 (i.e., 3,164 hl of pure alcohol) + 83%</w:t>
        <w:br/>
        <w:t>exceeding the QNV by more</w:t>
        <w:br/>
        <w:t>than 75 hl of pure alcohol</w:t>
        <w:br/>
        <w:t>Distribution of offenders in Charente-Maritime 15 in Charente-Maritime</w:t>
        <w:br/>
        <w:t>4 in Charente 7 in Charente</w:t>
        <w:br/>
        <w:t>exceeding the QNV by more than 75 HL</w:t>
        <w:br/>
        <w:t>of pure alcohol</w:t>
        <w:br/>
        <w:t>Source: General Directorate of Customs and Indirect Taxes</w:t>
        <w:br/>
        <w:t>These figures illustrate that the profitability gap between the sale of eau-de-vie for the production of Cognac and distillation under Article 28 encourages a significant number of winegrowers to transform volumes exceeding the QNV into eau-de-vie for the former destination, in violation of the provisions relating to the QNV.</w:t>
      </w:r>
    </w:p>
    <w:p>
      <w:r>
        <w:t>D. THE PRACTICES DENOUNCED</w:t>
        <w:br/>
        <w:t>1. THE POSITION OF CDVC-MODEF</w:t>
        <w:br/>
        <w:t>35. The CDVC-MODEF denounces the BNIC as being the source of anti-competitive production restrictions in the Cognac eau-de-vie sector. It particularly denounces the practices of the BNIC regarding the QNV:</w:t>
        <w:br/>
        <w:t>"The BNIC has its own power of proposal and decision-making in terms of limiting the production and marketing of Cognac eau-de-vie. In reality, the BNIC sets the individual QNV because its proposals are systematically endorsed by the Minister of Agriculture. In doing so, the BNIC imposes on companies producing Cognac eau-de-vie—a product that the European Union qualifies as industrial—real production quotas and indirectly marketing quotas in violation of the competition rules of the EU."</w:t>
        <w:br/>
        <w:t>36. The CDVC-MODEF argues that this individual QNV deprives winegrowers of the power to decide for themselves the quantity of Cognac eau-de-vie they need to seize market opportunities or build up stocks.</w:t>
        <w:br/>
        <w:t>37. According to them, the system of individual QNV is the instrument of market domination of Cognac eau-de-vie by large merchants and the reason for the deterioration of the economic situation of the majority of producers of this eau-de-vie.</w:t>
        <w:br/>
        <w:t>38. A decision of the plenary assembly of the BNIC on February 8, 2005, concerning the individual QNV, unanimously voted by the families of viticulture and trade, would illustrate the denounced practice. According to the press release published on February 9, 2005, by the BNIC: "the adopted text provides for a mechanism for calculating the individual QNV that takes into account the needs expressed, both by the Cognac trade and by the wine trade, and which allows viticulture to establish the means of production to meet them. It is important to note the innovative aspect of this mechanism, which should allow the inter-profession to organize, through a projection into the future years, the rational evolution of production in the delimited region. It is interesting to note that the members of the Plenary Assembly as a whole welcomed the interest in the establishment of this mechanism, which had been mentioned during the summer 2004 meeting with the chief of staff of the Minister of Agriculture during the discussion on the level of QNV 2004/2005. The adoption of this agreement now allows the profession to devote its efforts to what could be the post-QNV."</w:t>
        <w:br/>
        <w:t>39. The CDVC-MODEF contends that this agreement manifests the existence of a collusion between the business associations that constitute the BNIC and that this collusion is likely to reduce or limit competition in the market for Cognac eau-de-vie and affect trade between Member States. Consequently, the conditions for the application of Article 81 EC would be met.</w:t>
        <w:br/>
        <w:t>40. This agreement has been subject to a tacit extension decision as provided for in Article L. 632-4 of the rural code (see point 11 of this decision, JORF No. 122 of May 27, 2005, p. 9283).</w:t>
      </w:r>
    </w:p>
    <w:p>
      <w:r>
        <w:rPr>
          <w:b/>
        </w:rPr>
        <w:t>[Pages 10–12]</w:t>
      </w:r>
    </w:p>
    <w:p>
      <w:r>
        <w:t>41. For the CDVC-MODEF, the behaviors in question are analogous to those that were the subject of the judgments of the Court of Justice of the European Communities in 1985 and 1987, namely BNIC/Clair and BNIC/Aubert, cited above.</w:t>
      </w:r>
    </w:p>
    <w:p>
      <w:r>
        <w:t>2. THE ASSESSMENT MADE BY THE BNIC ON THE DENOUNCED PRACTICES</w:t>
        <w:br/>
        <w:t>42. The BNIC contests being the author of anti-competitive practices in the Cognac eau-de-vie market. The decisions it is required to make would not, according to it, have the effect of imposing production quotas for eau-de-vie on the winegrowers of the delimited Cognac region.</w:t>
      </w:r>
    </w:p>
    <w:p>
      <w:r>
        <w:t>43. It recalls that the QNV per hectare is set by the Ministers of Agriculture and Budget based on Regulation No. 1493/1999. The BNIC further emphasizes that the so-called "double purpose" system is to be abandoned soon by the community authorities and that this abandonment will lead to the disappearance of the QNV.</w:t>
      </w:r>
    </w:p>
    <w:p>
      <w:r>
        <w:t>44. Regarding the agreement reached within it on February 8, 2005, it states that it is "a mechanism for calculating the individual QNV"; that "this system takes into account the needs expressed by both the Cognac trade and the wine, pineau, and grape juice trade and aims to enable viticulture to establish the means of production to meet these needs. However, the decision to set the individual QNV belongs to the Ministry of Agriculture."</w:t>
      </w:r>
    </w:p>
    <w:p>
      <w:r>
        <w:t>II. Discussion</w:t>
        <w:br/>
        <w:t>45. Pursuant to paragraph 2 of Article L.462-8 of the Commercial Code, the Competition Council, "(...) may also reject the referral by reasoned decision when it considers that the facts invoked are not supported by sufficiently probative elements." Furthermore, Article 42 of the decree of April 30, 2002, states that "the request for interim measures mentioned in Article L. 464-1 of the Commercial Code can only be made as an accessory to a substantive referral to the Competition Council." A request for interim measures can therefore only be examined as long as the substantive referral is not rejected for lack of sufficiently probative elements.</w:t>
      </w:r>
    </w:p>
    <w:p>
      <w:r>
        <w:t>A. GENERAL CONSIDERATIONS</w:t>
        <w:br/>
        <w:t>46. The CDVC-MODEF denounces, on the one hand, being imposed production quotas for Cognac eau-de-vie under agricultural regulation, while this product is classified as industrial by community law, and on the other hand, that the decisions of public authorities in this matter would merely endorse the content of anti-competitive agreements reached within the BNIC between the business associations that constitute it, namely the family of viticulture on the one hand and the family of trade on the other.</w:t>
      </w:r>
    </w:p>
    <w:p>
      <w:r>
        <w:t>47. In this regard, only the QNV system is targeted. Within this framework, the BNIC would possess its own power of proposal and decision that would favor dominant behaviors of the large Cognac trading houses. However, these latter are not targeted by the CDVC-MODEF's referral. Only the attitude of the BNIC and that of public authorities are called into question.</w:t>
      </w:r>
    </w:p>
    <w:p>
      <w:r>
        <w:t>48. In this respect, Articles 81 EC and L. 420-1 of the Commercial Code do not apply to public authorities when they exercise their prerogatives of public power. However, to the extent that Article 81 EC targets the behaviors of economic operators and that Article L. 420-1 of the Commercial Code applies, pursuant to Article L. 410-1 of the same code, to production, distribution, and service activities, the Competition Council must assess whether the normative context and the decisions made by public authorities can lead to the conclusion that the decisions of the BNIC in question fall outside the scope of these articles or may, if applicable, fall within it.</w:t>
      </w:r>
    </w:p>
    <w:p>
      <w:r>
        <w:t>49. In light of community competition law, the following considerations must be taken into account.</w:t>
      </w:r>
    </w:p>
    <w:p>
      <w:r>
        <w:t>50. It follows from the case law of the Court of Justice of the European Communities, notably from the judgments BNIC/Clair and BNIC/Aubert, cited above, but also from other judgments such as the judgment of September 21, 1988, Van Eycke/Aspa (267/86, Rec. p. 4769), that the EC Treaty imposes on Member States not to take measures, even of a legislative or regulatory nature, likely to eliminate the useful effect of the competition rules applicable to enterprises. This is the case when a Member State either imposes or encourages the conclusion of agreements contrary to Article 81 EC or reinforces the effects of such agreements, or removes the state character of its own regulation by delegating to private operators the responsibility to make intervention decisions in economic matters. However, public authorities neither impose nor encourage the conclusion of agreements contrary to Article 81 EC and do not delegate their intervention powers in economic matters if they consult the interested professionals before establishing an economic regulation or if they charge a professional or inter-professional organization to determine such regulation based on general interest criteria established by themselves while retaining control and reform powers over the decisions made for this purpose (see in this sense the judgments of November 17, 1993, Bundesanstalt für den Güterfernverkher/Reiff, 185/91, Rec. p. 580, of June 9, 1994, Germany/Delta Schiffahrts und Speditiongesellschaft, C-153/93, Rec. p. I-2517, of October 5, 1995, Centro Servizi Spediporto/Speditioni Marittima del Golfo, C-96/94, Rec. p. I-2883).</w:t>
      </w:r>
    </w:p>
    <w:p>
      <w:r>
        <w:t>51. In the event that, in violation of the EC Treaty, a Member State imposes on companies or their associations to adopt behaviors contrary to Article 81 EC, these companies cannot be sanctioned. It is therefore necessary to assess whether the companies in question retain autonomy of behavior (judgment of the Court of November 11, 1997, Commission and France/Ladbroke Racing, C-359/95P and C-379/95P, Rec. p. I-6265).</w:t>
      </w:r>
    </w:p>
    <w:p>
      <w:r>
        <w:t>52. Nevertheless, the Court of Justice imposes on national competition authorities responsible for applying Article 81 EC not to be satisfied with merely acknowledging such state behavior. In the judgment of September 9, 2003, Consorzio Industrie Fiammifieri (CIF) and Autorità Garante della Concorrenza e del Mercato, (C-198/01, Rec. p. I-8055), the Court considered that "since a national competition authority (...) is entrusted with the mission of ensuring, in particular, compliance with Article 81 EC and that this provision, combined with Article 10 EC, imposes a duty of abstention on Member States, the useful effect of community competition rules would be diminished if, in the context of an investigation into the behavior of companies under Article 81 EC, said authority could not find that a national measure is contrary to the combined provisions of Articles 10 EC and 81 EC and if, consequently, it did not leave it inapplicable." In the operative part of this judgment, the Court ruled:</w:t>
        <w:br/>
        <w:t>“(...) in the presence of behaviors of companies contrary to Article 81(1) EC, which are imposed or favored by national legislation that legitimizes or reinforces their effects, particularly regarding price fixing and market allocation, a national competition authority that has been entrusted, in particular, with ensuring compliance with Article 81 EC:</w:t>
        <w:br/>
        <w:t>− has the obligation to leave this national legislation inapplicable;</w:t>
        <w:br/>
        <w:t>− cannot impose sanctions on the companies concerned for past behaviors when those have been imposed by this national legislation;</w:t>
        <w:br/>
        <w:t>− can impose sanctions on the companies concerned for their behaviors subsequent to the decision to leave this national legislation inapplicable, once that decision has become definitive with respect to them;</w:t>
        <w:br/>
        <w:t>− can impose sanctions on the companies concerned for past behaviors when they have been merely facilitated or encouraged by this national legislation, while duly taking into account the specificities of the normative framework in which the companies acted.”</w:t>
      </w:r>
    </w:p>
    <w:p>
      <w:r>
        <w:t>53. In light of national competition law, it is necessary to take into account paragraph I of Article L. 420-4 of the Commercial Code which states:</w:t>
        <w:br/>
        <w:t>“Practices resulting from the application of a legislative text or a regulatory text taken for its application are not subject to the provisions of Articles L. 420-1 and L. 420-2;</w:t>
        <w:br/>
        <w:t>1°- Practices whose authors can justify that they ensure economic progress, including through the creation or maintenance of jobs, and that they reserve for users a fair share of the resulting profit, without giving the interested companies the possibility of eliminating competition for a substantial part of the products in question. These practices, which may consist of organizing for agricultural or agricultural-origin products, under the same brand or sign, the volumes and quality of production as well as the commercial policy, including agreeing on a common selling price, should impose restrictions on competition only to the extent that they are indispensable to achieve this progress objective.”</w:t>
      </w:r>
    </w:p>
    <w:p>
      <w:r>
        <w:t>54. It should be recalled that due to the primacy of community law, an agreement cannot escape the prohibition stipulated in Article 81 EC, if it meets the conditions, on the grounds that it would be authorized under national law. In this case, as it follows from the judgment BNIC/Aubert, cited above, a significant restriction of competition concerning the production of Cognac eaux-de-vie is likely to affect trade between Member States given the marketing of Cognac throughout the Community, and Article 81 EC is therefore likely to apply (point 18 of the judgment).</w:t>
      </w:r>
    </w:p>
    <w:p>
      <w:r>
        <w:t>55. It is on the basis of the preceding considerations that it is appropriate to examine the elements put forward by the CDVC-MODEF.</w:t>
      </w:r>
    </w:p>
    <w:p>
      <w:r>
        <w:rPr>
          <w:b/>
        </w:rPr>
        <w:t>[Pages 13–14]</w:t>
      </w:r>
    </w:p>
    <w:p>
      <w:r>
        <w:t>B. ON THE PRACTICES ATTRIBUTED TO BNIC</w:t>
        <w:br/>
        <w:t>56. The setting of the QNV and the mandatory withdrawal distillation mechanism are imposed by Article 28 of Regulation No. 1493/1999 on the common organization of the wine market. Furthermore, Article 52 of Regulation No. 1623/2000 assigns member states the task of defining this QNV based on certain parameters for each administrative unit.</w:t>
        <w:br/>
        <w:t>57. It is established that this system, which targets agricultural production, namely wine products and musts, has a direct impact on the production of an industrial product derived from it, namely the eau-de-vie intended for marketing for the production of Cognac. However, there is no need for the Competition Council to question the validity of these provisions of derived community law in light of the EC Treaty. The request made in a subsidiary manner by the CDVC-MODEF for the Competition Council to refer a preliminary question to the Court of Justice of the European Communities regarding them, assuming such a question is admissible from a competition authority like the Council (see, on the notion of jurisdiction within the meaning of Article 234 EC, the judgment of May 31, 2005, Syfait, C-53/03, Rec. p. I-4609), does not concern the validity of these provisions but only their interpretation. The Council considers, in any case, that it has sufficient elements to rule on the present referral.</w:t>
        <w:br/>
        <w:t>58. Article 52 of Regulation No. 1623/2000 allows member states the latitude to organize, at the administrative level and in compliance with community law, the implementation of the QNV system. In this regard, in accordance with the solutions established by the case law cited in point 50 of this decision, a member state may, under certain conditions, delegate this mission to an interprofessional organization, provided that it controls and can reform the decisions made in this regard.</w:t>
        <w:br/>
        <w:t>59. In this instance, however, it is not necessary to examine whether the provisions of the rural code on recognized interprofessional organizations mentioned in points 7 to 11 of this decision, which seem to allow delegating such a mission to an organization like the BNIC, meet the requirements recalled in the aforementioned case law.</w:t>
        <w:br/>
        <w:t>60. Indeed, it follows from the file that the QNV is set by interministerial orders and not by decisions adopted by the BNIC. For example, for wines produced in 2004, it was the interministerial order of October 11, 2004, concerning the distillation of wines in the delimited region "Cognac," that set a QNV of 7.6 hectoliters of pure alcohol per hectare (JORF of November 4, 2004, p. 18650), while for wines produced in 2005, the order mentioned in point 16 of this decision raised this level to 8.3.</w:t>
        <w:br/>
        <w:t>61. Certainly, these interministerial decisions are, as is natural and as evidenced by documents from the BNIC, preceded by discussions with the interprofessional sector. In this regard, the agreement reached within the BNIC on February 8, 2005, unanimously among the families of viticulture and trade, which concerns a "mechanism for calculating the individual QNV that takes into account the needs expressed by both the Cognac trade and the wine trade, and which allows viticulture to establish production means to meet them," appears as a decision enabling this interprofessional organization to determine its official position vis-à-vis public authorities. However, on the one hand, as evidenced by the recalled case law, the consultation of the professions concerned by public authorities before making an economic intervention decision is not contrary to the obligations of member states regarding the competition rules of the EC Treaty, and on the other hand, the mere fact that a professional or interprofessional organization makes internal decisions to determine its position within the framework of such a consultation cannot be considered as constituting an anti-competitive agreement likely to fall under the prohibitions of Article 81 EC or Article L. 420-1 of the Commercial Code.</w:t>
        <w:br/>
        <w:t>62. It should, however, be specified that to benefit from this analysis, the existence of such an "official" negotiating position must not prevent some of the concerned operators or the grouping of some of them from making other proposals to public authorities. In this instance, in accordance with the solutions established in the BNIC/Clair and BNIC/Aubert judgments, the tacit decision to extend the agreement reached within the BNIC on February 8, 2005, mentioned in point 40 of this decision, does not change anything in this regard.</w:t>
        <w:br/>
        <w:t>63. From this perspective, the file contains no evidence showing that operators in the Cognac wine region were prevented or dissuaded from making proposals to public authorities that differed from the position of the BNIC.</w:t>
        <w:br/>
        <w:t>64. The situation subject to the present referral thus appears different from that which gave rise to the BNIC/Clair and BNIC/Aubert judgments. In the latter, the interprofessional organization directly regulated the prices and quantities of an industrial product without any community regulation providing any basis for its intervention. In the present situation, the control of quantities results from agricultural community regulation, and its implementation is carried out by public authorities. The BNIC certainly makes proposals to them, but the decision belongs to the latter. It also emerges from the file that the proposals of the BNIC have not been systematically followed by public authorities.</w:t>
        <w:br/>
        <w:t>65. It follows from the above that the CDVC-MODEF has not provided sufficiently convincing evidence to support the possibility of the existence of an anti-competitive agreement within the BNIC in the context of setting the QNV. Its referral should therefore be rejected, pursuant to Article L. 462-8, paragraph 2, of the Commercial Code, and consequently its request for interim measures.</w:t>
        <w:br/>
        <w:t>DECISION</w:t>
        <w:br/>
        <w:t>Article 1: The substantive referral registered under number 05/0092F is rejected.</w:t>
        <w:br/>
        <w:t>Article 2: The request for interim measures registered under number 05/0093M is rejected.</w:t>
        <w:br/>
        <w:t>Deliberated on the oral report of Mr. Bourrouilhou, by Ms. Perrot, Vice-President presiding over the session, as well as Messrs. Bidault, Honorat, and Piot, members.</w:t>
        <w:br/>
        <w:t>The session secretary The Vice-President,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