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https://www.autoritedelaconcurrence.fr/fr/decision/relative-des-pratiques-mises-en-oeuvre-dans-le-secteur-des-marches-de-fourniture-de</w:t>
      </w:r>
    </w:p>
    <w:p>
      <w:r>
        <w:t>Pages translated : 17</w:t>
      </w:r>
    </w:p>
    <w:p/>
    <w:p>
      <w:r>
        <w:rPr>
          <w:b/>
        </w:rPr>
        <w:t>[Pages 1–3]</w:t>
      </w:r>
    </w:p>
    <w:p>
      <w:r>
        <w:t>FRENCH REPUBLIC</w:t>
        <w:br/>
        <w:t>Decision No. 20-D-19 of November 25, 2020</w:t>
        <w:br/>
        <w:t>regarding practices implemented in the sector of public procurement</w:t>
        <w:br/>
        <w:t>for the supply of food products by the national public establishment</w:t>
        <w:br/>
        <w:t>France AgriMer</w:t>
        <w:br/>
        <w:t>The Competition Authority (permanent commission),</w:t>
        <w:br/>
        <w:t>Having regard to decision No. 19-SO-10 of May 28, 2019, registered under number 19/0027 F, by which the Competition Authority initiated proceedings ex officio regarding practices implemented in the sector of public procurement for the supply of food products by the national public establishment France AgriMer;</w:t>
      </w:r>
    </w:p>
    <w:p>
      <w:r>
        <w:t>Having regard to Article 101 of the Treaty on the Functioning of the European Union;</w:t>
      </w:r>
    </w:p>
    <w:p>
      <w:r>
        <w:t>Having regard to Book IV of the Commercial Code, and in particular its Article L. 420-1;</w:t>
      </w:r>
    </w:p>
    <w:p>
      <w:r>
        <w:t>Having regard to the transaction minutes of June 5, 2020, signed by the Deputy General Rapporteur and the company Établissements Dhumeaux in accordance with the provisions of III of Article L. 464-2 of the Commercial Code;</w:t>
      </w:r>
    </w:p>
    <w:p>
      <w:r>
        <w:t>Having regard to the transaction minutes of June 5, 2020, signed by the Deputy General Rapporteur and the company Ovimpex in accordance with the provisions of III of Article L. 464-2 of the Commercial Code;</w:t>
      </w:r>
    </w:p>
    <w:p>
      <w:r>
        <w:t>Having regard to the transaction minutes of June 5, 2020, signed by the Deputy General Rapporteur and the company Vianov in accordance with the provisions of III of Article L. 464-2 of the Commercial Code;</w:t>
      </w:r>
    </w:p>
    <w:p>
      <w:r>
        <w:t>Having regard to the business secrecy decisions No. 19-DSA-378 of September 2, 2019, No. 19-DSA-379 of September 2, 2019, No. 19-DSA-380 of September 2, 2019, No. 20-DEC-005 of January 7, 2020, No. 20-DEC-008 of January 7, 2020, No. 20-DEC-011 of January 7, 2020;</w:t>
      </w:r>
    </w:p>
    <w:p>
      <w:r>
        <w:t>Having regard to the observations presented by the companies Établissements Dhumeaux, Ovimpex, and Vianov;</w:t>
      </w:r>
    </w:p>
    <w:p>
      <w:r>
        <w:t>Having regard to the other documents in the file;</w:t>
      </w:r>
    </w:p>
    <w:p>
      <w:r>
        <w:t>The rapporteur, the Deputy General Rapporteur, the Government Commissioner, and the representatives of the companies Établissements Dhumeaux, Ovimpex, and Vianov heard during the session of the Competition Authority on September 21, 2020,</w:t>
      </w:r>
    </w:p>
    <w:p>
      <w:r>
        <w:t>Adopts the following decision:</w:t>
      </w:r>
    </w:p>
    <w:p>
      <w:r>
        <w:t>Summary1</w:t>
        <w:br/>
        <w:t>Under this decision, the Competition Authority (hereinafter, "the Authority") has decided that there is no need to continue the procedure initiated following an ex officio referral regarding practices implemented in the sector of public procurement for the supply of food products organized by the national public establishment for agricultural and marine products (hereinafter, "France AgriMer"). The elements utilized came from an administrative investigation report conducted by the interregional competition investigation brigade of Île-de-France, Normandy, La Réunion, Mayotte, and Saint-Pierre-et-Miquelon.</w:t>
      </w:r>
    </w:p>
    <w:p>
      <w:r>
        <w:t>The investigation report indicated that the four companies involved, Ovimpex, Établissements Dhumeaux, Mondial Viande Service, and Vianov – which belong to the same group – presented as distinct bids that were prepared in a coordinated manner in response to the tenders organized by France AgriMer. When questioned by France AgriMer, these companies claimed not to have coordinated their responses to these tenders. The investigation services of the Authority notified a grievance of collusion to the aforementioned four companies.</w:t>
      </w:r>
    </w:p>
    <w:p>
      <w:r>
        <w:t>The companies involved requested from the Authority the benefit of the transaction procedure, in accordance with the provisions of III of Article L. 464-2 of the Commercial Code. The implementation of the transaction procedure led to the establishment of transaction minutes setting the minimum and maximum amounts of financial penalties that could be imposed by the Authority.</w:t>
      </w:r>
    </w:p>
    <w:p>
      <w:r>
        <w:t>The Authority, relying on recent case law from the Court of Justice of the European Union, is evolving its decision-making practice regarding bids in response to public procurement tenders by subsidiaries of the same group. While the decision-making practice of the Authority and the case law of the Paris Court of Appeal considered that the presentation of seemingly independent bids but prepared in a coordinated manner by entities belonging to the same group could be sanctioned under the prohibition of collusion, the Court of Justice has, for the first time, expressly ruled, in a judgment of May 17, 2018, Ecoservice, that agreements such as those in this case do not fall within the scope of European competition rules. The Court indeed specified that in such a case, the entities concerned constitute only one "undertaking" within the meaning of competition law, which precludes the qualification of such practices as agreements or coordinated practices.</w:t>
      </w:r>
    </w:p>
    <w:p>
      <w:r>
        <w:t>Consequently, the Authority considers that in light of the evolution of positive law, the conditions for implementing the transaction are not met and that there is no need to continue the procedure.</w:t>
      </w:r>
    </w:p>
    <w:p>
      <w:r>
        <w:t>1 This summary is strictly informative. Only the reasons for the decision numbered below are authoritative.</w:t>
      </w:r>
    </w:p>
    <w:p>
      <w:r>
        <w:t>SUMMARY</w:t>
        <w:br/>
        <w:t>I. FINDINGS ............................................................................................................................................. 4</w:t>
        <w:br/>
        <w:t>A. The procedure .............................................................................................................. 4</w:t>
        <w:br/>
        <w:t>B. The sector and the companies concerned .................................................................... 4</w:t>
        <w:br/>
        <w:t>1. The sector .................................................................................................................. 4</w:t>
        <w:br/>
        <w:t>2. The entities concerned ............................................................................................. 5</w:t>
        <w:br/>
        <w:t>a) Ovimpex ................................................................................................................ 5</w:t>
        <w:br/>
        <w:t>b) Établissements Dhumeaux .................................................................................... 6</w:t>
        <w:br/>
        <w:t>c) Mondial Viande Service ........................................................................................ 6</w:t>
        <w:br/>
        <w:t>d) Vianov ................................................................................................................... 6</w:t>
        <w:br/>
        <w:t>C. The practices observed .............................................................................................. 6</w:t>
        <w:br/>
        <w:t>1. The organization of a system of joint bidding for tenders ................................. 6</w:t>
        <w:br/>
        <w:t>2. The tenders concerned ............................................................................................ 9</w:t>
        <w:br/>
        <w:t>D. Reminder of the notified grievance ......................................................................... 9</w:t>
        <w:br/>
        <w:t>II. DISCUSSION ........................................................................................................................................ 10</w:t>
        <w:br/>
        <w:t>A. On the transaction procedure .................................................................................. 10</w:t>
        <w:br/>
        <w:t>B. On the applicability of Union law ............................................................................. 11</w:t>
        <w:br/>
        <w:t>C. On the merits of the notified grievance .................................................................. 13</w:t>
        <w:br/>
        <w:t>DECISION ........................................................................................................................................... 17</w:t>
      </w:r>
    </w:p>
    <w:p>
      <w:r>
        <w:rPr>
          <w:b/>
        </w:rPr>
        <w:t>[Pages 4–6]</w:t>
      </w:r>
    </w:p>
    <w:p>
      <w:r>
        <w:t xml:space="preserve">I. FINDINGS  </w:t>
        <w:br/>
        <w:t xml:space="preserve">1. The procedure (A), the sector of activity, the companies concerned (B), and the practices identified (C) will be presented successively.  </w:t>
        <w:br/>
        <w:t xml:space="preserve">A. THE PROCEDURE  </w:t>
        <w:br/>
        <w:t xml:space="preserve">2. The interregional competition investigation brigade of Île-de-France, Normandy, La Réunion, Mayotte, and Saint-Pierre-et-Miquelon conducted an administrative investigation report on August 23, 2018. According to this report, several companies engaged in collusive practices in the context of bidding for public procurement contracts, contrary to the provisions of Article 101 of the Treaty on the Functioning of the European Union (hereinafter, "TFEU") and Article L. 420-1 of the Commercial Code, in the sector of food product supply.  </w:t>
        <w:br/>
        <w:t xml:space="preserve">3. The Competition Authority (hereinafter, "the Authority") took up the matter ex officio, by decision No. 19-SO-10 of May 28, 2019, regarding practices implemented in the sector of food product supply for the national public establishment France AgriMer.  </w:t>
        <w:br/>
        <w:t xml:space="preserve">4. On February 4, 2020, the general rapporteur of the Authority sent a notification of grievances concerning several prohibited practices under Article 101 of the TFEU and Article L. 420-1 of the Commercial Code to the companies Établissements Dhumeaux, Mondial Viande Service, Ovimpex, and Vianov.  </w:t>
        <w:br/>
        <w:t xml:space="preserve">B. THE SECTOR AND THE COMPANIES CONCERNED  </w:t>
        <w:br/>
        <w:t xml:space="preserve">1. THE SECTOR  </w:t>
        <w:br/>
        <w:t xml:space="preserve">5. As part of its public interest missions, the national establishment for agricultural and marine products (hereinafter, "France AgriMer"), a public administrative establishment, organizes annual calls for tenders for the supply of food products intended for associations responsible for distributing them to the most disadvantaged individuals through two alternative modes:  </w:t>
        <w:br/>
        <w:t xml:space="preserve">- free distribution to beneficiaries through charitable associations, such as Les Restos du Cœur, with the purchase of products being financed by the European Fund for Aid to the Most Deprived (hereinafter, "FEAD"); and  </w:t>
        <w:br/>
        <w:t xml:space="preserve">- distribution to beneficiaries through social grocery stores, such as food banks, for which users must contribute financially to the purchase of products, with funding being provided by the National Credits Fund for Social Grocery Stores (hereinafter, "CNES").  </w:t>
        <w:br/>
        <w:t xml:space="preserve">6. The contracts awarded by France AgriMer under the FEAD or CNES concern various food products, covering the basic needs of a household.  </w:t>
        <w:br/>
        <w:t xml:space="preserve">7. The companies specialized in the manufacture and trade of this type of product, capable of responding to the calls for tenders from public and private sector actors, are numerous and of various sizes (from local SMEs to multinational companies). They are present throughout the territory of the Union. The level of competition in the sector is therefore relatively high.  </w:t>
        <w:br/>
        <w:t xml:space="preserve">8. The contracts awarded by France AgriMer under the FEAD or CNES are of national scope, with the products then distributed via the national networks of charitable associations and social grocery stores.  </w:t>
        <w:br/>
        <w:t xml:space="preserve">2. THE ENTITIES CONCERNED  </w:t>
        <w:br/>
        <w:t xml:space="preserve">a) Ovimpex  </w:t>
        <w:br/>
        <w:t xml:space="preserve">9. The company Ovimpex, registered under number 642 053 193 in the commercial and companies register of Créteil, is a simplified joint-stock company.  </w:t>
        <w:br/>
        <w:t xml:space="preserve">10. At the time of the implementation of the practices referred to in the notification of grievances, the company Ovimpex was at the head of the Ovimpex group and exercised control over the companies Établissements Dhumeaux, Mondial Viande Service, and Vianov.  </w:t>
        <w:br/>
        <w:t xml:space="preserve">11. In 2016, this company achieved a turnover of 102,524,938 euros2.  </w:t>
        <w:br/>
        <w:t xml:space="preserve">12. The organizational chart reproduced below presents the Ovimpex group as well as the capital links between the four companies involved as they were established between 2013 and 2016.  </w:t>
        <w:br/>
        <w:t xml:space="preserve">2 Reference 2019.  </w:t>
        <w:br/>
        <w:t xml:space="preserve">13. Following its acquisition on November 24, 2016, the Ovimpex group was integrated into the Arterris group. Following this operation, the Ovimpex group underwent a restructuring, involving, in particular, the absorption of the company MVS by the company Ovimpex3.  </w:t>
        <w:br/>
        <w:t xml:space="preserve">b) Établissements Dhumeaux  </w:t>
        <w:br/>
        <w:t xml:space="preserve">14. Établissements Dhumeaux (hereinafter, "Dhumeaux"), a simplified joint-stock company registered in the commercial and companies register of Créteil under number 302 694 674, is almost exclusively owned by the company Ovimpex.  </w:t>
        <w:br/>
        <w:t xml:space="preserve">15. The company Dhumeaux achieved a turnover of 26,465,814 euros in the year 20164.  </w:t>
        <w:br/>
        <w:t xml:space="preserve">c) Mondial Viande Service  </w:t>
        <w:br/>
        <w:t xml:space="preserve">16. Registered under number 384 846 101 in the commercial and companies register of Douai, the simplified joint-stock company Mondial Viande Service (hereinafter, "MVS") was owned, at the time when the practices in question were implemented, by the companies Ovimpex at 24.96% and Dhumeaux at 74.8%, the latter being itself almost exclusively owned by the company Ovimpex.  </w:t>
        <w:br/>
        <w:t xml:space="preserve">17. In 2016, the company MVS achieved a turnover of 28,030,524 euros5.  </w:t>
        <w:br/>
        <w:t xml:space="preserve">d) Vianov  </w:t>
        <w:br/>
        <w:t xml:space="preserve">18. The company Vianov, registered under number 525 254 694 in the commercial and companies register of Créteil, is a simplified joint-stock company. It is exclusively owned by the company Ovimpex.  </w:t>
        <w:br/>
        <w:t xml:space="preserve">19. In 2016, the company Vianov achieved a turnover of 48,618,365 euros6.  </w:t>
        <w:br/>
        <w:t xml:space="preserve">C. THE PRACTICES IDENTIFIED  </w:t>
        <w:br/>
        <w:t xml:space="preserve">1. THE ORGANIZATION OF A COMMON BIDDING SYSTEM FOR TENDERS  </w:t>
        <w:br/>
        <w:t xml:space="preserve">20. The investigators found the existence of a coordinated bidding system for tenders organized by France AgriMer by the companies of the Ovimpex group. The existence of this system is evidenced in particular by the framework agreement concluded between the parties on January 3, 2013, and the statements of representatives and employees of the companies of the Ovimpex group.  </w:t>
        <w:br/>
        <w:t xml:space="preserve">3 Reference 2504.  </w:t>
        <w:br/>
        <w:t xml:space="preserve">Due to this absorption, some of the steps taken with the Authority were made by the company Ovimpex on behalf of the company MVS.  </w:t>
        <w:br/>
        <w:t xml:space="preserve">4 Reference 1604.  </w:t>
        <w:br/>
        <w:t xml:space="preserve">5 Reference 1811.  </w:t>
        <w:br/>
        <w:t>6 Reference 2631.</w:t>
      </w:r>
    </w:p>
    <w:p>
      <w:r>
        <w:rPr>
          <w:b/>
        </w:rPr>
        <w:t>[Pages 7–9]</w:t>
      </w:r>
    </w:p>
    <w:p>
      <w:r>
        <w:t>21. According to the investigation report, on January 3, 2013, the representatives of the companies Dhumeaux, MVS, Ovimpex, and Vianov signed a framework commercial agreement7 with the purpose of entrusting the company Dhumeaux with the preparation of applications for private and public tenders for all the signatory companies.</w:t>
      </w:r>
    </w:p>
    <w:p>
      <w:r>
        <w:t>22. Under the terms of this agreement, the company Dhumeaux prepared the bids for all the signatory companies, each of them then submitting its bid to the buyer as if it had "personally" prepared it. Each company was also bound to secrecy regarding the role of the company Dhumeaux in the preparation of the responses.</w:t>
      </w:r>
    </w:p>
    <w:p>
      <w:r>
        <w:t>23. The company Dhumeaux was also tasked with managing all the lots won by the said companies, which involved centralizing the purchases of products from suppliers and reselling them to the signatory companies, which in turn sold them to the buyer. The company Dhumeaux was finally responsible for the logistics, transport, and delivery of the products.</w:t>
      </w:r>
    </w:p>
    <w:p>
      <w:r>
        <w:t>24. The existence of this system as well as its implementation are established by the statements of the representatives of the companies Dhumeaux, MVS, and Ovimpex and by the documents provided by the representatives of these companies and by France AgriMer.</w:t>
      </w:r>
    </w:p>
    <w:p>
      <w:r>
        <w:t>25. It follows from the statements of the representatives of the companies Dhumeaux, MVS, and Ovimpex that between 2013 and 2016, the company Dhumeaux prepared and centralized the applications submitted by the companies MVS and Ovimpex in response to the tenders organized by France AgriMer8.</w:t>
      </w:r>
    </w:p>
    <w:p>
      <w:r>
        <w:t>26. Thus, for lots awarded to the companies MVS9 and Ovimpex10, the company Dhumeaux handled the supplier relationship, transport, and delivery11. For these same lots, the company Dhumeaux prepared the documents exchanged with the buyer France AgriMer on behalf of the companies MVS and Ovimpex, with the exception of the delivery notes, which were prepared in the name of the company Dhumeaux12. The company Dhumeaux then re-invoiced these services to the companies MVS and Ovimpex13.</w:t>
      </w:r>
    </w:p>
    <w:p>
      <w:r>
        <w:t>27. The representatives of the concerned companies stated to the investigators that the system thus established allowed them to offer a more varied selection of suppliers and products and thus to win a greater number of lots.</w:t>
      </w:r>
    </w:p>
    <w:p>
      <w:r>
        <w:t>28. On this point, Ms. X..., director of the company Dhumeaux, stated during her hearing on May 31, 2018, that: "We made several offers to allow France AGRIMER to vary the choices, the offers being different in terms of prices and product recipes (different industrial products)"14.</w:t>
      </w:r>
    </w:p>
    <w:p>
      <w:r>
        <w:t>29. Ms. Y..., administrative manager of the company Dhumeaux, also indicated during her hearing on May 31, 2018, that: "We responded with the three companies to allow us to obtain a larger number of lots"15.</w:t>
      </w:r>
    </w:p>
    <w:p>
      <w:r>
        <w:t>30. Similarly, during his hearing on June 26, 2018, Mr. Z..., chairman of the management board of the company Ovimpex at the time of the facts, specified that: "The specifications of France AgriMer did not provide for a bidder to propose variants for the same lot, so we went through the other two subsidiaries of the group to offer a broader proposal to the buyer"16.</w:t>
      </w:r>
    </w:p>
    <w:p>
      <w:r>
        <w:t>31. It follows from the elements submitted to the file that, in the context of the implementation of the FEAD 2016 contract, France AgriMer requested clarifications from the companies Dhumeaux and Ovimpex regarding the financial links existing between them and their respective decision-making structures, in order to ensure their independence in their submissions to this tender17.</w:t>
      </w:r>
    </w:p>
    <w:p>
      <w:r>
        <w:t>32. In their respective responses of October 4 and 20, 2016, the companies Dhumeaux and Ovimpex revealed their financial links and assured their total independence in management and decision-making.</w:t>
      </w:r>
    </w:p>
    <w:p>
      <w:r>
        <w:t>33. The company Dhumeaux thus stated: "The company DHUMEAUX is a subsidiary of the company OVIMPEX (99.9% of the capital held by OVIMPEX). The decision-making structures of the companies are strictly distinct and have total management independence. The company DHUMEAUX has its own technical, human, and financial resources to develop, decide, and execute its proposal in case its application is accepted. We are attaching our organizational chart. We have distinct IT tools, our own premises, and a total separation of our accounting balances"18.</w:t>
      </w:r>
    </w:p>
    <w:p>
      <w:r>
        <w:t>34. For its part, the company Ovimpex stated that: "We confirm that our company holds 99.9% of the capital of the company DHUMEAUX. Our group consists of 7 companies with capital links but whose activities are distinct and autonomous. We only intervene in our subsidiaries in the context of support functions such as human resources, general services (including IT), quality, safety and environment, and general accounting. Each company sets its own commercial objectives and implements its own means of production and operation. Each company thus has its autonomy of decision and management as well as the necessary personnel. We are attaching the brochure of the OVIMPEX group. (...) We have been responding to private tenders for many years and we have also been interested in public tenders. We know that some of our subsidiaries also respond to them, but each prepares its offers separately according to its own commercial policy. For obvious reasons of confidentiality, we do not have to communicate our methods of preparing our offers and our commercial negotiation methods"19.</w:t>
      </w:r>
    </w:p>
    <w:p>
      <w:r>
        <w:t>35. Finally, it follows from the investigation that in 2017, following the acquisition of the Ovimpex group by the Arterris group, corrective measures were taken so that the offers of the Ovimpex group responding to public contracts organized by France AgriMer were formulated by the companies Dhumeaux, MVS, and Ovimpex in an autonomous and independent manner20.</w:t>
      </w:r>
    </w:p>
    <w:p>
      <w:r>
        <w:t>2. THE TENDERS CONCERNED</w:t>
      </w:r>
    </w:p>
    <w:p>
      <w:r>
        <w:t>36. The investigators found that between 2013 and 2016, seven public contracts for the supply and delivery of food products organized by France AgriMer were subject to double submissions by the companies Dhumeaux and Ovimpex21, or even triple submissions by the companies Dhumeaux, MVS, and Ovimpex22, for part of the lots concerned according to the contracts in question.</w:t>
      </w:r>
    </w:p>
    <w:p>
      <w:r>
        <w:t>37. In total, it was found that between 2013 and 2016, for these seven contracts: - 308 lots were subject to the submission of two or three offers by the companies Dhumeaux, MVS, and Ovimpex; - among these 308 lots, 131 lots were won by one of these companies, for a total amount of approximately 52 million euros.</w:t>
      </w:r>
    </w:p>
    <w:p>
      <w:r>
        <w:t>38. Furthermore, the investigation revealed that the seven contracts concerned by this joint submission represented a total funding amount of 290,332,175 euros.</w:t>
      </w:r>
    </w:p>
    <w:p>
      <w:r>
        <w:t>D. REMINDER OF THE NOTIFIED GRIEVANCE</w:t>
      </w:r>
    </w:p>
    <w:p>
      <w:r>
        <w:t>39. In view of the factual elements set out in the notification of grievances of January 28, 2020, the investigation services notified the following grievance: "The SAS OVIMPEX, DHUMEAUX, MVS, and VIANOV are accused as authors due to their direct participation as well as SAS OVIMPEX in its capacity as parent company of having concluded an agreement from January 3, 2013, to February 1, 2017, having as its object</w:t>
      </w:r>
    </w:p>
    <w:p>
      <w:r>
        <w:rPr>
          <w:b/>
        </w:rPr>
        <w:t>[Pages 10–12]</w:t>
      </w:r>
    </w:p>
    <w:p>
      <w:r>
        <w:t>the establishment of an organization that removes all commercial autonomy from the signatory companies in the preparation of distinct but coordinated responses, in the execution of the contracts obtained, and which must be kept secret, a practice aimed at deceiving the contracting authorities regarding the reality and extent of competition in the markets, and is contrary to the provisions of Articles 101 TFEU and L. 420-1 of the Commercial Code, prohibiting anti-competitive agreements. The SAS OVIMPEX, DHUMEAUX, MVS also implemented this agreement by submitting distinct bids while they had been conceived in a coordinated manner, prior to the submission date, and by misleading the public buyer regarding the independence of their responses in the following public contracts: "PEAD 2013" of December 12, 2012, "CNES 2014" of June 27, 2014, "FEAD 2014" of February 1, 2014, "CNES 2015" of July 13, 2015, "FEAD 2015" of December 18, 2014, "CNES 2016" of August 19, 2016, "FEAD 2016" of December 15, 2015 organized by the public establishment FranceAgriMer, which had the object and effect of deceiving the contracting authority regarding the reality and extent of competition in the market. This practice, which must be regarded as a continuous infringement between January 3, 2013, and December 31, 2017, is contrary to the provisions of Articles 101 TFEU and L. 420-1 of the Commercial Code, prohibiting anti-competitive agreements.</w:t>
      </w:r>
    </w:p>
    <w:p>
      <w:r>
        <w:t>II. Discussion</w:t>
      </w:r>
    </w:p>
    <w:p>
      <w:r>
        <w:t>40. The implementation of the transaction procedure (A), the applicability of Union law (B), and the merits of the notified grievance (C) will be examined successively.</w:t>
      </w:r>
    </w:p>
    <w:p>
      <w:r>
        <w:t>A. ON THE TRANSACTION PROCEDURE</w:t>
      </w:r>
    </w:p>
    <w:p>
      <w:r>
        <w:t>41. III of Article L. 464-2 of the Commercial Code states: “[w]hen an organization or a company does not contest the reality of the grievances notified to it, the general rapporteur may submit to it a transaction proposal setting the minimum and maximum amount of the envisaged financial penalty. When the company or organization commits to modifying its behavior, the general rapporteur may take this into account in his transaction proposal. If, within a time 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w:t>
      </w:r>
    </w:p>
    <w:p>
      <w:r>
        <w:t>42. The companies Dhumeaux, Ovimpex, and Vianov requested the application of the provisions of III of Article L. 464-2 of the Commercial Code from the general rapporteur of the Authority, who submitted a transaction proposal to them.</w:t>
      </w:r>
    </w:p>
    <w:p>
      <w:r>
        <w:t>43. By minutes of June 5, 2020, the companies Dhumeaux, Ovimpex, and Vianov waived contesting the reality of the grievance that had been notified to them and agreed to a transaction proposal defining the limits of the financial penalties that could be imposed on them.</w:t>
      </w:r>
    </w:p>
    <w:p>
      <w:r>
        <w:t>44. During the session on September 21, 2020, the investigation services and the Government Commissioner proposed dropping the grievance due to recent developments in European case law regarding agreements between companies within the same group in the context of bidding for public procurement contracts.</w:t>
      </w:r>
    </w:p>
    <w:p>
      <w:r>
        <w:t>45. In session, the companies Dhumeaux, Ovimpex, and Vianov confirmed before the panel that they had ended their system of coordinated bidding for tenders organized by France AgriMer.</w:t>
      </w:r>
    </w:p>
    <w:p>
      <w:r>
        <w:t>B. ON THE APPLICABILITY OF UNION LAW</w:t>
      </w:r>
    </w:p>
    <w:p>
      <w:r>
        <w:t>46. Article 101, paragraph 1, of the TFEU prohibits agreements that have as their object or effect the prevention, restriction, or distortion of competition and that are likely to affect trade between Member States.</w:t>
      </w:r>
    </w:p>
    <w:p>
      <w:r>
        <w:t>47. In its communication of April 27, 2004, regarding the effect on trade, the European Commission (hereinafter, "Commission") recalls that “Articles 81 and 82 of the Treaty apply to horizontal and vertical agreements and to abusive practices of companies that are likely to affect trade between Member States” and that this current or potential effect must be significant.</w:t>
      </w:r>
    </w:p>
    <w:p>
      <w:r>
        <w:t>48. Regarding the effect on trade between Member States, in cases of agreements extending to the entirety or vast majority of the territory of a Member State, the Court of Justice of the European Union (hereinafter, “Court”) has ruled “that there is, at the very least, a strong presumption that a restrictive practice applied across the entire territory of a Member State is likely to contribute to market partitioning and affect intra-community trade.” On appeal, the Court of Justice of the European Union emphasizes in this regard that: “(...) the fact that an agreement has as its object only the marketing of products in a single Member State is not sufficient to exclude that trade between Member States may be affected. Indeed, an agreement extending to the entire territory of a Member State has, by its very nature, the effect of consolidating national partitions, thereby hindering the economic interpenetration intended by the EC Treaty.”</w:t>
      </w:r>
    </w:p>
    <w:p>
      <w:r>
        <w:t>49. Similarly, in its guidelines regarding the notion of effect on trade, the Commission specifies that “[h]orizontal agreements covering the entirety of a Member State are normally likely to affect trade between Member States. Moreover, community courts often consider that an agreement extending to the entire territory of a Member State has, by its very nature, the effect of consolidating national partitions, thereby hindering the economic interpenetration intended by the Treaty (...) In principle, these agreements can also, by their very nature, significantly affect trade between Member States, given the market coverage required to ensure the effectiveness of these agreements.”</w:t>
      </w:r>
    </w:p>
    <w:p>
      <w:r>
        <w:t>50. Regarding the significant nature of the effect on trade, the guidelines regarding the effect on trade specify that: “[t]he criterion of effect on trade incorporates a quantitative element that limits the applicability of Community law to agreements and practices that are likely to have effects of a certain magnitude. Agreements and practices are exempt from the prohibition set out in Articles 81 and 82 when they only affect the market in an insignificant manner, given the weak position of the companies concerned in the market for the products in question.”</w:t>
      </w:r>
    </w:p>
    <w:p>
      <w:r>
        <w:t>51. The Court of Cassation has held that the demonstration of the significant nature of the direct or indirect, potential or current effect on trade between Member States can result from a set of criteria, among which are the nature of the practices, the nature of the products concerned, and the position of the companies in the relevant market.</w:t>
      </w:r>
    </w:p>
    <w:p>
      <w:r>
        <w:t>52. The Commission establishes, in its aforementioned guidelines, a sensitivity threshold, below which an agreement is presumed not to significantly affect trade between Member States. The agreements that meet this definition are those for which:</w:t>
        <w:br/>
        <w:t>- the total market share of the parties in the affected Community market does not exceed 5%; and</w:t>
        <w:br/>
        <w:t>- in the case of horizontal agreements, the average annual turnover achieved in the Union by the companies concerned with the products covered by the agreement does not exceed 40 million euros.</w:t>
      </w:r>
    </w:p>
    <w:p>
      <w:r>
        <w:t>53. In this case, as indicated above (see paragraph 8), the contracts awarded by France AgriMer under the FEAD or CNES cover the entire French territory. They therefore constitute national-scale markets. Furthermore, the companies likely to apply for tenders from France AgriMer are numerous, of varying sizes, and distributed across the territory of the Union.</w:t>
      </w:r>
    </w:p>
    <w:p>
      <w:r>
        <w:t>54. Regarding the significant nature of the effect, the practices examined involve companies whose European turnover exceeded 40 million euros in 2016.</w:t>
      </w:r>
    </w:p>
    <w:p>
      <w:r>
        <w:t>55. Given the national dimension of the markets in question and the position of the companies in the markets where the practices were implemented, it should be considered that these practices are likely to affect trade between Member States.</w:t>
      </w:r>
    </w:p>
    <w:p>
      <w:r>
        <w:rPr>
          <w:b/>
        </w:rPr>
        <w:t>[Pages 13–15]</w:t>
      </w:r>
    </w:p>
    <w:p>
      <w:r>
        <w:t>56. Consequently, the practices in question must be examined in light of the provisions of national law, particularly Article L. 420-1 of the Commercial Code, but also in light of European law, notably Article 101 of the TFEU.</w:t>
      </w:r>
    </w:p>
    <w:p>
      <w:r>
        <w:t>C. ON THE MERITS OF THE NOTIFIED GRIEVANCE</w:t>
      </w:r>
    </w:p>
    <w:p>
      <w:r>
        <w:t>57. Articles 101 of the TFEU and L. 420-1 of the Commercial Code prohibit agreements or concerted practices concluded between companies, that is to say, between distinct economic units. The decision-making practice and case law, both national and European, thus consider that the articles prohibiting collusion do not apply to agreements or practices implemented within the same economic unit33.</w:t>
      </w:r>
    </w:p>
    <w:p>
      <w:r>
        <w:t>58. In cases where a parent company holds, directly or indirectly through an intermediary company, all or nearly all of the capital of its subsidiary, it is presumed, rebuttably, to exercise a decisive influence over the behavior of its subsidiary and to form with it an economic unit34.</w:t>
      </w:r>
    </w:p>
    <w:p>
      <w:r>
        <w:t>59. In a judgment of July 12, 1995, Viho, the Court of the Union ruled that: "in the absence of the concerted will of economically independent entities, the relationships within an economic unit cannot constitute an agreement or concerted practice between companies, restrictive of competition within the meaning of Article 85, paragraph 1, of the Treaty. When, as in this case, the subsidiary, although having a distinct legal personality, does not autonomously determine its behavior on the market, but applies the instructions given to it, directly or indirectly, by the parent company that controls it 100%, the prohibitions laid down by Article 85, paragraph 1 [now Article 101, paragraph 1], are inapplicable in the relations between the subsidiary and the parent company with which it forms an economic unit (emphasis added)35.</w:t>
      </w:r>
    </w:p>
    <w:p>
      <w:r>
        <w:t>60. In the same case, the Court of Justice validated the reasoning of the Tribunal by stating that: "it is established that Parker holds 100% of the capital of its subsidiaries (...). This regional team also prescribes the range of products to be sold, controls advertising activities, and provides guidelines regarding prices and discounts. Parker and its subsidiaries thus form an economic unit within which the subsidiaries do not enjoy real autonomy in determining their course of action on the market, but apply the instructions given to them by the parent company that controls them" (emphasis added)36.</w:t>
      </w:r>
    </w:p>
    <w:p>
      <w:r>
        <w:t>61. Regarding agreements between two subsidiaries belonging to the same group, the Commission's guidelines on horizontal cooperation agreements of January 14, 2011, specify that "[i]t is the same for sister companies, that is to say, companies over which the same parent company exercises a decisive influence. They are therefore not considered as competitors even if they both operate in the same product markets and the same geographical markets in question"37. The French decision-making practice goes in the same direction38.</w:t>
      </w:r>
    </w:p>
    <w:p>
      <w:r>
        <w:t>62. In national law, however, it resulted from consistent decision-making practice and case law that concerted practices between companies of the same group implemented in the context of a tender could fall under the competition rules applicable to collusion, provided that the companies in question had chosen to bid separately by submitting distinct offers. In this case, the companies, which presented themselves as independent and competing entities, were deemed to demonstrate their commercial autonomy with respect to the buyer39.</w:t>
      </w:r>
    </w:p>
    <w:p>
      <w:r>
        <w:t>63. These principles were reiterated in a judgment of October 28, 2010, by the Paris Court of Appeal: "regarding the behaviors of companies belonging to the same group during competitive bidding procedures incriminated by Article L. 420-1 of the Commercial Code and by Article 81 of the EC Treaty, now Article 101 of the TFEU, (...) it is possible for companies having legal or financial ties between them, but possessing commercial autonomy, to submit distinct and competing offers on the condition that they do not consult before submitting these offers or renounce this autonomy during competitive bidding and consult to decide which company will submit an offer or to consult to establish this offer, provided that only one offer is submitted; that on the other hand, by submitting separate offers, companies demonstrate their commercial autonomy and thus choose to present themselves during tenders as competing companies and that, therefore, regardless of the legal and financial ties uniting them, they were required to comply with the competition rules to which they had submitted, which excluded that they could submit offers whose independence was only apparent"40.</w:t>
      </w:r>
    </w:p>
    <w:p>
      <w:r>
        <w:t>64. This application in competition law of the theory of appearance in the case of tenders has, however, always been circumscribed to cases submitted for analysis by the Authority or the Competition Council. In the judgment of October 28, 2010, the Court of Appeal specified in this regard that "the Community courts have never had to deal with practices implemented by companies linked to each other with the object or effect of distorting the tendering process by presenting separate offers whose independence was only apparent."</w:t>
      </w:r>
    </w:p>
    <w:p>
      <w:r>
        <w:t>65. However, in a judgment of May 17, 2018, constituting the first case brought before the Court of Justice in this matter, the Court held that the rules of Article 101 of the TFEU are inapplicable to agreements between companies of the same group made in the context of a tender and referred, in this case, to the rules relating to public procurement: "As for Article 101 TFEU, it should be recalled that this article does not apply when the agreements or practices it prohibits are implemented by companies forming an economic unit (see, in this sense, judgments of May 4, 1988, Bodson, 30/87, EU:C:1988:225, paragraph 19, and of April 11, 1989, Saeed Flugreisen and Silver Line Reisebüro, 66/86, EU:C:1989:140, paragraph 35). It is for the referring court to verify whether bidders A and B form an economic unit. If the companies concerned do not form an economic unit, the parent company not exercising a decisive influence over its subsidiaries, it should be noted that, in any case, the principle of equal treatment provided for in Article 2 of Directive 2004/18 would be violated if it were admitted that linked bidders could submit coordinated or concerted offers, that is to say, not autonomous or independent, which would thus be likely to provide them with unjustified advantages over other bidders, without it being necessary to examine whether the submission of such offers also constitutes behavior contrary to Article 101 TFEU" (emphasis added)41.</w:t>
      </w:r>
    </w:p>
    <w:p>
      <w:r>
        <w:t>66. This new case law consequently leads the Authority to reconsider its decision-making practice regarding the application of the prohibition of collusion to the concerted submissions of subsidiary companies of the same group to tenders.</w:t>
      </w:r>
    </w:p>
    <w:p>
      <w:r>
        <w:t>67. In this case, the companies Dhumeaux, MVS, and Vianov were subsidiaries almost wholly owned by the company Ovimpex, the group head at the time of the facts. These four companies, the parent company and subsidiaries of the group at the time of the facts, therefore constitute the same economic unit within the meaning of competition law, notwithstanding the separate submission of responses to the tenders organized by France AgriMer.</w:t>
      </w:r>
    </w:p>
    <w:p>
      <w:r>
        <w:t>68. In the absence of elements allowing for the characterization of the autonomy of the companies Dhumeaux, MVS, and Vianov, subsidiaries of the Ovimpex group, it is therefore necessary to consider that the</w:t>
      </w:r>
    </w:p>
    <w:p>
      <w:r>
        <w:rPr>
          <w:b/>
        </w:rPr>
        <w:t>[Pages 16–17]</w:t>
      </w:r>
    </w:p>
    <w:p>
      <w:r>
        <w:t>provisions of Articles 101 of the TFEU and L. 420-1 of the Commercial Code are not applicable to the agreements concluded between the companies Dhumeaux, MVS, Ovimpex, and Vianov in the context of bidding for public contracts organized by France AgriMer.</w:t>
      </w:r>
    </w:p>
    <w:p>
      <w:r>
        <w:t>69. It also follows from the Procedural Communication of December 21, 2018, relating to the transaction procedure that "the panel, seized of a case that has led to the application of the transaction procedure, examines, on the one hand, the facts and the grievances notified, and, on the other hand, the transaction report. If it considers that the conditions for imposing a sanction are met, it imposes a sanction within the limits of the range set by the transaction report" (emphasis added)42.</w:t>
      </w:r>
    </w:p>
    <w:p>
      <w:r>
        <w:t>70. The Communication also specifies that if "in light of, on the one hand, the facts and the grievances notified, and, on the other hand, the transaction report, the panel considers that the conditions for imposing a sanction within the range indicated in the transaction report are not met or that the grievance or grievances are unfounded, it may decide to refer the matter for investigation according to the ordinary procedure. This referral for investigation then renders the previously signed transaction report void"43.</w:t>
      </w:r>
    </w:p>
    <w:p>
      <w:r>
        <w:t>71. In this case, the panel considers that, given the evolution of the applicable positive law regarding practices such as those in this case, on the one hand, the conditions for imposing a sanction as envisaged by the transaction reports are not met and, on the other hand, it is not necessary to proceed with a referral for investigation, as the conditions for a prohibition under Articles 101 of the TFEU and L. 420-1 of the Commercial Code are not met.</w:t>
      </w:r>
    </w:p>
    <w:p>
      <w:r>
        <w:t>72. It follows from all of the above that there is no need to continue the procedure.</w:t>
      </w:r>
    </w:p>
    <w:p>
      <w:r>
        <w:t>DECISION</w:t>
        <w:br/>
        <w:t>Sole Article: The Competition Authority considers, based on the information available to it, that the conditions for a prohibition under Articles 101 of the TFEU and L. 420-1 of the Commercial Code are not met. There is therefore no need to continue the procedure.</w:t>
      </w:r>
    </w:p>
    <w:p>
      <w:r>
        <w:t>Deliberated on the oral report of Ms. Melynda Matoura, rapporteur, and the intervention of Mr. Nicolas Deffieux, deputy general rapporteur, by Ms. Isabelle de Silva, president, Ms. Fabienne Siredey-Garnier, Mr. Emmanuel Combe, and Mr. Henri Piffaut, vice-presidents.</w:t>
      </w:r>
    </w:p>
    <w:p>
      <w:r>
        <w:t>The session secretary, The president,</w:t>
        <w:br/>
        <w:t>Armelle Hillion 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