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https://www.autoritedelaconcurrence.fr/fr/decision/relative-des-pratiques-mises-en-oeuvre-dans-le-secteur-des-prestations-de-services</w:t>
      </w:r>
    </w:p>
    <w:p>
      <w:r>
        <w:t>Pages translated : 121</w:t>
      </w:r>
    </w:p>
    <w:p/>
    <w:p>
      <w:r>
        <w:rPr>
          <w:b/>
        </w:rPr>
        <w:t>[Pages 1–3]</w:t>
      </w:r>
    </w:p>
    <w:p>
      <w:r>
        <w:t xml:space="preserve">FRENCH REPUBLIC  </w:t>
        <w:br/>
        <w:t xml:space="preserve">Decision No. 23-D-08 of September 7, 2023  </w:t>
        <w:br/>
        <w:t xml:space="preserve">regarding practices implemented in the sector of  </w:t>
        <w:br/>
        <w:t xml:space="preserve">engineering services, maintenance,  </w:t>
        <w:br/>
        <w:t xml:space="preserve">dismantling, and waste treatment for  </w:t>
        <w:br/>
        <w:t>nuclear sites*</w:t>
      </w:r>
    </w:p>
    <w:p>
      <w:r>
        <w:t xml:space="preserve">The Competition Authority (section IA),  </w:t>
        <w:br/>
        <w:t xml:space="preserve">Considering the request from the company ONET S.A., submitted on September 25, 2018, and received by the general rapporteur on September 27, 2018, seeking to benefit from the provisions of IV of Article L. 464-2 of the Commercial Code;  </w:t>
        <w:br/>
        <w:t xml:space="preserve">Considering the leniency notice No. 19-AC-01 of January 31, 2019, concerning the company ONET S.A. and its subsidiaries;  </w:t>
        <w:br/>
        <w:t xml:space="preserve">Considering decision No. 19-SO-01 of February 4, 2019, registered under number 19/0005 F, by which the Competition Authority took up the practices implemented in the sector of engineering services, maintenance, dismantling, and waste treatment for nuclear sites;  </w:t>
        <w:br/>
        <w:t xml:space="preserve">Considering the Treaty on the Functioning of the European Union, and in particular its Article 101;  </w:t>
        <w:br/>
        <w:t xml:space="preserve">Considering Book IV of the Commercial Code, and in particular its Article L. 420-1;  </w:t>
        <w:br/>
        <w:t xml:space="preserve">Considering the decision of June 2, 2022, by which the general rapporteur decided that the case would be examined without prior establishment of a report;  </w:t>
        <w:br/>
        <w:t xml:space="preserve">Considering the observations presented by the companies Bouygues, Bouygues Travaux Publics and Bouygues Construction Expertises Nucléaires (formerly Bouygues Construction Services Nucléaires), ENGIE, ENDEL, Holding Reinier, ONET, ONET Technologies ND, Vinci, Soletanche Freyssinet, Nuvia Process, SNEF, SPIE SA, SPIE Opérations, SPIE Nucléaire, and the Government Commissioner;  </w:t>
        <w:br/>
        <w:t xml:space="preserve">Considering the other documents in the file;  </w:t>
        <w:br/>
        <w:t xml:space="preserve">The rapporteur, the deputy general rapporteur, the representatives of the companies Bouygues, Bouygues Travaux Publics and Bouygues Construction Expertises Nucléaires (formerly Bouygues Construction Services Nucléaires), ENGIE, ENDEL, Holding Reinier, ONET, ONET Technologies ND, Vinci, Soletanche Freyssinet, Nuvia Process, SNEF, SPIE SA, SPIE Opérations, SPIE Nucléaire, and the Government Commissioner heard during the session of the Competition Authority on March 30, 2023;  </w:t>
        <w:br/>
        <w:t xml:space="preserve">Adopts the following decision:  </w:t>
        <w:br/>
        <w:t>*Public version</w:t>
      </w:r>
    </w:p>
    <w:p>
      <w:r>
        <w:t xml:space="preserve">Summary1  </w:t>
        <w:br/>
        <w:t xml:space="preserve">By this decision, the Competition Authority (hereinafter "the Authority") sanctions, for anti-competitive collusion practices contrary to Article L. 420-1 of the Commercial Code and Article 101, paragraph 1 of the Treaty on the Functioning of the European Union, six companies active in the sector of engineering services, maintenance, dismantling, and waste treatment for nuclear sites in France.  </w:t>
        <w:br/>
        <w:t xml:space="preserve">The practices in question concern several collusions that occurred during calls for tenders issued by the Atomic Energy Commission and Alternative Energies (hereinafter "the CEA") for its Marcoule site, in the Gard.  </w:t>
        <w:br/>
        <w:t xml:space="preserve">For the first series of collusions, referred to in grievance No. 1, the Authority found various exchanges, on the one hand, between certain service providers prior to the award by the CEA of a framework agreement that came into effect in March 2016, and, on the other hand, between these same companies that became awardees of this framework agreement, during its implementation, for the subsequent award of a number of contracts. The companies that participated in this collusion were initially ONET Technologies ND (hereinafter "OTND"), a subsidiary of the ONET group, Nuvia Process, a subsidiary of Soletanche Freyssinet and Vinci, and ENDEL, at the time of the facts a subsidiary of ENGIE. They were later joined, during the implementation of the framework agreement, by Bouygues Construction Expertises Nucléaires (hereinafter "BCEN"), a subsidiary of the Bouygues group. The companies in question divided each of the relevant contracts among themselves by preparing, where appropriate, cover offers. This collusion only ended with a search and seizure operation carried out by the Authority in February 2019.  </w:t>
        <w:br/>
        <w:t xml:space="preserve">A second series of collusions, referred to in grievances No. 2 to 10, concerns consultations and exchanges of information that occurred within the framework of occasional calls for tenders, which did not fall within the scope of the aforementioned framework agreement, and were implemented between April 2014 and October 2017. The companies that participated in these collusions were OTND, Nuvia Process, BCEN, as well as SNEF and SPIE Nucléaire, a subsidiary of the SPIE group.  </w:t>
        <w:br/>
        <w:t xml:space="preserve">The Authority considered that, given their nature, purpose, and the context in which they occurred, these practices were, by their very object, anti-competitive.  </w:t>
        <w:br/>
        <w:t xml:space="preserve">These practices were first revealed thanks to the leniency request filed in September 2018, under IV of Article L. 464-2 of the Commercial Code, by the company ONET S.A., the parent company of OTND. The search and seizure operations of February 2019 allowed for the gathering of additional evidence.  </w:t>
        <w:br/>
        <w:t>1 This summary is strictly informative. Only the reasons for the decision numbered below are authoritative.</w:t>
      </w:r>
    </w:p>
    <w:p>
      <w:r>
        <w:t xml:space="preserve">The leniency applicant, the ONET group, received a total exemption from monetary sanctions. The Authority, on the other hand, imposed the following monetary sanctions on the other companies, as well as a publication injunction:  </w:t>
        <w:br/>
        <w:t xml:space="preserve">Grievance No. 1 Grievances No. 2 to 10  </w:t>
        <w:br/>
        <w:t xml:space="preserve">(euros) (euros)  </w:t>
        <w:br/>
        <w:t xml:space="preserve">OTND (jointly liable with ONET S.A. 0 0  </w:t>
        <w:br/>
        <w:t xml:space="preserve">and Holding Reinier)  </w:t>
        <w:br/>
        <w:t xml:space="preserve">NUVIA (jointly liable with 12,752,000 1,159,000  </w:t>
        <w:br/>
        <w:t xml:space="preserve">Soletanche Freyssinet and Vinci)  </w:t>
        <w:br/>
        <w:t xml:space="preserve">ENDEL (jointly liable with ENGIE) 10,800,000 256,000  </w:t>
        <w:br/>
        <w:t xml:space="preserve">BCEN (jointly liable with Bouygues 6,242,000 n.a.  </w:t>
        <w:br/>
        <w:t xml:space="preserve">Travaux Publics and Bouygues)  </w:t>
        <w:br/>
        <w:t xml:space="preserve">SNEF n.a. 20,000  </w:t>
        <w:br/>
        <w:t xml:space="preserve">SPIE Nucléaire (jointly liable with n.a. 10,000  </w:t>
        <w:br/>
        <w:t>SPIE Opérations and SPIE SA)</w:t>
      </w:r>
    </w:p>
    <w:p>
      <w:r>
        <w:rPr>
          <w:b/>
        </w:rPr>
        <w:t>[Pages 4–6]</w:t>
      </w:r>
    </w:p>
    <w:p>
      <w:r>
        <w:t>SUMMARY</w:t>
      </w:r>
    </w:p>
    <w:p>
      <w:r>
        <w:t xml:space="preserve">I. FINDINGS ................................................................................ 8  </w:t>
        <w:br/>
        <w:t xml:space="preserve">A. REMINDER OF THE PROCEDURE ...................................................................................8  </w:t>
        <w:br/>
        <w:t xml:space="preserve">1. THE REQUEST FOR LENIENCY FROM ONET S.A. .......................................8  </w:t>
        <w:br/>
        <w:t xml:space="preserve">2. THE VISIT AND SEIZURE OPERATIONS ......................................................................8  </w:t>
        <w:br/>
        <w:t xml:space="preserve">3. FILE NO. 19/0005 F...........................................................................................9  </w:t>
        <w:br/>
        <w:t xml:space="preserve">B. THE RELEVANT SECTOR ..........................................................................................9  </w:t>
        <w:br/>
        <w:t xml:space="preserve">1. THE DECOMMISSIONING OF NUCLEAR POWER PLANTS IN FRANCE ..........................9  </w:t>
        <w:br/>
        <w:t xml:space="preserve">a) General presentation ................................................................................ 9  </w:t>
        <w:br/>
        <w:t xml:space="preserve">b) The regulations concerning decommissioning ....................................... 9  </w:t>
        <w:br/>
        <w:t xml:space="preserve">c) The specific constraints of nuclear decommissioning activity .......... 10  </w:t>
        <w:br/>
        <w:t xml:space="preserve">d) The economic context of nuclear decommissioning activity .... 11  </w:t>
        <w:br/>
        <w:t xml:space="preserve">2. THE DECOMMISSIONING OF THE CEA MARCOULE SITE .......................................13  </w:t>
        <w:br/>
        <w:t xml:space="preserve">a) Presentation of the site ................................................................................. 13  </w:t>
        <w:br/>
        <w:t xml:space="preserve">b) The organization of the CEA around the decommissioning of the Marcoule site 14  </w:t>
        <w:br/>
        <w:t xml:space="preserve">C. THE COMPANIES ACTIVE IN THE SECTOR ............................................14  </w:t>
        <w:br/>
        <w:t xml:space="preserve">1. ONET TECHNOLOGIES ...........................................................................................15  </w:t>
        <w:br/>
        <w:t xml:space="preserve">2. NUVIA PROCESS .......................................................................................................15  </w:t>
        <w:br/>
        <w:t xml:space="preserve">3. ENDEL .....................................................................................................................15  </w:t>
        <w:br/>
        <w:t xml:space="preserve">4. BOUYGUES CONSTRUCTION NUCLEAR EXPERTISES (BCSN) .........................16  </w:t>
        <w:br/>
        <w:t xml:space="preserve">5. SNEF NUCLEAR ...................................................................................................16  </w:t>
        <w:br/>
        <w:t xml:space="preserve">6. SPIE NUCLEAIRE .....................................................................................................16  </w:t>
        <w:br/>
        <w:t xml:space="preserve">7. ORANO ......................................................................................................................17  </w:t>
        <w:br/>
        <w:t xml:space="preserve">8. THE CEA.....................................................................................................................17  </w:t>
        <w:br/>
        <w:t xml:space="preserve">D. OBSERVED PRACTICES .............................................................................17  </w:t>
        <w:br/>
        <w:t xml:space="preserve">1. THE FRAMEWORK AGREEMENT CONCLUDED BY THE CEA FOR THE CLEANUP, DECONTAMINATION, AND MAPPING ON THE MARCOULE SITE ............18  </w:t>
        <w:br/>
        <w:t xml:space="preserve">a) The process of the initial awarding of the framework agreement ................. 18  </w:t>
        <w:br/>
        <w:t xml:space="preserve">b) The mechanism for awarding specific contracts within the framework agreement .......................................................................................... 19  </w:t>
        <w:br/>
        <w:t xml:space="preserve">c) The identified exchanges ............................................................................ 19  </w:t>
        <w:br/>
        <w:t xml:space="preserve">The participants in the exchanges .............................................................................21  </w:t>
        <w:br/>
        <w:t xml:space="preserve">The exchanges that occurred before the signing of the framework agreement ..........................21  </w:t>
        <w:br/>
        <w:t xml:space="preserve">The establishment of a distribution of the FEB of the framework agreement .........................22  </w:t>
        <w:br/>
        <w:t>2. OTHER CONTRACTS AWARDED BY THE CEA FOR ITS MARCOULE SITE ......31</w:t>
      </w:r>
    </w:p>
    <w:p>
      <w:r>
        <w:t xml:space="preserve">a) The "pit 600" contracts ....................................................................... 32  </w:t>
        <w:br/>
        <w:t xml:space="preserve">b) The contract "Exit of the filtration pump Pool G" ........................ 33  </w:t>
        <w:br/>
        <w:t xml:space="preserve">c) The "AVM" contracts ............................................................................. 34  </w:t>
        <w:br/>
        <w:t xml:space="preserve">d) The contract "Various ATM Works" ..................................................... 34  </w:t>
        <w:br/>
        <w:t xml:space="preserve">e) The radioprotection assistance contracts for the restoration of the "MAR 400" soils ............................................................................................ 35  </w:t>
        <w:br/>
        <w:t xml:space="preserve">f) The "Asbestos removal IZEN" contract ................................................ 36  </w:t>
        <w:br/>
        <w:t xml:space="preserve">g) The "Decontamination procedure test" contract .............................. 37  </w:t>
        <w:br/>
        <w:t xml:space="preserve">h) The "TQRP monitoring on the North Zone Ditch Clearing site" contract ........................................................................................................ 38  </w:t>
        <w:br/>
        <w:t xml:space="preserve">i) The "Reprise aqueux" contract ............................................................... 38  </w:t>
        <w:br/>
        <w:t>E. REMINDER OF THE NOTIFIED GRIEVANCES ............................................................................38</w:t>
      </w:r>
    </w:p>
    <w:p>
      <w:r>
        <w:t xml:space="preserve">II. DISCUSSION ........................................................................................ 44  </w:t>
        <w:br/>
        <w:t xml:space="preserve">A. ON THE PROCEDURE ................................................................................................44  </w:t>
        <w:br/>
        <w:t xml:space="preserve">1. REGARDING THE TRANSACTION PROCEDURE ..........................................................44  </w:t>
        <w:br/>
        <w:t xml:space="preserve">a) The applicable law .................................................................................. 45  </w:t>
        <w:br/>
        <w:t xml:space="preserve">b) Application to the case at hand ................................................................. 46  </w:t>
        <w:br/>
        <w:t xml:space="preserve">2. REGARDING THE RIGHTS OF THE DEFENSE ..........................................................46  </w:t>
        <w:br/>
        <w:t xml:space="preserve">a) The applicable law .................................................................................. 46  </w:t>
        <w:br/>
        <w:t xml:space="preserve">b) Application to the case at hand ................................................................. 47  </w:t>
        <w:br/>
        <w:t xml:space="preserve">B. ON THE APPLICABILITY OF UNION LAW ...............................................................48  </w:t>
        <w:br/>
        <w:t xml:space="preserve">C. ON THE NOTIFIED GRIEVANCES ....................................................................................49  </w:t>
        <w:br/>
        <w:t xml:space="preserve">1. THE RELEVANT CONTRACTS .....................................................................................49  </w:t>
        <w:br/>
        <w:t xml:space="preserve">2. THE MERITS OF THE GRIEVANCES ....................................................................................49  </w:t>
        <w:br/>
        <w:t xml:space="preserve">a) Reminder of the decision-making practice ................................................ 49  </w:t>
        <w:br/>
        <w:t xml:space="preserve">The principles for qualifying anti-competitive collusion practices ........49  </w:t>
        <w:br/>
        <w:t xml:space="preserve">The anti-competitive nature of the consultations occurring within the framework of public tenders .....................................................................................................51  </w:t>
        <w:br/>
        <w:t xml:space="preserve">The existence of a single, complex, and continuous infringement ..............................52  </w:t>
        <w:br/>
        <w:t xml:space="preserve">The duration of the infringement ..................................................................................54  </w:t>
        <w:br/>
        <w:t xml:space="preserve">b) Application to the case at hand .................................................................... 55  </w:t>
        <w:br/>
        <w:t xml:space="preserve">On grievance no. 1 – the framework agreement ..........................................................55  </w:t>
        <w:br/>
        <w:t xml:space="preserve">On grievance no. 2 – the "pit 600" contracts ...............................................................62  </w:t>
        <w:br/>
        <w:t xml:space="preserve">On grievance no. 3 – the "Exit of the filtration pump Pool G" contract ..........65  </w:t>
        <w:br/>
        <w:t xml:space="preserve">On grievance no. 4 – the "AVM" contracts .................................................................67  </w:t>
        <w:br/>
        <w:t xml:space="preserve">On grievance no. 5 – the "Various ATM Works" contract ......................................68  </w:t>
        <w:br/>
        <w:t xml:space="preserve">On grievance no. 6 – the radioprotection assistance contracts for the restoration of the "MAR 400" soils .................................................................................69  </w:t>
        <w:br/>
        <w:t xml:space="preserve">On grievance no. 7 – the "Asbestos removal IZEN" contract ................................71  </w:t>
        <w:br/>
        <w:t xml:space="preserve">On grievance no. 8 – the "Decontamination procedure test" contract ........73  </w:t>
        <w:br/>
        <w:t xml:space="preserve">On grievance no. 9 – the "TQRP monitoring on the North Zone Ditch Clearing site" contract .................................................................................................74  </w:t>
        <w:br/>
        <w:t xml:space="preserve">On grievance no. 10 – the "Reprise aqueux" contract .............................................75  </w:t>
        <w:br/>
        <w:t xml:space="preserve">c) Conclusion ................................................................................................ 76  </w:t>
        <w:br/>
        <w:t xml:space="preserve">D. ON THE ATTRIBUTION OF PRACTICES .............................................................76  </w:t>
        <w:br/>
        <w:t xml:space="preserve">1. THE APPLICABLE LAW ............................................................................................76  </w:t>
        <w:br/>
        <w:t xml:space="preserve">2. APPLICATION TO THE CASE AT HAND ..........................................................................79  </w:t>
        <w:br/>
        <w:t xml:space="preserve">a) Regarding OTND .................................................................................. 79  </w:t>
        <w:br/>
        <w:t xml:space="preserve">b) Regarding NUVIA ................................................................................ 82  </w:t>
        <w:br/>
        <w:t xml:space="preserve">c) Regarding ENDEL ................................................................................ 86  </w:t>
        <w:br/>
        <w:t xml:space="preserve">d) Regarding BCSN, now Bouygues Construction Nuclear Expertises ................................................................................................. 86  </w:t>
        <w:br/>
        <w:t xml:space="preserve">e) Regarding SNEF ................................................................................... 89  </w:t>
        <w:br/>
        <w:t xml:space="preserve">f) Regarding SPIE DEN, now SPIE Nucléaire ................................ 89  </w:t>
        <w:br/>
        <w:t xml:space="preserve">E. ON FINANCIAL SANCTIONS ....................................................................................90  </w:t>
        <w:br/>
        <w:t xml:space="preserve">1. THE PRINCIPLES RELATING TO THE DETERMINATION OF SANCTIONS .......................90  </w:t>
        <w:br/>
        <w:t xml:space="preserve">a) The applicable law .................................................................................. 91  </w:t>
        <w:br/>
        <w:t xml:space="preserve">The sanctions communication ...................................................................................92  </w:t>
        <w:br/>
        <w:t xml:space="preserve">The ceiling of the former Article L. 464-5 of the Commercial Code ...........................97  </w:t>
        <w:br/>
        <w:t xml:space="preserve">b) The application of a single sanction ................................................... 100  </w:t>
        <w:br/>
        <w:t xml:space="preserve">2. GRIEVANCE NO. 1 .........................................................................................................101  </w:t>
        <w:br/>
        <w:t xml:space="preserve">a) The determination of the sales value ............................................ 102  </w:t>
        <w:br/>
        <w:t xml:space="preserve">b) The severity of the practices ....................................................................... 103  </w:t>
        <w:br/>
        <w:t xml:space="preserve">c) The duration of the practices ......................................................................... 105  </w:t>
        <w:br/>
        <w:t xml:space="preserve">d) The situation of the companies involved .................................................. 105  </w:t>
        <w:br/>
        <w:t xml:space="preserve">Regarding the situation of the Vinci group companies ....................................106  </w:t>
        <w:br/>
        <w:t xml:space="preserve">Regarding the situation of the ENGIE group companies ................................106  </w:t>
        <w:br/>
        <w:t xml:space="preserve">Regarding the Bouygues group .........................................................................106  </w:t>
        <w:br/>
        <w:t xml:space="preserve">e) The reiteration ......................................................................................... 107  </w:t>
        <w:br/>
        <w:t xml:space="preserve">f) The intermediate sanction amounts .................................................... 108  </w:t>
        <w:br/>
        <w:t xml:space="preserve">g) The final adjustments ......................................................................... 108  </w:t>
        <w:br/>
        <w:t xml:space="preserve">Verification of compliance with the legal maximum ................................................109  </w:t>
        <w:br/>
        <w:t>Consideration of leniency ..................................................................................110</w:t>
      </w:r>
    </w:p>
    <w:p>
      <w:r>
        <w:rPr>
          <w:b/>
        </w:rPr>
        <w:t>[Pages 7–9]</w:t>
      </w:r>
    </w:p>
    <w:p>
      <w:r>
        <w:t xml:space="preserve">3. GRIEVANCES NO. 2 TO 10 .............................................................................................112  </w:t>
        <w:br/>
        <w:t xml:space="preserve">a) The seriousness of the practices ....................................................................... 113  </w:t>
        <w:br/>
        <w:t xml:space="preserve">b) The duration of the practices .......................................................................... 113  </w:t>
        <w:br/>
        <w:t xml:space="preserve">c) The situation of the companies ....................................................................... 114  </w:t>
        <w:br/>
        <w:t xml:space="preserve">d) The repetition .................................................................................................. 114  </w:t>
        <w:br/>
        <w:t xml:space="preserve">Reminder of the applicable principles ..................................................................114  </w:t>
        <w:br/>
        <w:t xml:space="preserve">Application to the case at hand .............................................................................114  </w:t>
        <w:br/>
        <w:t xml:space="preserve">e) The final adjustments .................................................................................... 115  </w:t>
        <w:br/>
        <w:t xml:space="preserve">Verification of compliance with the legal maximum ...........................................115  </w:t>
        <w:br/>
        <w:t xml:space="preserve">Consideration of leniency ....................................................................................116  </w:t>
        <w:br/>
        <w:t xml:space="preserve">4. THE CONTRIBUTIVE CAPACITY OF EACH COMPANY ........................................116  </w:t>
        <w:br/>
        <w:t xml:space="preserve">5. THE FINAL AMOUNT OF SANCTIONS ..................................................................116  </w:t>
        <w:br/>
        <w:t xml:space="preserve">F. ON THE PUBLICATION INJUNCTION .................................................................117  </w:t>
        <w:br/>
        <w:t>DECISION ........................................................................................................... 119</w:t>
      </w:r>
    </w:p>
    <w:p>
      <w:r>
        <w:t xml:space="preserve">I. Findings  </w:t>
        <w:br/>
        <w:t xml:space="preserve">A. REMINDER OF THE PROCEDURE  </w:t>
        <w:br/>
        <w:t xml:space="preserve">1. THE LENIENCY REQUEST OF ONET S.A.  </w:t>
        <w:br/>
        <w:t xml:space="preserve">1. By letter sent by registered mail with acknowledgment of receipt on September 25, 2018, received by the Competition Authority (hereinafter "the Authority") on September 27, 2018, ONET S.A. submitted a request to the general rapporteur of the Authority for the implementation of IV of Article L. 464-2 of the Commercial Code.  </w:t>
        <w:br/>
        <w:t xml:space="preserve">2. This request concerned practices potentially prohibited by Articles 101, paragraph 1, of the Treaty on the Functioning of the European Union (hereinafter "TFEU") and L. 420-1 of the Commercial Code, in the sector of engineering, maintenance, decommissioning, and waste treatment services for nuclear facilities in France.  </w:t>
        <w:br/>
        <w:t xml:space="preserve">3. More specifically, the practices denounced concerned exchanges that took place between ONET Technologies and its competitors with the aim of distorting competition during a number of calls for tenders issued by the Atomic Energy and Alternative Energies Commission (hereinafter "CEA") for its site in Marcoule in the Gard.  </w:t>
        <w:br/>
        <w:t xml:space="preserve">4. By notice No. 19-AC-01 of January 31, 2019, the Authority granted ONET S.A. the conditional benefit of a total exemption from sanctions for the practices denounced.  </w:t>
        <w:br/>
        <w:t xml:space="preserve">2. THE INSPECTION AND SEIZURE OPERATIONS  </w:t>
        <w:br/>
        <w:t xml:space="preserve">5. On February 12, 2019, the investigation services of the Authority conducted, based on Article L. 450-4 of the Commercial Code, inspection and seizure operations at the premises of several companies. These operations were carried out based on an order issued by the judge of freedoms and detention (hereinafter "JLD") of the Nanterre High Court and, upon request, by the JLDs of the High Courts of Marseille, Cherbourg-en-Cotentin, Valence, and Nîmes.  </w:t>
        <w:br/>
        <w:t xml:space="preserve">6. The companies visited were as follows:  </w:t>
        <w:br/>
        <w:t xml:space="preserve">− ONET Technologies;  </w:t>
        <w:br/>
        <w:t xml:space="preserve">− NUVIA Process;  </w:t>
        <w:br/>
        <w:t xml:space="preserve">− ENDEL;  </w:t>
        <w:br/>
        <w:t xml:space="preserve">− Bouygues Construction Nuclear Expertise (formerly Bouygues Construction Nuclear Services);  </w:t>
        <w:br/>
        <w:t xml:space="preserve">− SNEF Nuclear;  </w:t>
        <w:br/>
        <w:t>− SPIE Nuclear.</w:t>
      </w:r>
    </w:p>
    <w:p>
      <w:r>
        <w:t xml:space="preserve">3. CASE FILE NO. 19/0005 F  </w:t>
        <w:br/>
        <w:t xml:space="preserve">7. By decision No. 10-SO-01 of February 4, 2019, the Authority took up practices implemented in the sector of engineering, maintenance, decommissioning, and waste treatment services for nuclear sites.  </w:t>
        <w:br/>
        <w:t xml:space="preserve">8. In accordance with Article L. 463-3 of the Commercial Code, the general rapporteur decided, by a decision of June 2, 2022, that the case would be examined by the Authority without prior establishment of a report.  </w:t>
        <w:br/>
        <w:t xml:space="preserve">B. THE RELEVANT SECTOR  </w:t>
        <w:br/>
        <w:t xml:space="preserve">1. DECOMMISSIONING OF NUCLEAR POWER PLANTS IN FRANCE  </w:t>
        <w:br/>
        <w:t xml:space="preserve">a) General presentation  </w:t>
        <w:br/>
        <w:t xml:space="preserve">9. This decision concerns engineering, maintenance, decommissioning, and waste treatment services for nuclear sites.  </w:t>
        <w:br/>
        <w:t xml:space="preserve">10. At the end of their operational period, nuclear facilities undergo decommissioning operations. This activity particularly aims to remove all hazardous and radioactive substances present in these facilities. It may include operations such as dismantling equipment, cleaning premises and soils, destroying civil engineering structures, or treating, packaging, removing, and disposing of waste, whether radioactive or not.  </w:t>
        <w:br/>
        <w:t xml:space="preserve">11. As attested by the Nuclear Safety Authority (hereinafter "ASN") and the Institute for Radioprotection and Nuclear Safety (hereinafter "IRSN"), decommissioning operations are most often lengthy processes that can span decades and pose challenges for operators in terms of project management, maintaining skills, and coordinating various works, which often involve several specialized companies on the same site. They require distinct skills from other activities in the nuclear cycle (engineering, new works, and maintenance).  </w:t>
        <w:br/>
        <w:t xml:space="preserve">b) Regulations concerning decommissioning  </w:t>
        <w:br/>
        <w:t>12. The decommissioning of basic nuclear installations (hereinafter "INB") is subject to specific regulations established by Law No. 2006-686 of June 13, 2006, now codified in Articles L. 593-25 to L. 593-30 of the Environmental Code, by the decree of...</w:t>
      </w:r>
    </w:p>
    <w:p>
      <w:r>
        <w:rPr>
          <w:b/>
        </w:rPr>
        <w:t>[Pages 10–12]</w:t>
      </w:r>
    </w:p>
    <w:p>
      <w:r>
        <w:t>2 November 2007, now codified in Articles R. 593-64 to R. 593-75 of the same code, and finally by the order of 7 February 2012.</w:t>
      </w:r>
    </w:p>
    <w:p>
      <w:r>
        <w:t>13. Article L. 593-2 of the Environmental Code defines a list of Basic Nuclear Installations (INB):</w:t>
        <w:br/>
        <w:t>− nuclear reactors;</w:t>
        <w:br/>
        <w:t>− installations meeting characteristics defined by decree in the Council of State, for the preparation, enrichment, manufacture, treatment, or storage of nuclear fuels or for the treatment, storage, or disposal of radioactive waste;</w:t>
        <w:br/>
        <w:t>− installations containing radioactive or fissile substances and meeting characteristics defined by decree in the Council of State;</w:t>
        <w:br/>
        <w:t>− particle accelerators meeting characteristics defined by decree in the Council of State;</w:t>
        <w:br/>
        <w:t>− deep geological storage centers for radioactive waste mentioned in Article L. 542-10-1.</w:t>
      </w:r>
    </w:p>
    <w:p>
      <w:r>
        <w:t>14. Article L. 593-25 of the Environmental Code requires any operator of an INB to proceed with its decommissioning as soon as possible after its definitive shutdown. The operator is required to send a declaration of shutdown of the installation to the minister responsible for nuclear safety and to the ASN, followed by a file describing the steps of the decommissioning.</w:t>
      </w:r>
    </w:p>
    <w:p>
      <w:r>
        <w:t>15. The decommissioning of the installation is then prescribed by decree, in accordance with Article L. 593-28 of the same code. The decree sets the characteristics of the decommissioning, its timeline, and, where applicable, the operations to be carried out by the operator after decommissioning.</w:t>
      </w:r>
    </w:p>
    <w:p>
      <w:r>
        <w:t>c) The specific constraints of nuclear decommissioning activity</w:t>
      </w:r>
    </w:p>
    <w:p>
      <w:r>
        <w:t>16. Due to the specific working environment of nuclear decommissioning activities, they are subject to particularly strong constraints, related to the imperative of minimizing the risk of irradiation or leakage. Companies participating in decommissioning thus require significant engineering structures, but also local branches.</w:t>
      </w:r>
    </w:p>
    <w:p>
      <w:r>
        <w:t>17. Specifically regarding the Marcoule site, operated by the CEA, the decommissioning operations taking place there are made particularly complex by its age and the gradual loss of knowledge of the site by the operator, which explains that some services requested by the CEA pertain to surveying or mapping. The original plan of the buildings is generally poorly known, as are their subsequent developments. Furthermore, these are older buildings whose construction involved the systematic use of asbestos. This situation leads to additional costs, delays, and contracts.</w:t>
      </w:r>
    </w:p>
    <w:p>
      <w:r>
        <w:t>18. Moreover, safety rules in radioactive environments severely limit the possibilities for reusing materials used for the site. These must either be kept on site or disposed of as waste. Furthermore, it is not possible for a company to use equipment already installed by another company on a site.</w:t>
      </w:r>
    </w:p>
    <w:p>
      <w:r>
        <w:t>19. Finally, the same safety requirements lead to a maximum limitation on the number of people working on the same site at the same time.</w:t>
      </w:r>
    </w:p>
    <w:p>
      <w:r>
        <w:t>d) The economic context of nuclear decommissioning activity</w:t>
      </w:r>
    </w:p>
    <w:p>
      <w:r>
        <w:t>20. According to the report of the information mission of the National Assembly on the follow-up of the closure of the Fessenheim power plant, submitted on 6 October 2021, among the 69 installations definitively shut down in France, 35 are reactors, most of which are experimental reactors. There are currently 36 sites undergoing decommissioning. These sites belong to the CEA, EDF, or Orano.</w:t>
      </w:r>
    </w:p>
    <w:p>
      <w:r>
        <w:t>21. According to the ASN, decommissioning operations will increase in the coming years. Indeed, many French civil nuclear installations were built in the 1960s. Many of them are reaching or will soon reach the end of their operational life and will therefore need to be decommissioned.</w:t>
      </w:r>
    </w:p>
    <w:p>
      <w:r>
        <w:t>22. A Xerfi study on the nuclear sector published in December 2019 noted in this regard: "The decommissioning of nuclear installations at the end of their life represents an increasingly important outlet for players in the French nuclear sector. With the global fleet aging, the decommissioning of the first reactors being shut down represents a significant financial boon (the decommissioning of all French civil nuclear installations would represent a market of €60 billion), on which most players in the French nuclear sector are diversifying."</w:t>
      </w:r>
    </w:p>
    <w:p>
      <w:r>
        <w:t>23. Consequently, the upcoming decommissioning operations of French nuclear installations represent a major challenge for operators and industrialists as well as for the ASN.</w:t>
      </w:r>
    </w:p>
    <w:p>
      <w:r>
        <w:t>24. However, the aforementioned report highlights the lack of profitability of this activity: "The main obstacle to development for the French sector in the field of decommissioning is economic: as indicated during the hearings, particularly that...</w:t>
      </w:r>
    </w:p>
    <w:p>
      <w:r>
        <w:rPr>
          <w:b/>
        </w:rPr>
        <w:t>[Pages 13–15]</w:t>
      </w:r>
    </w:p>
    <w:p>
      <w:r>
        <w:t>the GIFEN, at present, decommissioning is not a profitable activity for companies and is not an attractive activity, particularly for young people. Although decommissioning is a stage in the life of any nuclear facility and necessarily lasts at least a decade and often much longer, it suffers from a negative image, that of the end of a sector. (…) [C]ompanies observe a high degree of uncertainty regarding the exact condition of the facilities to be decommissioned, as many hazards and technical constraints that they know how to take into account contradict the existence of extremely rigid contracts, in terms of risk sharing, between the operators of the facilities and the service providers. Decommissioning operations, as well as soil remediation operations once decommissioning is completed, may lead to the discovery of contaminations or difficulties that were not identified at the time of the contract signing; however, some of these contracts are "fixed-price," with an amount set at the outset. If the operations to be carried out by a subcontractor are more complex than expected or take longer, the corresponding financial risk falls on the subcontractor and not on the operator."</w:t>
      </w:r>
    </w:p>
    <w:p>
      <w:r>
        <w:t>25. The companies interviewed during the investigation confirmed this situation.</w:t>
      </w:r>
    </w:p>
    <w:p>
      <w:r>
        <w:t>2. THE DECOMMISSIONING OF THE CEA MARCOULE SITE</w:t>
        <w:br/>
        <w:t>a) Presentation of the site</w:t>
      </w:r>
    </w:p>
    <w:p>
      <w:r>
        <w:t>26. The Marcoule nuclear site was created by the CEA in 1955, in order to install plutonium production activities for military purposes. A set of nuclear reactors was thus created to produce plutonium used in atomic bombs, as well as a number of experimental facilities intended to develop civil nuclear electricity production.</w:t>
      </w:r>
    </w:p>
    <w:p>
      <w:r>
        <w:t>27. The main buildings of the Marcoule site were as follows:</w:t>
        <w:br/>
        <w:t>− reactors G1, G2, and G3;</w:t>
        <w:br/>
        <w:t>− the GPA plant for reprocessing fuels and extracting plutonium;</w:t>
        <w:br/>
        <w:t>− the Dégainage building;</w:t>
        <w:br/>
        <w:t>− the Marcoule Pilot Workshop (APM), responsible for waste reprocessing;</w:t>
        <w:br/>
        <w:t>− the Effluent Treatment Station (STEL);</w:t>
        <w:br/>
        <w:t>− the Marcoule Vitrification Workshop (AVM);</w:t>
        <w:br/>
        <w:t>− the Storage of Fission Products (SPF);</w:t>
        <w:br/>
        <w:t>− reactors Célestin I and II;</w:t>
        <w:br/>
        <w:t>− the experimental reactor Phénix.</w:t>
      </w:r>
    </w:p>
    <w:p>
      <w:r>
        <w:t>28. The site is currently undergoing complete decommissioning. Decommissioning work began in 1997 and could last approximately 70 years.</w:t>
      </w:r>
    </w:p>
    <w:p>
      <w:r>
        <w:t>b) The organization of the CEA around the decommissioning of the Marcoule site</w:t>
      </w:r>
    </w:p>
    <w:p>
      <w:r>
        <w:t>29. Decommissioning mobilizes approximately 1,200 people at the CEA. Some of the agents belong to the military applications directorate (DAM), but the majority are attached to the energy directorate (DEN then DES), which manages the civil part. A directorate within the DES is responsible for decommissioning, waste management, and nuclear services. It employs 1,050 people, who are involved in the decommissioning of four sites: Fontenay-aux-Roses, Saclay, Cadarache, and Marcoule. The Marcoule site represents half of the decommissioning operations undertaken.</w:t>
      </w:r>
    </w:p>
    <w:p>
      <w:r>
        <w:t>30. The project management of decommissioning allocates a budget of approximately 740 million euros per year, divided between the DAM and the DES. The two delegated project managements (military and civil) apply the strategy and manage the projects.</w:t>
      </w:r>
    </w:p>
    <w:p>
      <w:r>
        <w:t>31. At Marcoule, four units are established. They operate thematically:</w:t>
        <w:br/>
        <w:t>− a first unit dealing with high-activity decommissioning for the UP1 plant (plutonium extraction plant) and the Marcoule Pilot Workshop;</w:t>
        <w:br/>
        <w:t>− a second unit dealing with the decommissioning of the Phénix reactor;</w:t>
        <w:br/>
        <w:t>− a third unit dealing with the retrieval of old waste, organized by area for (i) bitumen drums, (ii) magnesium waste, and (iii) waste from the Northern area;</w:t>
        <w:br/>
        <w:t>− a fourth unit dealing with the rest: the old reactors of Marcoule (the three natural uranium graphite gas reactors, G1, G2, G3), the two Célestin reactors (C1 and C2), and the effluent treatment station.</w:t>
      </w:r>
    </w:p>
    <w:p>
      <w:r>
        <w:t>32. As indicated by the CEA, decommissioning services are subject to calls for tenders that are always organized in the same way: one call for tenders per project, and consequently, for each of these projects, a competitive process.</w:t>
      </w:r>
    </w:p>
    <w:p>
      <w:r>
        <w:t>33. To be able to respond to a call for tenders from the CEA, companies in the sector must have certain qualifications. The CEA has therefore established a Commission for the Acceptance of Companies in Radioactive Remediation (hereinafter "CAEAR").</w:t>
      </w:r>
    </w:p>
    <w:p>
      <w:r>
        <w:t>C. COMPANIES ACTIVE IN THE SECTOR</w:t>
      </w:r>
    </w:p>
    <w:p>
      <w:r>
        <w:t>34. As indicated by the CEA, the three historical operators in remediation and decommissioning are the Société des Techniques en Milieux Ionisants (hereinafter "STMI," now Orano DS), ONET Technologies, and Nuvia Process. Subsequently, Bouygues Construction Expertises Nucléaires (formerly Bouygues Construction Services Nucléaires), ENDEL, SPIE Nucléaire, and SNEF entered the market. These companies will be described successively below.</w:t>
      </w:r>
    </w:p>
    <w:p>
      <w:r>
        <w:t>1. ONET TECHNOLOGIES</w:t>
      </w:r>
    </w:p>
    <w:p>
      <w:r>
        <w:t>35. The ONET group is a company specialized in cleaning, headquartered in Marseille. The behaviors subject to this decision concern more particularly its subsidiary ONET Technologies.</w:t>
      </w:r>
    </w:p>
    <w:p>
      <w:r>
        <w:t>36. ONET Technologies is the ONET group's subsidiary for nuclear facilities. It offers the following services:</w:t>
        <w:br/>
        <w:t>− design and construction of new facilities;</w:t>
        <w:br/>
        <w:t>− operational assistance;</w:t>
        <w:br/>
        <w:t>− control and inspection;</w:t>
        <w:br/>
        <w:t>− maintenance;</w:t>
        <w:br/>
        <w:t>− decontamination and decommissioning;</w:t>
        <w:br/>
        <w:t>− treatment of radioactive waste and asbestos removal;</w:t>
        <w:br/>
        <w:t>− training.</w:t>
      </w:r>
    </w:p>
    <w:p>
      <w:r>
        <w:t>37. The activities of ONET Technologies are divided within two subsidiaries. Nuclear service activities are carried out by ONET Technologies NC, while decommissioning and waste management activities are carried out by ONET Technologies ND (hereinafter "OTND").</w:t>
      </w:r>
    </w:p>
    <w:p>
      <w:r>
        <w:t>38. ONET Technologies is present at 30 nuclear sites in France, its main clients being EDF, the CEA, and Orano (formerly AREVA).</w:t>
      </w:r>
    </w:p>
    <w:p>
      <w:r>
        <w:t>39. In the area concerned, ONET Technologies has two agencies: the agency in Bagnols-sur-Cèze, sometimes referred to as the Marcoule agency, and the agency in Pierrelatte, sometimes referred to as the Tricastin agency.</w:t>
      </w:r>
    </w:p>
    <w:p>
      <w:r>
        <w:t>2. NUVIA PROCESS</w:t>
      </w:r>
    </w:p>
    <w:p>
      <w:r>
        <w:t>40. Nuvia Process (hereinafter "NUVIA") is a company specialized in the entire nuclear sector, particularly in remediation and nuclear decommissioning.</w:t>
      </w:r>
    </w:p>
    <w:p>
      <w:r>
        <w:t>41. NUVIA (formerly Salvarem) is a subsidiary of Soletanche-Freyssinet, which is itself owned by Vinci Construction, the parent company of the group being Vinci S.A.</w:t>
      </w:r>
    </w:p>
    <w:p>
      <w:r>
        <w:t>42. The Southern agency of NUVIA encompasses activities for Marcoule, Cadarache, and the Ispra site in Italy.</w:t>
      </w:r>
    </w:p>
    <w:p>
      <w:r>
        <w:t>3. ENDEL</w:t>
      </w:r>
    </w:p>
    <w:p>
      <w:r>
        <w:t>43. ENDEL was a subsidiary of the ENGIE group, specialized in industrial maintenance and energy services. The company has been owned by the Altrad group since April 1, 2022.</w:t>
      </w:r>
    </w:p>
    <w:p>
      <w:r>
        <w:t>44. Within ENDEL, the "Fuel Cycle" branch manages all activities of the nuclear sector, except for the operation of nuclear power plants.</w:t>
      </w:r>
    </w:p>
    <w:p>
      <w:r>
        <w:rPr>
          <w:b/>
        </w:rPr>
        <w:t>[Pages 16–18]</w:t>
      </w:r>
    </w:p>
    <w:p>
      <w:r>
        <w:t>45. The Bagnols-sur-Cèze agency of ENDEL is responsible for these activities for the South-East quarter of France, which includes the Marcoule site of the CEA.</w:t>
      </w:r>
    </w:p>
    <w:p>
      <w:r>
        <w:t>4. BOUYGUES CONSTRUCTION EXPERTISES NUCLEAIRES (BCSN)</w:t>
      </w:r>
    </w:p>
    <w:p>
      <w:r>
        <w:t>46. The company BCSN is a subsidiary of the Bouygues group specialized in service activities related to nuclear energy.</w:t>
      </w:r>
    </w:p>
    <w:p>
      <w:r>
        <w:t>47. BCSN comprises several areas of activity: decontamination/dismantling, nuclear ventilation, waste management, maintenance, robotics, and design of special machines.</w:t>
      </w:r>
    </w:p>
    <w:p>
      <w:r>
        <w:t>48. The Bagnols-sur-Cèze branch of BCSN is responsible for the nuclear sites located in the south of France.</w:t>
      </w:r>
    </w:p>
    <w:p>
      <w:r>
        <w:t>49. Until 2015, BCSN had a limited presence at the Marcoule site. Then, between June and December 2016, BCSN no longer had the necessary accreditations to carry out the services requested by the CEA.</w:t>
      </w:r>
    </w:p>
    <w:p>
      <w:r>
        <w:t>5. SNEF NUCLEAIRE</w:t>
      </w:r>
    </w:p>
    <w:p>
      <w:r>
        <w:t>50. The SNEF group is an independent multi-technical group founded in 1905, active in electrotechnics, mechanics, telecommunications, and industrial processes.</w:t>
      </w:r>
    </w:p>
    <w:p>
      <w:r>
        <w:t>51. It is present in the following sectors:</w:t>
        <w:br/>
        <w:t>− industry;</w:t>
        <w:br/>
        <w:t>− energy;</w:t>
        <w:br/>
        <w:t>− marine;</w:t>
        <w:br/>
        <w:t>− infrastructure;</w:t>
        <w:br/>
        <w:t>− telecommunications;</w:t>
        <w:br/>
        <w:t>− tertiary.</w:t>
      </w:r>
    </w:p>
    <w:p>
      <w:r>
        <w:t>52. Until 2020, the nuclear activities of the group were managed by its main company, through a specific department called SNEF Nucléaire. In March 2020, this activity was spun off into the company SNEF Power Services, following the acquisition of part of General Electric's activity.</w:t>
      </w:r>
    </w:p>
    <w:p>
      <w:r>
        <w:t>53. The activities of SNEF Nucléaire initially did not include dismantling operations. However, in 2012, it began to develop this activity within its Bagnols-sur-Cèze agency. This activity having never been profitable, SNEF Nucléaire abandoned it at the end of 2017.</w:t>
      </w:r>
    </w:p>
    <w:p>
      <w:r>
        <w:t>6. SPIE NUCLEAIRE</w:t>
      </w:r>
    </w:p>
    <w:p>
      <w:r>
        <w:t>54. SPIE Nucléaire is a subsidiary of the SPIE group, dedicated to the nuclear sector. It operates across the entire nuclear cycle: new works, works on operating sites, maintenance, and dismantling. The dismantling activities of SPIE Nucléaire were carried out, until August 2017, by a subsidiary named SPIE Démantèlement et Environnement Nucléaire (hereinafter "SPIE DEN").</w:t>
      </w:r>
    </w:p>
    <w:p>
      <w:r>
        <w:t>55. The dismantling activities of SPIE Nucléaire related to the Marcoule site of the CEA are carried out by an agency located in Pont-Saint-Esprit.</w:t>
      </w:r>
    </w:p>
    <w:p>
      <w:r>
        <w:t>7. ORANO</w:t>
      </w:r>
    </w:p>
    <w:p>
      <w:r>
        <w:t>56. Created in 2018, Orano is the structure taking over the activities related to the fuel cycle of AREVA after the dismantling of this group.</w:t>
      </w:r>
    </w:p>
    <w:p>
      <w:r>
        <w:t>57. The new Orano entity consists of four main divisions:</w:t>
        <w:br/>
        <w:t>− Mining;</w:t>
        <w:br/>
        <w:t>− Upstream;</w:t>
        <w:br/>
        <w:t>− Downstream;</w:t>
        <w:br/>
        <w:t>− Corporate and other activities.</w:t>
      </w:r>
    </w:p>
    <w:p>
      <w:r>
        <w:t>58. The dismantling activities are located in the Downstream division of Orano. They are carried out by the company Orano Démantèlement et Services (hereinafter "Orano DS"). Orano DS is 74% owned by Orano, with the remaining 26% held by the EDF group.</w:t>
      </w:r>
    </w:p>
    <w:p>
      <w:r>
        <w:t>59. Orano DS is the main player in the French nuclear dismantling market, holding nearly half of the market shares.</w:t>
      </w:r>
    </w:p>
    <w:p>
      <w:r>
        <w:t>8. THE CEA</w:t>
      </w:r>
    </w:p>
    <w:p>
      <w:r>
        <w:t>60. The CEA is a research organization with the status of a public establishment of an industrial and commercial nature. Its status and organization are defined by Articles L. 332-1 and following of the Research Code and by a decree of March 17, 2016. Its main mission is to develop applications of nuclear energy in the scientific, industrial, and national defense fields.</w:t>
      </w:r>
    </w:p>
    <w:p>
      <w:r>
        <w:t>61. The CEA is structured around four operational directorates (Energy Directorate, Military Applications Directorate, Technological Research Directorate, and Fundamental Research Directorate) and nine functional directorates.</w:t>
      </w:r>
    </w:p>
    <w:p>
      <w:r>
        <w:t>62. The CEA has several research centers. Among these, five are subject to dismantling operations, including the Marcoule site.</w:t>
      </w:r>
    </w:p>
    <w:p>
      <w:r>
        <w:t>D. OBSERVED PRACTICES</w:t>
      </w:r>
    </w:p>
    <w:p>
      <w:r>
        <w:t>63. The practices identified concern a set of agreements and consultations between two or more of the companies involved for decontamination, dismantling, asbestos removal, and/or waste treatment contracts issued by the CEA for its various Marcoule facilities.</w:t>
      </w:r>
    </w:p>
    <w:p>
      <w:r>
        <w:t>64. Part of the identified exchanges occurred within the framework of the awarding in 2015, and then the implementation, of a framework agreement for carrying out decontamination, decontamination, and mapping operations established by the CEA for its Marcoule site.</w:t>
      </w:r>
    </w:p>
    <w:p>
      <w:r>
        <w:t>65. Other identified exchanges occurred within the framework of specific contracts issued by the CEA, each concerning a well-defined service. These are distinct contracts from the aforementioned framework agreement.</w:t>
      </w:r>
    </w:p>
    <w:p>
      <w:r>
        <w:t>1. THE FRAMEWORK AGREEMENT CONCLUDED BY THE CEA FOR DECONTAMINATION, DECONTAMINATION, AND MAPPING AT THE MARCOULE SITE</w:t>
      </w:r>
    </w:p>
    <w:p>
      <w:r>
        <w:t>a) The process of the initial awarding of the framework agreement</w:t>
      </w:r>
    </w:p>
    <w:p>
      <w:r>
        <w:t>66. The major dismantling projects at the Marcoule site were regularly suspended due to outdated assessments or unexpected difficulties, prompting the CEA, in 2015, to carry out a number of preparatory operations for certain major projects. These operations could include, in particular:</w:t>
        <w:br/>
        <w:t>− the creation of mappings;</w:t>
        <w:br/>
        <w:t>− small decontamination operations, which allow for reducing radioactivity before major operations;</w:t>
        <w:br/>
        <w:t>− small decontamination operations (without affecting the integrity of the surfaces).</w:t>
      </w:r>
    </w:p>
    <w:p>
      <w:r>
        <w:t>67. These needs represented a succession of small contracts of low value (less than 200,000 euros).</w:t>
      </w:r>
    </w:p>
    <w:p>
      <w:r>
        <w:t>68. To manage these needs, the CEA decided to conclude, with the companies likely to carry out the requested services, a framework agreement for an initial duration of three years (hereinafter "the framework agreement").</w:t>
      </w:r>
    </w:p>
    <w:p>
      <w:r>
        <w:t>69. To this end, it launched a call for tenders on January 21, 2015. The deadline for receiving offers was set for May 18, 2015. Twenty-five companies were consulted, and the CEA received six offers, namely from ONET, STMI, SPIE DEN, NUVIA, ENDEL, and a temporary consortium between BCSN and the company D&amp;S.</w:t>
      </w:r>
    </w:p>
    <w:p>
      <w:r>
        <w:t>70. The consultation was organized based on unit price schedules (hereinafter "BPU"). The CEA provided the candidates with a list of schedules, established from experience for this type of services. The prices agreed upon within the framework of the framework agreement were thus largely detailed in the form of unit prices, with the obligation for the holders to subsequently provide the quantities to be invoiced.</w:t>
      </w:r>
    </w:p>
    <w:p>
      <w:r>
        <w:t>71. The CEA also prepared four specifications, to have the companies estimate costs, in the form of need expression sheets (hereinafter "FEB"). These were four standard FEBs, corresponding to the needs of the CEA. The inclusion of these estimates in the offers...</w:t>
      </w:r>
    </w:p>
    <w:p>
      <w:r>
        <w:rPr>
          <w:b/>
        </w:rPr>
        <w:t>[Pages 19–21]</w:t>
      </w:r>
    </w:p>
    <w:p>
      <w:r>
        <w:t>submitted in response to the call for tenders thus allowed for requesting prices in the form of a Unit Price Breakdown (BPU), but also for obtaining a technical scenario. More marginally, specific services could also be invoiced within the framework of these Framework Agreements (FEB), this time based on hourly rates contractually set by the framework agreement.</w:t>
      </w:r>
    </w:p>
    <w:p>
      <w:r>
        <w:t>72. This agreement was signed with four holders:</w:t>
        <w:br/>
        <w:t>− BCSN (in consortium with D&amp;S);</w:t>
        <w:br/>
        <w:t>− NUVIA;</w:t>
        <w:br/>
        <w:t>− ONET Technologies (South Works agency);</w:t>
        <w:br/>
        <w:t>− ENDEL.</w:t>
      </w:r>
    </w:p>
    <w:p>
      <w:r>
        <w:t>73. The agreement was signed for a duration of three years from the start date of the contract execution, which was set for March 1, 2016, with an additional year as an option (March 2019 to February 2020). This option was exercised by the CEA in December 2018.</w:t>
      </w:r>
    </w:p>
    <w:p>
      <w:r>
        <w:t>74. The CEA had planned a budget of 13 million euros for operations likely to fall within the scope of the framework agreement. The actual expenditure was 6.5 million euros over four years.</w:t>
      </w:r>
    </w:p>
    <w:p>
      <w:r>
        <w:t>b) The mechanism for awarding specific contracts within the framework agreement</w:t>
      </w:r>
    </w:p>
    <w:p>
      <w:r>
        <w:t>75. For the implementation of the framework agreement, each specific contract was subject to a FEB. Each FEB detailed the nature and context of the requested service (Article 4.1.1 of the framework agreement) as well as, in particular, the conditions for submitting offers and the criteria for evaluating the offers (Article 4.1.2 of the framework agreement).</w:t>
      </w:r>
    </w:p>
    <w:p>
      <w:r>
        <w:t>76. In response to a FEB, each of the holder companies had to submit a detailed offer within two weeks from the sending of the consultation letter. This offer had to include the details of the proposed service, as well as the timelines for completion. It also included "the fixed and firm amount for the services to be performed, based on the contractual unit prices" (Article 4.2 of the framework agreement). A company that did not respond to three consecutive FEBs could be subject to a fixed and firm monetary penalty (Article 7.3.2 of the framework agreement).</w:t>
      </w:r>
    </w:p>
    <w:p>
      <w:r>
        <w:t>77. Following the analysis of the offers, one of the holder companies was selected and received a service order from the CEA, which constituted acceptance of the proposed estimate. The other companies were notified of the rejection of their offer by letter or email (Article 4.3 of the framework agreement).</w:t>
      </w:r>
    </w:p>
    <w:p>
      <w:r>
        <w:t>78. The last subsequent contract was launched on January 25, 2019, with a deadline for submitting offers set for February 15, 2019. This contract was then awarded in May 2019.</w:t>
      </w:r>
    </w:p>
    <w:p>
      <w:r>
        <w:t>c) The identified exchanges</w:t>
      </w:r>
    </w:p>
    <w:p>
      <w:r>
        <w:t>79. As described below, it appears from the file that employees from three of the four holder companies of the framework agreement (OTND, ENDEL, and NUVIA) had contacts with each other prior to the awarding of the framework agreement. Subsequently, each of the holder companies exchanged information with its competitors prior to submitting most of their offers in response to the FEBs issued by the CEA.</w:t>
      </w:r>
    </w:p>
    <w:p>
      <w:r>
        <w:t>The participants in the exchanges</w:t>
      </w:r>
    </w:p>
    <w:p>
      <w:r>
        <w:t>80. The identified contacts generally involved one person per company (two for ENDEL). Each of these individuals maintained privileged relationships with the other representatives. Other employees from the concerned operators could intervene in a more secondary manner, notably by sending pricing tables or other similar information, at the instruction of the main representative.</w:t>
      </w:r>
    </w:p>
    <w:p>
      <w:r>
        <w:t>81. The main representatives were as follows:</w:t>
        <w:br/>
        <w:t>− for OTND: Mr. X..., site manager of the Technology Pole in Bagnols-sur-Cèze;</w:t>
        <w:br/>
        <w:t>− for ENDEL: Messrs. Y..., project manager of the Nuclear Regional Directorate of Bagnols-sur-Cèze, and Z..., branch manager of the Nuclear Regional Directorate of Bagnols-sur-Cèze;</w:t>
        <w:br/>
        <w:t>− for NUVIA: Mr. A..., business manager, then, starting January 2018, Ms. B..., business manager;</w:t>
        <w:br/>
        <w:t>− for BCSN: Mr. C..., works director of the Bagnols-sur-Cèze agency, then, starting January 2018, Mr. A..., head of the dismantling and remediation department.</w:t>
      </w:r>
    </w:p>
    <w:p>
      <w:r>
        <w:t>The exchanges that took place before the signing of the framework agreement</w:t>
      </w:r>
    </w:p>
    <w:p>
      <w:r>
        <w:t>82. It appears from the elements of the file that several meetings were held between several competing companies during the awarding procedure of the framework agreement.</w:t>
      </w:r>
    </w:p>
    <w:p>
      <w:r>
        <w:t>83. Exchanges on April 13, 2015, between several employees of ENDEL, NUVIA, and OTND show that meetings were scheduled between them on April 20 and 21, 2015, as well as on April 27, 2015 (less than a month before the deadline for submitting offers), to discuss the pricing schedules of the CEA framework contract.</w:t>
      </w:r>
    </w:p>
    <w:p>
      <w:r>
        <w:t>84. Handwritten notes seized at ENDEL's premises mention two meetings that took place at OTND's premises on April 27 and 30, 2015.</w:t>
      </w:r>
    </w:p>
    <w:p>
      <w:r>
        <w:t>85. During the first meeting, discussions focused on "lines" ("223 to 230", "243 to 250", etc.). For line 377 ("Factor 5 of the TU to MAR95"), OTND indicated a change from 8 euros to 12.47 euros. For the meeting on April 30, 2015, the notes indicate discussions regarding four FEBs numbered 21 to 24, between OTND and NUVIA (then, Salvarem), as well as offer amounts. However, as indicated by an internal document from ENDEL prepared to support ENDEL's application for the awarding of the framework agreement, the response to this call for tenders was to be made using a BPU, and "MAR 95" was a type of multiplication coefficient corresponding to certain working conditions.</w:t>
      </w:r>
    </w:p>
    <w:p>
      <w:r>
        <w:rPr>
          <w:b/>
        </w:rPr>
        <w:t>[Pages 22–24]</w:t>
      </w:r>
    </w:p>
    <w:p>
      <w:r>
        <w:t>had to be supplemented by the costing of four Framework Agreements (FEB). In the call for tenders, these four FEB were numbered 2015/21 to 2015/24.</w:t>
      </w:r>
    </w:p>
    <w:p>
      <w:r>
        <w:t>86. An email dated May 6, 2015, confirms other exchanges prior to the submission of offers for the framework agreement. In this email, Mr. Z... (ENDEL) informed Messrs. X... (OTND) and A... (NUVIA) that "D... saw [confidential] and told him that E... did not want the framework contract because it was not clear at all... in short, they are responding anyway but are not looking to get it!!!" "E..." refers to an employee who was working at that time for the Marcoule establishment of Orano Cycle, the parent company of STMI. STMI submitted an offer for the award of the framework agreement but was not selected.</w:t>
      </w:r>
    </w:p>
    <w:p>
      <w:r>
        <w:t>The establishment of a distribution of the FEB of the framework agreement</w:t>
      </w:r>
    </w:p>
    <w:p>
      <w:r>
        <w:t>The general mechanism of exchanges</w:t>
      </w:r>
    </w:p>
    <w:p>
      <w:r>
        <w:t>87. The elements of the file highlight that, from the beginning of the implementation of the framework agreement, NUVIA, OTND, and ENDEL, later joined by BCSN, established a distribution of the various FEB among themselves, accompanied by precise monitoring of the allocations.</w:t>
      </w:r>
    </w:p>
    <w:p>
      <w:r>
        <w:t>88. Thus, with each issuance of a FEB by the CEA, the concerned companies exchanged information regarding their prices before the submission deadline. In particular, the company to which the FEB was to be awarded provided its price breakdown table to its competitors, allowing them to align upwards.</w:t>
      </w:r>
    </w:p>
    <w:p>
      <w:r>
        <w:t>89. These exchanges were supplemented by a number of physical meetings during which participants reviewed the awarded FEB. A regularly updated spreadsheet served as a support for these discussions. It contained all the FEB already awarded and planned, with, for each of them, the designated awarding company and the associated turnover.</w:t>
      </w:r>
    </w:p>
    <w:p>
      <w:r>
        <w:t>The sending of price breakdown tables prior to the submission of offers</w:t>
      </w:r>
    </w:p>
    <w:p>
      <w:r>
        <w:t>90. The elements present in the file show that when a FEB was issued by the CEA, the designated awarding company transmitted to its competitors information about the amount of its bid, generally in the form of a price breakdown table.</w:t>
      </w:r>
    </w:p>
    <w:p>
      <w:r>
        <w:t>91. The file thus contains numerous email exchanges in which one of the companies holding the framework agreement sent the other three its response documents to a given FEB, including the price of the service as well as any optional items, in order to allow its competitors to establish their own commercial proposal.</w:t>
      </w:r>
    </w:p>
    <w:p>
      <w:r>
        <w:t>Table No. 1 – Elements in the file establishing contacts between the parties to communicate prices in response to the FEB issued by the CEA under the framework agreement</w:t>
      </w:r>
    </w:p>
    <w:p>
      <w:r>
        <w:t>Companies FEB References Content</w:t>
      </w:r>
    </w:p>
    <w:p>
      <w:r>
        <w:t>On March 21, 2016, ENDEL asked ONET to provide the technical elements and the price breakdown elements.</w:t>
      </w:r>
    </w:p>
    <w:p>
      <w:r>
        <w:t>On March 23, 2016, ONET provided ENDEL and NUVIA with its price breakdown table with the note "you just need to increase or modify."</w:t>
      </w:r>
    </w:p>
    <w:p>
      <w:r>
        <w:t>ENDEL sent its own proposal to ONET on March 25, 2016.</w:t>
      </w:r>
    </w:p>
    <w:p>
      <w:r>
        <w:t>On April 12, 2016, ENDEL provided NUVIA and ONET with its price breakdown table.</w:t>
      </w:r>
    </w:p>
    <w:p>
      <w:r>
        <w:t>On August 3, 2016, ONET provided its prices to the other three companies. ENDEL informed ONET that they had decided not to submit an offer.</w:t>
      </w:r>
    </w:p>
    <w:p>
      <w:r>
        <w:t>On July 21, 2016, ONET provided NUVIA and ENDEL with its price breakdown table.</w:t>
      </w:r>
    </w:p>
    <w:p>
      <w:r>
        <w:t>On August 31, 2016, ONET provided NUVIA and ENDEL with its price breakdown table with the note "Attention, your amount must be greater than the sum of the firm part and the option."</w:t>
      </w:r>
    </w:p>
    <w:p>
      <w:r>
        <w:t>On September 14, 2016, ONET transmitted its technical offer to NUVIA.</w:t>
      </w:r>
    </w:p>
    <w:p>
      <w:r>
        <w:t>On October 4, 2016, NUVIA provided ONET and ENDEL with its price breakdown table.</w:t>
      </w:r>
    </w:p>
    <w:p>
      <w:r>
        <w:t>On November 4, 2016, ONET transmitted to NUVIA the questions that the CEA had addressed to it regarding its technical offer.</w:t>
      </w:r>
    </w:p>
    <w:p>
      <w:r>
        <w:t>On October 7, 2016, ENDEL transmitted its technical description and prices to NUVIA and ONET.</w:t>
      </w:r>
    </w:p>
    <w:p>
      <w:r>
        <w:t>On October 14, 2016, NUVIA transmitted its prices to ONET.</w:t>
      </w:r>
    </w:p>
    <w:p>
      <w:r>
        <w:t>On October 21, 2016, NUVIA transmitted its prices to ENDEL.</w:t>
      </w:r>
    </w:p>
    <w:p>
      <w:r>
        <w:t>On October 17, 2016, ENDEL asked ONET for its technical offer and its commercial offer.</w:t>
      </w:r>
    </w:p>
    <w:p>
      <w:r>
        <w:t>On October 21, 2016, NUVIA requested information from ONET, and ONET transmitted its price breakdown table to NUVIA and ENDEL.</w:t>
      </w:r>
    </w:p>
    <w:p>
      <w:r>
        <w:t>On November 16, 2016, internal exchange at ONET regarding the award of the FEB to NUVIA.</w:t>
      </w:r>
    </w:p>
    <w:p>
      <w:r>
        <w:t>On November 22, 2016, NUVIA transmitted to ONET and ENDEL its price breakdown table.</w:t>
      </w:r>
    </w:p>
    <w:p>
      <w:r>
        <w:t>On January 9, 2017, an email from ENDEL to NUVIA and ONET regarding recent FEB indicates: "Endel will send the price by tomorrow evening."</w:t>
      </w:r>
    </w:p>
    <w:p>
      <w:r>
        <w:t>On November 16 and 28, 2016, internally, ONET wondered about this FEB if "it’s for someone," as it is a different FEB than the "3 that we shared with NUVIA and ENDEL already."</w:t>
      </w:r>
    </w:p>
    <w:p>
      <w:r>
        <w:t>On December 16, 2016, ENDEL transmitted to NUVIA files apparently containing costings related to this FEB.</w:t>
      </w:r>
    </w:p>
    <w:p>
      <w:r>
        <w:t>On December 19, 2016, ENDEL transmitted these same files to ONET.</w:t>
      </w:r>
    </w:p>
    <w:p>
      <w:r>
        <w:t>On January 9, 2017, an email from ENDEL to NUVIA and ONET mentions that ENDEL has already responded to FEB 14.</w:t>
      </w:r>
    </w:p>
    <w:p>
      <w:r>
        <w:t>On October 4, 2016, NUVIA transmitted its price schedule to ONET and ENDEL.</w:t>
      </w:r>
    </w:p>
    <w:p>
      <w:r>
        <w:t>On January 9, 2017, an email from ENDEL to NUVIA and ONET regarding recent FEB indicates that ENDEL will not submit an offer.</w:t>
      </w:r>
    </w:p>
    <w:p>
      <w:r>
        <w:t>On October 21, 2016, NUVIA asked ONET if they could quickly transmit price breakdown tables.</w:t>
      </w:r>
    </w:p>
    <w:p>
      <w:r>
        <w:t>On October 24, 2016, NUVIA transmitted its own price breakdown table to ONET.</w:t>
      </w:r>
    </w:p>
    <w:p>
      <w:r>
        <w:t>On January 9, 2017, an email from ENDEL to NUVIA and ONET regarding recent FEB mentions "ENDEL does not respond. we cover."</w:t>
      </w:r>
    </w:p>
    <w:p>
      <w:r>
        <w:t>On January 9, 2017, an email from ENDEL to NUVIA and ONET regarding recent FEB mentions that "Endel does not respond (note Bouygues is again consulted on this FEB!!)."</w:t>
      </w:r>
    </w:p>
    <w:p>
      <w:r>
        <w:t>On March 6, 2017, BCSN sent its price breakdown table and its technical offer to NUVIA.</w:t>
      </w:r>
    </w:p>
    <w:p>
      <w:r>
        <w:t>On January 9, 2017, an email from ENDEL to NUVIA and ONET regarding recent FEB indicates: "Endel wishes to respond and position itself on this FEB."</w:t>
      </w:r>
    </w:p>
    <w:p>
      <w:r>
        <w:t>On March 15, 2017, NUVIA transmitted its price table and its technical offer to ENDEL, ONET, and BCSN.</w:t>
      </w:r>
    </w:p>
    <w:p>
      <w:r>
        <w:t>On February 17, 2017, ENDEL sent an email to NUVIA, BCSN, and ONET to ask who would take the FEB.</w:t>
      </w:r>
    </w:p>
    <w:p>
      <w:r>
        <w:t>On February 20, 2017, ENDEL informed NUVIA, BCSN, and ONET that it would not position itself for the FEB.</w:t>
      </w:r>
    </w:p>
    <w:p>
      <w:r>
        <w:t>At the beginning of March, NUVIA transmitted its price to ONET and ENDEL.</w:t>
      </w:r>
    </w:p>
    <w:p>
      <w:r>
        <w:t>On June 26, 2017, NUVIA transmitted to ONET and ENDEL the prices of BCSN.</w:t>
      </w:r>
    </w:p>
    <w:p>
      <w:r>
        <w:t>On July 17, 2017, ONET transmitted to NUVIA the price breakdown table.</w:t>
      </w:r>
    </w:p>
    <w:p>
      <w:r>
        <w:rPr>
          <w:b/>
        </w:rPr>
        <w:t>[Pages 25–27]</w:t>
      </w:r>
    </w:p>
    <w:p>
      <w:r>
        <w:t xml:space="preserve">Companies  </w:t>
        <w:br/>
        <w:t xml:space="preserve">FEB Codes Content  </w:t>
        <w:br/>
        <w:t xml:space="preserve">concerned  </w:t>
        <w:br/>
        <w:t xml:space="preserve">On July 28, 2017, ENDEL mentioned to ONET and NUVIA  </w:t>
        <w:br/>
        <w:t xml:space="preserve">ONET,  </w:t>
        <w:br/>
        <w:t xml:space="preserve">13425, its disinterest in the FEB and the terms of the establishment of its  </w:t>
        <w:br/>
        <w:t xml:space="preserve">2017/23 NUVIA and  </w:t>
        <w:br/>
        <w:t xml:space="preserve">13641 coverage offer. NUVIA responded by expressing its interest,  </w:t>
        <w:br/>
        <w:t xml:space="preserve">ENDEL  </w:t>
        <w:br/>
        <w:t xml:space="preserve">as well as its contact with BCSN.  </w:t>
        <w:br/>
        <w:t xml:space="preserve">On September 19, 2017, ONET sent NUVIA and ENDEL its  </w:t>
        <w:br/>
        <w:t xml:space="preserve">price breakdown table with the note: "the client is aware that the price is high, please adjust your margin accordingly." ONET asked NUVIA to forward the email to Bouygues.  </w:t>
        <w:br/>
        <w:t xml:space="preserve">On September 20, 2017, ENDEL replied by asking ONET for  </w:t>
        <w:br/>
        <w:t xml:space="preserve">clarifications on its prices, as well as its technical offer.  </w:t>
        <w:br/>
        <w:t xml:space="preserve">On October 2, 2017, ENDEL requested ONET to send it  </w:t>
        <w:br/>
        <w:t xml:space="preserve">elements. ONET sent its price table to BCSN and ENDEL  </w:t>
        <w:br/>
        <w:t xml:space="preserve">with the note: "I know it's expensive. Please feel free to margin accordingly."  </w:t>
        <w:br/>
        <w:t xml:space="preserve">On November 28, 2017, BCSN sent its price breakdown table to ONET and NUVIA. NUVIA forwarded this email internally.  </w:t>
        <w:br/>
        <w:t xml:space="preserve">On October 9, 2017, ENDEL noted that the FEB of October 30 was  </w:t>
        <w:br/>
        <w:t xml:space="preserve">awarded to NUVIA.  </w:t>
        <w:br/>
        <w:t xml:space="preserve">On October 26, 2017, NUVIA sent its offer to ENDEL, BCSN  </w:t>
        <w:br/>
        <w:t xml:space="preserve">and ONET. On October 29, 2017, ENDEL calculated its price based on  </w:t>
        <w:br/>
        <w:t xml:space="preserve">NUVIA's price.  </w:t>
        <w:br/>
        <w:t xml:space="preserve">On October 18, 2017, internal exchanges at ONET mentioned:  </w:t>
        <w:br/>
        <w:t xml:space="preserve">"Is the FEB intended for Endel?"  </w:t>
        <w:br/>
        <w:t xml:space="preserve">On October 9, 2017, ENDEL noted that the FEB of October 31 was awarded to it.  </w:t>
        <w:br/>
        <w:t xml:space="preserve">On January 3, 2018, NUVIA indicated to ONET and ENDEL at what  </w:t>
        <w:br/>
        <w:t xml:space="preserve">level their coverage offer should be positioned. The email mentioned  </w:t>
        <w:br/>
        <w:t xml:space="preserve">that the FEB was awarded to BCSN.  </w:t>
        <w:br/>
        <w:t xml:space="preserve">On December 25, 2017, ONET sent its price to NUVIA and  </w:t>
        <w:br/>
        <w:t xml:space="preserve">ENDEL, mentioning: "Bouygues is not responding."  </w:t>
        <w:br/>
        <w:t xml:space="preserve">On December 27, 2017, ENDEL informed ONET and NUVIA that it  </w:t>
        <w:br/>
        <w:t xml:space="preserve">would not respond.  </w:t>
        <w:br/>
        <w:t xml:space="preserve">On January 2, 2018, NUVIA sent its price to ONET.  </w:t>
        <w:br/>
        <w:t xml:space="preserve">On January 22, 2018, ENDEL sent its offer to BCSN, NUVIA and  </w:t>
        <w:br/>
        <w:t xml:space="preserve">ONET and detailed the breakdown of its price.  </w:t>
        <w:br/>
        <w:t xml:space="preserve">On January 23, 2018, NUVIA sent its offer to BCSN, ONET and  </w:t>
        <w:br/>
        <w:t xml:space="preserve">ENDEL.  </w:t>
        <w:br/>
        <w:t xml:space="preserve">On February 6, 2018, NUVIA asked ONET to provide information.  </w:t>
        <w:br/>
        <w:t xml:space="preserve">On February 12, 2018, ONET sent its price breakdown table to NUVIA.  </w:t>
        <w:br/>
        <w:t xml:space="preserve">On February 13, 2018, BCSN announced to NUVIA, ENDEL and ONET  </w:t>
        <w:br/>
        <w:t xml:space="preserve">that the FEB would soon be sent, specifying: "I will take it into account." On February 14, 2018, NUVIA replied "Okay, noted."  </w:t>
        <w:br/>
        <w:t xml:space="preserve">On February 21, 2018, an internal email at ONET indicated that the  </w:t>
        <w:br/>
        <w:t xml:space="preserve">contract was for BCSN.  </w:t>
        <w:br/>
        <w:t xml:space="preserve">On March 20, 2018, ENDEL provided ONET, NUVIA and BCSN with its  </w:t>
        <w:br/>
        <w:t xml:space="preserve">price by item and a technical description "for inspiration."  </w:t>
        <w:br/>
        <w:t xml:space="preserve">On April 21, 2018, an internal email at ONET mentioned regarding  </w:t>
        <w:br/>
        <w:t xml:space="preserve">this FEB: "this one is for us..."  </w:t>
        <w:br/>
        <w:t xml:space="preserve">On June 11, 2018, ENDEL provided its technical offer and its price  </w:t>
        <w:br/>
        <w:t xml:space="preserve">breakdown table to BCSN, NUVIA and ONET.  </w:t>
        <w:br/>
        <w:t xml:space="preserve">On June 26, 2018, NUVIA provided details about its offer to  </w:t>
        <w:br/>
        <w:t xml:space="preserve">ONET, ENDEL and BCSN and warned them that its price breakdown table would be sent "without fail" the next day.  </w:t>
        <w:br/>
        <w:t xml:space="preserve">On September 28, 2018, NUVIA communicated to ONET, ENDEL and  </w:t>
        <w:br/>
        <w:t xml:space="preserve">BCSN the amount of an order related to this FEB.  </w:t>
        <w:br/>
        <w:t xml:space="preserve">On September 7, 2018, BCSN provided ONET, NUVIA and ENDEL  </w:t>
        <w:br/>
        <w:t xml:space="preserve">with its unit price sheets.  </w:t>
        <w:br/>
        <w:t xml:space="preserve">On September 7, 2018, BCSN provided its prices to ONET, NUVIA and  </w:t>
        <w:br/>
        <w:t xml:space="preserve">ENDEL.  </w:t>
        <w:br/>
        <w:t xml:space="preserve">On November 8, 2018, BCSN provided ENDEL with documents in  </w:t>
        <w:br/>
        <w:t xml:space="preserve">response to this FEB so that it could "draw inspiration" from them.  </w:t>
        <w:br/>
        <w:t xml:space="preserve">On November 23, 2018, an internal email at ENDEL regarding this  </w:t>
        <w:br/>
        <w:t xml:space="preserve">FEB indicated only: "ONET."  </w:t>
        <w:br/>
        <w:t xml:space="preserve">On December 13, 2018, ONET provided NUVIA, ENDEL, BCSN  </w:t>
        <w:br/>
        <w:t xml:space="preserve">and its unit price sheet.  </w:t>
        <w:br/>
        <w:t xml:space="preserve">Handwritten notes prior to December 18, 2018, show  </w:t>
        <w:br/>
        <w:t xml:space="preserve">that NUVIA has information on ONET's prices.  </w:t>
        <w:br/>
        <w:t xml:space="preserve">On February 5, 2019, NUVIA and BCSN exchanged SMS messages regarding  </w:t>
        <w:br/>
        <w:t xml:space="preserve">price estimates for the FEB.  </w:t>
        <w:br/>
        <w:t xml:space="preserve">92. These transmissions of pricing elements were made for the purpose, sometimes explicitly stated, of allowing other participants to establish coverage offers.  </w:t>
        <w:br/>
        <w:t>36 Code 251 VC – 13480 VNC; Code 358 VC – 13536 VNC; Codes 464 – 465 VC – 13595 – 13596 VNC.</w:t>
      </w:r>
    </w:p>
    <w:p>
      <w:r>
        <w:t>93. Thus, for example, for the FEB 2016/06, OTND sent its price breakdown table to NUVIA, adding the note: "Please note, your amount must be greater than the sum of the fixed part and the option." Similarly, for the FEBs 2017/24 and 2017/25, ONET sent its price table to the three other holders, accompanying the sending with the following remark: "I know it's expensive. Please feel free to margin accordingly."</w:t>
      </w:r>
    </w:p>
    <w:p>
      <w:r>
        <w:t>94. These exchanges followed a distribution of the FEBs among the four holders of the framework agreement. For example, in the context of the FEB 2016/14, an internal email at ONET indicates: "this is an additional one to the 3 that we shared with NUVIA and ENDEL already." Similarly, regarding the FEB 2017/20, the representative of ENDEL sent, on the same day as the transmission of the CEA's request, an email addressed to the three other holders asking "Who... is taking it, ENDEL, OTND, NUVIA, Bouygues???"</w:t>
      </w:r>
    </w:p>
    <w:p>
      <w:r>
        <w:t xml:space="preserve">Follow-up meetings of the framework agreement  </w:t>
        <w:br/>
        <w:t>95. In order to distribute the different FEBs, the four holders of the framework agreement organized meetings, which aimed to "organize a point on the framework contract for Sanitation." These meetings were held regularly.</w:t>
      </w:r>
    </w:p>
    <w:p>
      <w:r>
        <w:t>96. During these meetings, representatives of the four concerned companies reviewed past, ongoing, and future FEBs. Thus, a handwritten note taken in the premises of Bouygues, and presumably dated January 2018, indicates that a meeting "framework contract FEB" was held, gathering Mr. X... (OTND), Ms. B... (NUVIA), Mr. Y... (ENDEL) and the note-taker Mr. A... (then at BCSN). Several documents in the file confirm that a meeting of this type was indeed scheduled around January 25, 2018. The handwritten note contains a summary of FEBs 27 to 32, then mentions the attribution, submission date, and amount of two ongoing FEBs (33 and 34), and finally on the attribution of several upcoming FEBs.</w:t>
      </w:r>
    </w:p>
    <w:p>
      <w:r>
        <w:t>97. Similar meetings took place on April 27, 2018, and July 31, 2018, with the same participants. A follow-up meeting, gathering the same four participants, took place on February 11, 2019, the day before the visit and recording operations. Notes taken in the premises...</w:t>
      </w:r>
    </w:p>
    <w:p>
      <w:r>
        <w:rPr>
          <w:b/>
        </w:rPr>
        <w:t>[Pages 28–30]</w:t>
      </w:r>
    </w:p>
    <w:p>
      <w:r>
        <w:t>of Bouygues and presumably dated the same day contain a summary of the Framework Agreements (FEB) that have already been closed, with for each the awardee and the associated revenue, and a list of future FEB. For eight of these FEB, an awardee is noted in red.</w:t>
      </w:r>
    </w:p>
    <w:p>
      <w:r>
        <w:t>98. Finally, the elements provided by the leniency applicant show that a tracking table for the FEB, in the form of a spreadsheet file, was regularly updated and distributed among the four companies, often before a follow-up meeting. This document specified for each past FEB the name of the awardee as well as the associated revenue. It also included estimates for FEB that had not yet been awarded and contained a summary of the total revenue obtained by each company through the framework agreement.</w:t>
      </w:r>
    </w:p>
    <w:p>
      <w:r>
        <w:t>99. An example of this table, entered into Mr. X...'s computer (OTND), is reproduced below:</w:t>
      </w:r>
    </w:p>
    <w:p>
      <w:r>
        <w:t>100. This table is also mentioned in handwritten notes seized at the premises of BCSN.</w:t>
      </w:r>
    </w:p>
    <w:p>
      <w:r>
        <w:t>The exchanges by SMS</w:t>
      </w:r>
    </w:p>
    <w:p>
      <w:r>
        <w:t>101. In addition to the regular transmissions of pricing tables for each FEB and the general follow-up meetings, the participants in the agreement exchanged very regularly, using different communication channels.</w:t>
      </w:r>
    </w:p>
    <w:p>
      <w:r>
        <w:t>102. Thus, exchanges by SMS concerning specific FEB anticipated or complemented the exchanges by email. For example, on July 17, 2018, Mr. X... (OTND) wrote to Mr. A... (BCSN): "Hello Two FEB of the same nature have just come up It has been a long time since ONTD has had anything. We would like to recover them."</w:t>
      </w:r>
    </w:p>
    <w:p>
      <w:r>
        <w:t>103. The exchanges by SMS could be bilateral, but also collective. On December 18, 2017, Mr. A... (NUVIA) created an SMS group between Messrs. X... (OTND), C... (BCSN), Y... (ENDEL), and himself to "facilitate communication between us and...</w:t>
      </w:r>
    </w:p>
    <w:p>
      <w:r>
        <w:rPr>
          <w:b/>
        </w:rPr>
        <w:t>[Pages 31–33]</w:t>
      </w:r>
    </w:p>
    <w:p>
      <w:r>
        <w:t>December 2017, Mr. A... (NUVIA) created a SMS group among Messrs. X... (OTND), C... (BCSN), Y... (ENDEL), and himself to "receive information at the same time." The message continues by stating: "For the 32, X… requested a deadline extension, awaiting confirmation. For the 30, C… is on it. Have a good day. If we don't have an extension, I will send the offer at 18:00."</w:t>
      </w:r>
    </w:p>
    <w:p>
      <w:r>
        <w:t>104. On June 6, 2018, Mr. Y... (ENDEL) sent a group SMS to "B…, A… and X…" indicating: "We haven't forgotten you but we will send you what is necessary on Monday - Our price €198k. Have a good weekend."</w:t>
      </w:r>
    </w:p>
    <w:p>
      <w:r>
        <w:t>The use of an email address in the name of another family member by Mr. A...</w:t>
      </w:r>
    </w:p>
    <w:p>
      <w:r>
        <w:t>105. Several documents in the file show that Mr. A... (NUVIA then, as of January 2018, BCSN) used, for some exchanges with regular participants, the email of another family member. The other participants had, in this regard, recorded this address in their contacts using the name of this person instead of Mr. A...'s name.</w:t>
      </w:r>
    </w:p>
    <w:p>
      <w:r>
        <w:t>106. On at least one of these exchanges, Mr. A... also proposed using the personal address of Ms. B...</w:t>
      </w:r>
    </w:p>
    <w:p>
      <w:r>
        <w:t>The use of a personal email address by Mr. C...</w:t>
      </w:r>
    </w:p>
    <w:p>
      <w:r>
        <w:t>107. Several documents in the file also show that Mr. C... (BCSN) used his personal address to exchange with Mr. A... (NUVIA) or with X... (OTND) in the context of the awarding of the Framework Agreements (FEB).</w:t>
      </w:r>
    </w:p>
    <w:p>
      <w:r>
        <w:t>The use of a personal email address by Mr. X...</w:t>
      </w:r>
    </w:p>
    <w:p>
      <w:r>
        <w:t>108. At least one document in the file attests that Mr. X... (OTND) used his personal address to exchange with Mr. C... (BCSN) in the context of the awarding of the FEB.</w:t>
      </w:r>
    </w:p>
    <w:p>
      <w:r>
        <w:t>2. THE OTHER CONTRACTS AWARDED BY THE CEA FOR ITS MARCOULE SITE</w:t>
      </w:r>
    </w:p>
    <w:p>
      <w:r>
        <w:t>109. Exchanges between providers of dismantling services also took place for other occasional calls for tenders that did not fall within the scope of the framework agreement. These exchanges could involve the holders of the framework agreement, but also other service providers.</w:t>
      </w:r>
    </w:p>
    <w:p>
      <w:r>
        <w:t>a) The "pit 600" contracts</w:t>
      </w:r>
    </w:p>
    <w:p>
      <w:r>
        <w:t>110. At the Marcoule site, "pit 600" refers to a non-contaminated pit within the perimeter of reactor G1. This pit, having been the subject of a declassification request, required verification and scraping of its walls to ensure the absence of contamination. The work involved opening the pit cover, setting up scaffolding to descend inside, mapping the floor, walls, and underside of its roof, taking concrete samples for tritium analysis, and possibly dismantling the roof.</w:t>
      </w:r>
    </w:p>
    <w:p>
      <w:r>
        <w:t>111. To carry out this work, the CEA launched three consultations on May 13, 2014:</w:t>
        <w:br/>
        <w:t>− one for a tritium self-radiography of the pit;</w:t>
        <w:br/>
        <w:t>− one for the alpha beta gamma mapping of the pit;</w:t>
        <w:br/>
        <w:t>− one for the dismantling of the roof.</w:t>
      </w:r>
    </w:p>
    <w:p>
      <w:r>
        <w:t>112. The deadline for applying for these contracts was set for May 27, 2014. The companies SPIE DEN, ENDEL, and Salvarem (now NUVIA) applied for these three contracts. Salvarem ultimately obtained all three contracts.</w:t>
      </w:r>
    </w:p>
    <w:p>
      <w:r>
        <w:t>113. For these contracts, Mr. A... (Salvarem, now NUVIA) sent on April 16, 2014, to Mr. Z... (ENDEL) two price breakdown tables, adding "You need to put the th in the top boxes of the table and arrive at the total amount in red. You also need to put your p&amp;s (retroactively) on the subcontracting based on the amounts I have put." This sending was then forwarded within ENDEL by Mr. Z... (ENDEL) to Mr. Y... (ENDEL).</w:t>
      </w:r>
    </w:p>
    <w:p>
      <w:r>
        <w:t>114. Then, on May 15, 2014, Mr. A... indicated to Messrs. Z... (ENDEL) and F... (SPIE DEN): "[confidential] wants to have the first offer (tritium mapping) for tomorrow or at the latest Monday the 19th, you need to be above €98k. Thank you in advance."</w:t>
      </w:r>
    </w:p>
    <w:p>
      <w:r>
        <w:t>115. On May 19, 2014, Mr. Z... (ENDEL) sent an email to Messrs. Y... (ENDEL), A... (NUVIA), X... (OTND), and Mr. F... (SPIE DEN), stating: "To continue to be clear and transparent among us, this morning we submitted an offer to [confidential] for pit 600 to cover A..."</w:t>
      </w:r>
    </w:p>
    <w:p>
      <w:r>
        <w:t>116. On May 21, 2014, Mr. A... (Salvarem, now NUVIA) sent to Messrs. Z... (ENDEL) and F... (SPIE DEN) the following information: "Here are the budgets for the other two offers for pit 600; Mapping offer and pit mesh, you need to be above €74k. Roof dismantling offer, you need to be above €55k. Thank you in advance."</w:t>
      </w:r>
    </w:p>
    <w:p>
      <w:r>
        <w:t>117. It follows from reading the technical and pricing offers from ENDEL that these offers were dated May 16, 2014, for the first contract and May 23, 2014, for the two subsequent ones. They were above the amounts mentioned by Mr. A... (Salvarem, now NUVIA).</w:t>
      </w:r>
    </w:p>
    <w:p>
      <w:r>
        <w:t>118. SPIE DEN, for its part, submitted an offer for the second contract (tritium self-radiography of the pit) on April 24, 2014, for a total amount of approximately €114,000, then submitted a corrected offer dated May 16, 2014, for a total amount of approximately €99,000. The offers for the other two contracts were also dated May 16, 2014.</w:t>
      </w:r>
    </w:p>
    <w:p>
      <w:r>
        <w:t>119. Furthermore, as indicated in an internal email from Mr. Z... (ENDEL) dated June 14, 2014, exchanges between companies active in the dismantling sector at Marcoule were common at that time: "In short, at Marcoule I am in phase with Salvarem, OTND, and SPIE. To share the job. And we meet discreetly every month."</w:t>
      </w:r>
    </w:p>
    <w:p>
      <w:r>
        <w:t>b) The "Removal of the Pool G Filtration Pump" contract</w:t>
      </w:r>
    </w:p>
    <w:p>
      <w:r>
        <w:t>120. This contract concerned the work of changing the pump of the filtration system of pool G at the Degainage building. Its coordination was ensured by an employee of AREVA. It had been the subject of a verbal request.</w:t>
      </w:r>
    </w:p>
    <w:p>
      <w:r>
        <w:t>121. This contract, amounting to €22,000, was concluded after a competitive process between ENDEL and NUVIA. The company ENDEL was selected.</w:t>
      </w:r>
    </w:p>
    <w:p>
      <w:r>
        <w:t>122. An internal exchange at ENDEL on November 12, 2014, contains the following sentence: "Please see the quote for pool G before sending to Salvarem and installation."</w:t>
      </w:r>
    </w:p>
    <w:p>
      <w:r>
        <w:t>123. On November 13, 2014, an employee of ENDEL sent to Mr. A... (NUVIA), with Mr. Z... (ENDEL) in copy, an email stating: "As agreed between you and Z…, here is our...</w:t>
      </w:r>
    </w:p>
    <w:p>
      <w:r>
        <w:rPr>
          <w:b/>
        </w:rPr>
        <w:t>[Pages 34–36]</w:t>
      </w:r>
    </w:p>
    <w:p>
      <w:r>
        <w:t>offer concerning the removal of the filtration pump from the "G" swimming pool. The email contained ENDEL's technical and pricing proposal for this contract.</w:t>
      </w:r>
    </w:p>
    <w:p>
      <w:r>
        <w:t>124. On November 17, 2014, ENDEL sent the same offer to the CEA.</w:t>
      </w:r>
    </w:p>
    <w:p>
      <w:r>
        <w:t>c) The "AVM" contracts</w:t>
      </w:r>
    </w:p>
    <w:p>
      <w:r>
        <w:t>125. By two emails dated February 26, 2015, Mr. Y... (ENDEL) contacted Messrs. A... (NUVIA) and X... (OTND) regarding four contracts concerning services in the installation of the vitrification workshop in Marcoule ("AVM"). These four contracts concerned the replacement of a door between rooms 756 and 757 of the AVM and three distinct services for reconditioning contaminated lead bricks in the AVM premises.</w:t>
      </w:r>
    </w:p>
    <w:p>
      <w:r>
        <w:t>126. The response date for these lots was set for March 6, 2015.</w:t>
      </w:r>
    </w:p>
    <w:p>
      <w:r>
        <w:t>127. Each of these two emails was accompanied by a table indicating the prices that were to be proposed by NUVIA and by ONET for each of these four contracts and requested each of them to "align" with the indicated prices. These communications followed a prior exchange between Messrs. A... (NUVIA) and X... (OTND) with Mr. Z... (ENDEL). An internal exchange at ENDEL then mentioned the communications sent to the competitors on the same day.</w:t>
      </w:r>
    </w:p>
    <w:p>
      <w:r>
        <w:t>128. On the same day, Mr. X... (OTND) replied, "I can only deal with this at the beginning of next week, is that okay for you?"</w:t>
      </w:r>
    </w:p>
    <w:p>
      <w:r>
        <w:t>d) The "Various ATM Works" contract</w:t>
      </w:r>
    </w:p>
    <w:p>
      <w:r>
        <w:t>129. This contract concerned a number of works to be carried out in the tritium workshop of Marcoule ("ATM"), at the request of the military applications department of the CEA ("CEA DAM").</w:t>
      </w:r>
    </w:p>
    <w:p>
      <w:r>
        <w:t>130. On February 22, 2017, an employee of ENDEL sent to Messrs. X... (OTND) and A... (NUVIA), with Mr. Z... (ENDEL) in copy, the company's quote for "the works at the ATM (additional works to our ongoing order)". This person also indicated: "Given that for these works, we already have the framework, the RP, the equipment, and the airlocks in place, you can position yourself 15 to 20% above our price." This communication followed a conversation between the two recipients and Mr. Z... (ENDEL).</w:t>
      </w:r>
    </w:p>
    <w:p>
      <w:r>
        <w:t>131. In response, Mr. X... (OTND) indicated: "I won't have time to deal with this before Monday, is that okay?"</w:t>
      </w:r>
    </w:p>
    <w:p>
      <w:r>
        <w:t>132. On March 2, 2017, ONET sent its offer for these contracts to the CEA. The total amount of its offer was higher by [10-30]% than that of ENDEL's offer. ENDEL submitted its offer on March 3, 2017. The price was identical to that provided to the competitors.</w:t>
      </w:r>
    </w:p>
    <w:p>
      <w:r>
        <w:t>133. Then, on April 7, 2017, the same employee of ENDEL wrote to Messrs. X... (OTND) and A... (NUVIA) asking them: "Could you resend the quotes you had made identically but with the date of 07/04/2017?" On the same day, Mr. X... (OTND) indicated that he had done so.</w:t>
      </w:r>
    </w:p>
    <w:p>
      <w:r>
        <w:t>134. Following the evaluation of the offers conducted by the CEA, ENDEL came out on top. However, no contract was ultimately concluded.</w:t>
      </w:r>
    </w:p>
    <w:p>
      <w:r>
        <w:t>e) The radioprotection assistance contracts for the restoration of the "MAR 400" soils</w:t>
      </w:r>
    </w:p>
    <w:p>
      <w:r>
        <w:t>135. The contracts in question concern radioprotection assistance services, mapping, and potential decontaminations during the restoration works of the soils of the MAR 400 installation, located in building 144 of the Marcoule site.</w:t>
      </w:r>
    </w:p>
    <w:p>
      <w:r>
        <w:t>136. The first contract concerned the refurbishment of [10-20] rooms of this installation.</w:t>
      </w:r>
    </w:p>
    <w:p>
      <w:r>
        <w:t>137. On November 28, 2016, Mr. A... (NUVIA) sent to Mr. Y... (ENDEL), with Mr. Z... (ENDEL) in copy, a "document for the service on MAR 400". The attached document contained NUVIA's technical and financial proposal for this service.</w:t>
      </w:r>
    </w:p>
    <w:p>
      <w:r>
        <w:t>138. On November 29, 2016, Mr. Y... (ENDEL) sent his offer to the CEA for the service of "TQRP/Decontamination in the context of the restoration of soils on MAR 400", with Mr. A... (NUVIA) in blind copy. The proposed price was higher than that transmitted by NUVIA in its email the previous day.</w:t>
      </w:r>
    </w:p>
    <w:p>
      <w:r>
        <w:t>139. The second contract concerned identical services for six additional rooms.</w:t>
      </w:r>
    </w:p>
    <w:p>
      <w:r>
        <w:t>140. On May 4, 2017, Mr. A... (NUVIA) sent an email to Mr. Y... (ENDEL) with the subject "TQRP MAR 400" indicating a price.</w:t>
      </w:r>
    </w:p>
    <w:p>
      <w:r>
        <w:t>141. On May 5, 2017, Mr. Y... (ENDEL) sent his offer for this contract to the CEA, with NUVIA in blind copy. The proposed price was almost identical to that transmitted by Mr. A... (NUVIA) the day before.</w:t>
      </w:r>
    </w:p>
    <w:p>
      <w:r>
        <w:t>f) The "Asbestos Removal IZEN" contract</w:t>
      </w:r>
    </w:p>
    <w:p>
      <w:r>
        <w:t>142. This contract concerned a service for the "removal of large obsolete equipment from the IZEN installation". It involved treating a series of equipment present on the IZEN site as waste:</w:t>
        <w:br/>
        <w:t>− an old TRACTEM crane;</w:t>
        <w:br/>
        <w:t>− a yellow transport platform;</w:t>
        <w:br/>
        <w:t>− a blue transport trailer.</w:t>
      </w:r>
    </w:p>
    <w:p>
      <w:r>
        <w:t>143. This contract was awarded to the company SNEF after a competitive process involving OTND, SPIE DEN, and SNEF.</w:t>
      </w:r>
    </w:p>
    <w:p>
      <w:r>
        <w:t>144. An internal email from SNEF dated May 23, 2017, contains the following elements: "Here are the companies commissioned for this AO. I insist this remains confidential. Everything goes through me. Drafting a summary copy for OTND and SPIE, we will indicate the price to agree on the placement. Position 1 SNEF [CONFIDENTIAL] position 2 OTND [CONFIDENTIAL] position 3 SPIE [CONFIDENTIAL]".</w:t>
      </w:r>
    </w:p>
    <w:p>
      <w:r>
        <w:t>145. SNEF then sent on June 6, 2017, to OTND the response it was to make for this contract. In reaction to the transmission by SNEF, the representative of OTND asked one of his colleagues: "Can you make me a cover offer please?"</w:t>
      </w:r>
    </w:p>
    <w:p>
      <w:r>
        <w:rPr>
          <w:b/>
        </w:rPr>
        <w:t>[Pages 37–39]</w:t>
      </w:r>
    </w:p>
    <w:p>
      <w:r>
        <w:t>146. On June 6, 2017, SNEF also sent SPIE DEN the response it was to make for this contract.</w:t>
      </w:r>
    </w:p>
    <w:p>
      <w:r>
        <w:t>147. In response, an employee of SPIE DEN asked Mr. G... (SNEF) on June 9, 2017: "H... forwarded me the request for the quote attached. What is the maximum deadline to make the offer? To whom should we send the quote (...)". Furthermore, it appears from the elements provided by SPIE DEN during the investigation that it submitted an offer for this contract dated June 12, 2017, and whose final amount was almost identical to that indicated in the internal email from SNEF dated May 23, 2017.</w:t>
      </w:r>
    </w:p>
    <w:p>
      <w:r>
        <w:t>g) The contract "Decontamination Procedure Test"</w:t>
      </w:r>
    </w:p>
    <w:p>
      <w:r>
        <w:t>148. For this contract, titled "Decontamination Procedure Test – Pre-decontamination at the exit of the work area and remote decontamination shower," the deadline for submitting offers was set for October 10, 2017. An internal email to OTND dated September 19, 2017, the same day as the sending of the consultation letter from the CEA to OTND, states: "We will need to cover SNEF on this request. The next one is for us." An internal email sent a week later reiterates: "We need to prepare an offer for this subject. This contract is intended for SNEF."</w:t>
      </w:r>
    </w:p>
    <w:p>
      <w:r>
        <w:t>149. Then, on October 10, 2017, SNEF submitted its technical and pricing offer to OTND. On October 13, 2017, one of the employees of OTND directly asked an employee of SNEF at what price he should position himself. In response, the SNEF employee provided him with a price amount. Finally, on October 19, 2017, Mr. G... (SNEF) asked an employee of ONET: "Hi, how are you? Did you manage? I haven't heard from you." The employee in question replied, "Hi, yes, I responded as planned."</w:t>
      </w:r>
    </w:p>
    <w:p>
      <w:r>
        <w:t>h) The contract "TQRP Monitoring on the North Zone Ditch Clearing Site"</w:t>
      </w:r>
    </w:p>
    <w:p>
      <w:r>
        <w:t>150. This contract concerned radiological monitoring services for ditch clearing work located in the area of the Solid Waste Conditioning facility (hereinafter "CDS"). The deadline for submitting offers was set for August 17, 2015.</w:t>
      </w:r>
    </w:p>
    <w:p>
      <w:r>
        <w:t>151. On July 28, 2015, just after receiving the consultation documents from the CEA, Mr. G... (SNEF) wrote to Mr. A... (NUVIA) to say: "A..., I am at your disposal."</w:t>
      </w:r>
    </w:p>
    <w:p>
      <w:r>
        <w:t>152. On August 3, 2015, Mr. A... (NUVIA) sent Mr. G... (SNEF) his offer indicating: "You need to position yourself around €22,200."</w:t>
      </w:r>
    </w:p>
    <w:p>
      <w:r>
        <w:t>i) The contract "Reprise aqueux"</w:t>
      </w:r>
    </w:p>
    <w:p>
      <w:r>
        <w:t>153. This contract concerned services for the separation and recovery of aqueous and organic phases and was awarded to a NUVIA/Fadilec consortium, after a competitive process involving ENDEL, NUVIA, STMI, SNEF, and SPIE DEN.</w:t>
      </w:r>
    </w:p>
    <w:p>
      <w:r>
        <w:t>154. In a text message dated April 4, 2016, captured on Mr. A...'s (NUVIA) mobile phone, Mr. G... (SNEF) stated: "Hello A... Could you send us your offer with your table for our response to the aqueous recovery call for tenders as it is due next week? Thank you in advance." On April 5, 2016, Mr. A... (NUVIA) sent Mr. G... (SNEF) a pre-filled table with the amount at which SNEF should position itself.</w:t>
      </w:r>
    </w:p>
    <w:p>
      <w:r>
        <w:t>155. Then SNEF requested NUVIA to provide a technical offer. On April 12, 2016, Mr. A... (NUVIA) sent this technical offer to SNEF. Finally, on April 13, 2016, Mr. G... (SNEF) sent the following message to Mr. A... (NUVIA): "Hello A... I have received the offer. Have a good day."</w:t>
      </w:r>
    </w:p>
    <w:p>
      <w:r>
        <w:t>E. REMINDER OF NOTIFIED GRIEVANCES</w:t>
      </w:r>
    </w:p>
    <w:p>
      <w:r>
        <w:t>156. On June 23, 2022, the investigative services notified the following grievances:</w:t>
      </w:r>
    </w:p>
    <w:p>
      <w:r>
        <w:t>"Grievance No. 1:</w:t>
      </w:r>
    </w:p>
    <w:p>
      <w:r>
        <w:t>It is alleged against:</w:t>
        <w:br/>
        <w:t>− ONET TECHNOLOGIES ND, as the author;</w:t>
        <w:br/>
        <w:t>− ONET, as the parent;</w:t>
        <w:br/>
        <w:t>− HOLDING REINIER, as the parent;</w:t>
        <w:br/>
        <w:t>− NUVIA PROCESS, as the author;</w:t>
        <w:br/>
        <w:t>− SOLETANCHE FREYSSINET, as the parent;</w:t>
        <w:br/>
        <w:t>− VINCI, as the parent;</w:t>
        <w:br/>
        <w:t>− ENDEL, as the author;</w:t>
        <w:br/>
        <w:t>− ENGIE, as the parent;</w:t>
        <w:br/>
        <w:t>− BOUYGUES CONSTRUCTION SERVICES NUCLEAIRES, as the author;</w:t>
        <w:br/>
        <w:t>− BOUYGUES TRAVAUX PUBLICS, as the parent;</w:t>
        <w:br/>
        <w:t>− BOUYGUES, as the parent;</w:t>
      </w:r>
    </w:p>
    <w:p>
      <w:r>
        <w:t>for having participated in a unique, complex, and continuous agreement in the sector of engineering, maintenance, dismantling, and waste treatment services for nuclear sites. The participants in this agreement implemented a set of agreements and coordinated practices in the context of the awarding and then the implementation of the framework agreement for the execution of remediation, decontamination, and mapping operations at the Marcoule site of the Atomic Energy Commission and alternative energies. The companies thus coordinated on the rates and technical quality of their offers and allocated the orders issued under this framework agreement. Such behaviors have an anti-competitive object and are prohibited by Article L. 420-1 of the Commercial Code and by Article 101 TFEU. This infringement was implemented from April 13, 2015, to March 1, 2020. The grievances are notified to the aforementioned companies, considering the extent of their individual responsibility for the entirety of the unique, complex, and continuous infringement and for the period during which they participated or were aware of it, namely:</w:t>
        <w:br/>
        <w:t>to ONET TECHNOLOGIES ND, ONET, and HOLDING REINIER, for the entirety of the unique, complex, and continuous infringement, and for the entire duration thereof;</w:t>
        <w:br/>
        <w:t>to NUVIA, SOLETANCHE FREYSSINET, and VINCI, for the entirety of the unique, complex, and continuous infringement, and for the entire duration thereof;</w:t>
        <w:br/>
        <w:t>to ENDEL and ENGIE, for the entirety of the unique, complex, and continuous infringement, and for the entire duration thereof;</w:t>
        <w:br/>
        <w:t>to BOUYGUES CONSTRUCTION SERVICES NUCLEAIRES, BOUYGUES TRAVAUX PUBLICS, and BOUYGUES, for the period of execution of the framework agreement, between March 6, 2017, and March 1, 2020.</w:t>
      </w:r>
    </w:p>
    <w:p>
      <w:r>
        <w:t>Grievance No. 2:</w:t>
      </w:r>
    </w:p>
    <w:p>
      <w:r>
        <w:t>It is alleged against:</w:t>
        <w:br/>
        <w:t>− ENDEL, as the author;</w:t>
        <w:br/>
        <w:t>− ENGIE, as the parent;</w:t>
      </w:r>
    </w:p>
    <w:p>
      <w:r>
        <w:rPr>
          <w:b/>
        </w:rPr>
        <w:t>[Pages 40–42]</w:t>
      </w:r>
    </w:p>
    <w:p>
      <w:r>
        <w:t>coordonnés en vue de permettre à NUVIA et SNEF d’établir une offre de couverture au bénéfice de SOLETANCHE FREYSSINET. De tels comportements revêtent un objet anticoncurrentiel et sont prohibés par l’article L. 420-1 du code de commerce et par l’article 101 TFUE. Cette entente a été mise en œuvre du 15 janvier au 20 février 2018.</w:t>
      </w:r>
    </w:p>
    <w:p>
      <w:r>
        <w:rPr>
          <w:b/>
        </w:rPr>
        <w:t>[Pages 43–45]</w:t>
      </w:r>
    </w:p>
    <w:p>
      <w:r>
        <w:t>coordinated in order to exchange strategic information regarding their applications and to enable SNEF to establish its own offer. Such behaviors have an anti-competitive object and are prohibited by Article L. 420-1 of the Commercial Code and by Article 101 TFEU. This agreement was implemented from July 28, 2015, to August 17, 2015.</w:t>
      </w:r>
    </w:p>
    <w:p>
      <w:r>
        <w:t>Grievance No. 10:</w:t>
        <w:br/>
        <w:t>It is alleged:</w:t>
        <w:br/>
        <w:t>− against the company NUVIA PROCESS, as author;</w:t>
        <w:br/>
        <w:t>− against the company SOLETANCHE FREYSSINET, as parent;</w:t>
        <w:br/>
        <w:t>− against the company VINCI, as parent;</w:t>
        <w:br/>
        <w:t>− against the company SNEF, as author;</w:t>
        <w:br/>
        <w:t>for having participated in an anti-competitive agreement concerning the contract known as "reprise aqueux" awarded by the Commissariat à l'énergie atomique et aux énergies alternatives at its site in Marcoule. The participants thus coordinated to exchange strategic information regarding their applications and to enable SNEF to establish its own offer. Such behaviors have an anti-competitive object and are prohibited by Article L. 420-1 of the Commercial Code and by Article 101 TFEU. This agreement was implemented from April 4 to April 13, 2016."</w:t>
      </w:r>
    </w:p>
    <w:p>
      <w:r>
        <w:t>157. A summary table of the notified grievances and the implicated companies is presented below.</w:t>
      </w:r>
    </w:p>
    <w:p>
      <w:r>
        <w:t>Table No. 2 – Notified grievances against the implicated companies</w:t>
        <w:br/>
        <w:t>SPIE</w:t>
        <w:br/>
        <w:t>OTND ENDEL NUVIA BCSN SNEF</w:t>
        <w:br/>
        <w:t>DEN</w:t>
        <w:br/>
        <w:t>Grievance No. 1</w:t>
        <w:br/>
        <w:t>All implicated, except BCSN:</w:t>
        <w:br/>
        <w:t>X X X X</w:t>
        <w:br/>
        <w:t>04.13.2015 – 03.01.2020</w:t>
        <w:br/>
        <w:t>BCSN:</w:t>
        <w:br/>
        <w:t>03.06.2017 – 03.01.2020</w:t>
        <w:br/>
        <w:t>Grievance No. 2</w:t>
        <w:br/>
        <w:t>X X X</w:t>
        <w:br/>
        <w:t>04.16.2014 – 05.27.2014</w:t>
        <w:br/>
        <w:t>Grievance No. 3</w:t>
        <w:br/>
        <w:t>X X</w:t>
        <w:br/>
        <w:t>11.12.2014 – 11.17.2014</w:t>
        <w:br/>
        <w:t>Grievance No. 4</w:t>
        <w:br/>
        <w:t>X X X</w:t>
        <w:br/>
        <w:t>02.26.2015 – 03.06.2015</w:t>
        <w:br/>
        <w:t>Grievance No. 5</w:t>
        <w:br/>
        <w:t>X X X</w:t>
        <w:br/>
        <w:t>02.22.2017 – 04.07.2017</w:t>
        <w:br/>
        <w:t>Grievance No. 6</w:t>
        <w:br/>
        <w:t>X X</w:t>
        <w:br/>
        <w:t>11.28.2016 – 05.05.2017</w:t>
      </w:r>
    </w:p>
    <w:p>
      <w:r>
        <w:t>SPIE</w:t>
        <w:br/>
        <w:t>OTND ENDEL NUVIA BCSN SNEF</w:t>
        <w:br/>
        <w:t>DEN</w:t>
        <w:br/>
        <w:t>Grievance No. 7</w:t>
        <w:br/>
        <w:t>X X X</w:t>
        <w:br/>
        <w:t>05.23.2017 – 06.12.2017</w:t>
        <w:br/>
        <w:t>Grievance No. 8</w:t>
        <w:br/>
        <w:t>X X</w:t>
        <w:br/>
        <w:t>09.19.2017 – 10.13.2017</w:t>
        <w:br/>
        <w:t>Grievance No. 9</w:t>
        <w:br/>
        <w:t>X X</w:t>
        <w:br/>
        <w:t>07.28.2015 – 08.17.2015</w:t>
        <w:br/>
        <w:t>Grievance No. 10</w:t>
        <w:br/>
        <w:t>X X</w:t>
        <w:br/>
        <w:t>04.04.2016 – 04.13.2016</w:t>
      </w:r>
    </w:p>
    <w:p>
      <w:r>
        <w:t>II. Discussion</w:t>
        <w:br/>
        <w:t>158. It is appropriate to successively examine the procedure (A), the application of European law (B), the relevant markets (C), the merits of the notified grievances (D), the attribution of practices (E), and the sanction (F).</w:t>
      </w:r>
    </w:p>
    <w:p>
      <w:r>
        <w:t>A. ON THE PROCEDURE</w:t>
        <w:br/>
        <w:t>1. REGARDING THE TRANSACTION PROCEDURE</w:t>
        <w:br/>
        <w:t>159. SNEF contests the refusal to enter into a transaction procedure that was opposed to it by the general rapporteur.</w:t>
      </w:r>
    </w:p>
    <w:p>
      <w:r>
        <w:t>160. On the one hand, it argues that the response email from the general rapporteur is insufficiently reasoned, which would not allow the college to exercise its control. On the other hand, it believes that the oral explanations provided to it by the investigation services, according to which the general rapporteur was not in favor of entering into a transaction due to the contestation of grievances by other parties, would constitute a violation of the provisions of III of Article L. 464-2 of the Commercial Code.</w:t>
      </w:r>
    </w:p>
    <w:p>
      <w:r>
        <w:t>161. In particular, SNEF believes that the wording of these provisions does not condition the benefit of the transaction procedure on an agreement from all the implicated companies. It deduces that the general rapporteur would have committed a legal error, which would have caused it to suffer a harmful procedural loss of opportunity.</w:t>
      </w:r>
    </w:p>
    <w:p>
      <w:r>
        <w:t>162. Consequently, SNEF requests a referral to the investigation for its request to enter into the transaction procedure to be re-examined.</w:t>
      </w:r>
    </w:p>
    <w:p>
      <w:r>
        <w:t>a) The applicable law</w:t>
        <w:br/>
        <w:t>163. In accordance with III of Article L. 464-2 of the Commercial Code, the general rapporteur may submit to companies that do not contest the reality of the notified grievances a transaction proposal setting the minimum and maximum amount of the envisaged financial sanction.</w:t>
      </w:r>
    </w:p>
    <w:p>
      <w:r>
        <w:t>164. Furthermore, paragraphs 17 and 20 of the procedural communication of December 21, 2018, regarding the transaction procedure remind that the general rapporteur of the Authority has broad discretion regarding the appropriateness of resorting to this procedure.</w:t>
      </w:r>
    </w:p>
    <w:p>
      <w:r>
        <w:t>165. The aforementioned procedural communication also specifies, in paragraph 19, that the investigation services intend to apply the transaction procedure preferably in cases where all parties waive contesting the grievances, since "the benefits associated with the implementation of such a procedure concerning one or more parties are generally more limited when, in the same case, one or more other parties contest the notified grievances."</w:t>
      </w:r>
    </w:p>
    <w:p>
      <w:r>
        <w:t>166. The decision to enter or not into a transaction procedure is therefore made on a case-by-case basis and is based in particular on the criterion of "the contribution likely to result from the implementation of the transaction procedure in terms, in particular, of accelerating and simplifying the processing of the file." The Authority has, moreover, already implemented so-called hybrid transaction procedures, in which only certain parties entered into the transaction procedure.</w:t>
      </w:r>
    </w:p>
    <w:p>
      <w:r>
        <w:t>167. Finally, and as already ruled by the Paris Court of Appeal regarding the procedure of non-contestation of grievances, which was succeeded by the transaction procedure, the parties have no right to the implementation of this procedure. In a recent ruling, the Paris Court of Appeal expressly held that "it follows from the terms of Article L.464-2, III, of the Commercial Code that the implementation of the transaction procedure constitutes a mere option open to the general rapporteur and not an obligation."</w:t>
      </w:r>
    </w:p>
    <w:p>
      <w:r>
        <w:t>168. The college must, however, at the request of a company or an organization, verify that the general rapporteur did not commit a manifest error in his assessment of the appropriateness of resorting to the procedure of non-contestation of grievances, now replaced by the transaction procedure. Thus, if the college "considers that a request for the implementation of the transaction procedure is justified..."</w:t>
      </w:r>
    </w:p>
    <w:p>
      <w:r>
        <w:rPr>
          <w:b/>
        </w:rPr>
        <w:t>[Pages 46–48]</w:t>
      </w:r>
    </w:p>
    <w:p>
      <w:r>
        <w:t>of III of Article L. 464-2 has been rejected or has not succeeded for manifestly erroneous reasons, the panel may either refer the matter back for investigation concerning the organization or company in question, so that its request can be re-examined by the investigation services, or decide itself on the follow-up it intends to give to it."</w:t>
      </w:r>
    </w:p>
    <w:p>
      <w:r>
        <w:t>b) Application to the case at hand</w:t>
      </w:r>
    </w:p>
    <w:p>
      <w:r>
        <w:t>169. In this case, the general rapporteur considered that the settlement procedure did not allow for sufficient procedural gain for the Authority.</w:t>
      </w:r>
    </w:p>
    <w:p>
      <w:r>
        <w:t>170. This assessment was based on the refusal of the parent company of one of the parties involved to enter into a settlement. This parent company indeed retained the possibility of contesting before the Authority and, if necessary, before the Paris Court of Appeal, seven of the ten notified grievances, including the most important and complex grievance, namely grievance no. 1.</w:t>
      </w:r>
    </w:p>
    <w:p>
      <w:r>
        <w:t>171. In support of its position, SNEF argues that the panel, in a previous case, would have considered that the investigation services could not reject the request of a subsidiary to benefit from the non-contestation procedure for grievances solely on the grounds that the parent company is making a different procedural choice, specifying that "every company must be free in its procedural choices, independently of the defense choices made by its parent company."</w:t>
      </w:r>
    </w:p>
    <w:p>
      <w:r>
        <w:t>172. Nevertheless, in the case at hand, and as previously emphasized, the choice of the general rapporteur was based solely on the overly limited nature of the procedural gain resulting from all the procedural choices made by the parties involved. His decision did not, however, in any way call into question the autonomy of each of them in exercising their procedural strategy choices.</w:t>
      </w:r>
    </w:p>
    <w:p>
      <w:r>
        <w:t>173. Consequently, given the circumstances specific to the case at hand, the general rapporteur refused to enter into a settlement with the parties involved without committing a manifest error of assessment.</w:t>
      </w:r>
    </w:p>
    <w:p>
      <w:r>
        <w:t>2. REGARDING THE RIGHTS OF THE DEFENSE</w:t>
      </w:r>
    </w:p>
    <w:p>
      <w:r>
        <w:t>174. In the context of the notification of grievance no. 7, SPIE DEN invokes a violation of the principle of contradiction. Such a violation would result from the absence of production, at the time of the notification of grievances, of the offer that SNEF would have established for SPIE DEN in its email of June 6, 2017, this offer being subject to business secrecy.</w:t>
      </w:r>
    </w:p>
    <w:p>
      <w:r>
        <w:t>a) Applicable law</w:t>
      </w:r>
    </w:p>
    <w:p>
      <w:r>
        <w:t>175. In accordance with the second paragraph of Article R. 463-15 of the Commercial Code, "[w]hen a party involved has not had access to the confidential version of a document that it deems necessary for the exercise of its rights, it may request the rapporteur for communication or consultation by submitting a reasoned request as soon as it becomes aware of the non-confidential version and the summary of this document."</w:t>
      </w:r>
    </w:p>
    <w:p>
      <w:r>
        <w:t>176. Furthermore, it follows from the case law of the Union that "Regulation No 1/2003 provides for the sending to the parties of a statement of objections which must clearly set out all the essential elements on which the Commission relies at this stage of the procedure" and that "the statement of objections addressed by the Commission to a company to which it intends to impose a sanction for violation of competition rules must contain the essential elements held against this company, such as the facts alleged, the qualification given to them, and the evidence on which the Commission relies, so that the said company is able to effectively present its arguments in the context of the administrative procedure initiated against it."</w:t>
      </w:r>
    </w:p>
    <w:p>
      <w:r>
        <w:t>177. As the Advocate General specified in this same case, the competition authority must retain in its decision "only facts on which the interested parties have had the opportunity to explain themselves and [must provide], during the administrative procedure, the necessary elements for the defense." Indeed, "[i]t must thus be permitted for the Commission to specify [the provisional qualification of the statement of objections] in its final decision, taking into account the elements resulting from the administrative procedure, either to abandon grievances that have proven to be unfounded, or to amend and supplement both in fact and in law its argumentation in support of the grievances it retains, provided that it only retains facts on which the interested parties have had the opportunity to explain themselves and that it has provided, during the administrative procedure, the necessary elements for the defense."</w:t>
      </w:r>
    </w:p>
    <w:p>
      <w:r>
        <w:t>b) Application to the case at hand</w:t>
      </w:r>
    </w:p>
    <w:p>
      <w:r>
        <w:t>178. If the confidential versions of the disputed documents were not attached to the notification of grievances, they were made accessible to the parties by decision of January 17, 2023, regarding the use of confidential documents. On February 7, 2023, more than seven weeks before the hearing, the investigation services then sent the file containing the declassified documents.</w:t>
      </w:r>
    </w:p>
    <w:p>
      <w:r>
        <w:t>179. This provision by the investigation services of the disputed documents allowed SPIE DEN to fully assert the elements necessary for its defense.</w:t>
      </w:r>
    </w:p>
    <w:p>
      <w:r>
        <w:t>180. Consequently, the grievance based on a violation of the principle of contradiction, as invoked by SPIE DEN, must be dismissed.</w:t>
      </w:r>
    </w:p>
    <w:p>
      <w:r>
        <w:t>B. ON THE APPLICABILITY OF UNION LAW</w:t>
      </w:r>
    </w:p>
    <w:p>
      <w:r>
        <w:t>181. Article 101, paragraph 1, of the TFEU prohibits agreements, decisions by associations of undertakings, and concerted practices that have as their object or effect the restriction of competition and that are likely to affect trade between Member States.</w:t>
      </w:r>
    </w:p>
    <w:p>
      <w:r>
        <w:t>182. According to the case law of the Court of Justice of the European Union (hereinafter "the Court of Justice") and the communication from the European Commission containing guidelines on the notion of affecting trade as set out in Articles 101 and 102 of the TFEU, three elements must be present for practices to be likely to significantly affect trade between Member States of the Union: the existence of a flow of trade between Member States concerning the products in question, the existence of practices likely to affect that trade, and the sensitive nature of that effect.</w:t>
      </w:r>
    </w:p>
    <w:p>
      <w:r>
        <w:t>183. In this case, regarding the first element, nuclear dismantling activities on French territory can be carried out by companies established in the territory of the Union, acting within the framework of the freedom to provide services or the freedom of establishment. Similarly, the experience developed by French operators on national territory contributes to enhancing their competitiveness for markets conducted in other Member States of the Union.</w:t>
      </w:r>
    </w:p>
    <w:p>
      <w:r>
        <w:t>184. Furthermore, regarding the second element, the practices identified in the statement of objections occurred within the framework of the first concrete nuclear dismantling works opened to operators not directly stemming from the historical players in the French nuclear sector, such as Orano and the CEA. By dividing the relevant markets, the parties involved also divided competencies and strategic feedback that could then be used beyond national borders.</w:t>
      </w:r>
    </w:p>
    <w:p>
      <w:r>
        <w:t>185. Finally, regarding the third element, dismantling activities in France are still relatively underdeveloped but are expected to grow. The Marcoule site represents a major opportunity for operators active in this sector to strengthen their experience and develop their production means, it being noted that the practices in question brought together the main French operators in decontamination and nuclear dismantling, with the exception of STMI / Orano DS.</w:t>
      </w:r>
    </w:p>
    <w:p>
      <w:r>
        <w:t>186. In light of the above, the practices must therefore be examined not only in light of the provisions of national law, notably Article L. 420-1 of the Commercial Code, but also in light of Union law, and in particular Article 101 of the TFEU, which is, moreover, not contested.</w:t>
      </w:r>
    </w:p>
    <w:p>
      <w:r>
        <w:rPr>
          <w:b/>
        </w:rPr>
        <w:t>[Pages 49–51]</w:t>
      </w:r>
    </w:p>
    <w:p>
      <w:r>
        <w:t xml:space="preserve">C. ON THE NOTIFIED GRIEVANCES  </w:t>
        <w:br/>
        <w:t xml:space="preserve">1. THE RELEVANT MARKETS  </w:t>
        <w:br/>
        <w:t xml:space="preserve">187. It follows from consistent case law of the Union courts that the obligation to delineate the relevant market in a decision adopted under Article 101 TFEU is imposed on competition authorities only when, without such delineation, it is not possible to determine whether the agreement, the decision of an association of undertakings, or the concerted practice in question is likely to affect trade between Member States and has as its object or effect the prevention, restriction, or distortion of competition within the internal market.  </w:t>
        <w:br/>
        <w:t xml:space="preserve">188. Similarly, under domestic law, when the practices in question are examined under the prohibition of collusion, it is not necessary to define the market precisely as long as the sector has been sufficiently identified to allow for the qualification of the observed practices and to attribute them to the operators who implemented them.  </w:t>
        <w:br/>
        <w:t xml:space="preserve">189. In this case, the practices in question were implemented in the sector of engineering, maintenance, dismantling, and waste treatment services for nuclear sites in France.  </w:t>
        <w:br/>
        <w:t xml:space="preserve">190. Furthermore, in accordance with the decision-making practice of the Authority, confirmed by the Paris Court of Appeal, each public contract awarded through the tendering procedure constitutes a relevant market. This market results from the confrontation of a demand from the contracting authority and the proposals made by the candidates responding to the call for tenders.  </w:t>
        <w:br/>
        <w:t xml:space="preserve">191. In this case, each of the specific projects concerning the Marcoule site was subject to a competitive process.  </w:t>
        <w:br/>
        <w:t xml:space="preserve">192. In any event, given the consistent case law recalled above in paragraphs 188 and 189 and the nature and object of the practices in question, the determination of the relevant sector appears sufficient, and it is not necessary to conclude on the delineation of one or more relevant markets.  </w:t>
        <w:br/>
        <w:t xml:space="preserve">2. THE MERITS OF THE GRIEVANCES  </w:t>
        <w:br/>
        <w:t xml:space="preserve">a) Reminder of the decision-making practice  </w:t>
        <w:br/>
        <w:t xml:space="preserve">The principles for qualifying anti-competitive collusion practices  </w:t>
        <w:br/>
        <w:t xml:space="preserve">193. Article L. 420-1 of the Commercial Code prohibits concerted actions, agreements, express or tacit collusions when they have as their object or may have as their effect the prevention, restriction, or distortion of competition in a market.  </w:t>
        <w:br/>
        <w:t xml:space="preserve">194. Similarly, Article 101(1) TFEU prohibits all agreements between undertakings, decisions by associations of undertakings, and concerted practices that have as their object or effect the prevention, restriction, or distortion of competition.  </w:t>
        <w:br/>
        <w:t xml:space="preserve">195. The existence of a practice as defined by Articles L. 420-1 of the Commercial Code and 101 TFEU is established between undertakings, provided that they have expressed their common will to behave in a determined manner in the market. The case law of the Paris Court of Appeal thus holds that an anti-competitive practice can be established "if the undertakings involved have freely and voluntarily participated in the concerted action, knowing its object or effect."  </w:t>
        <w:br/>
        <w:t xml:space="preserve">196. It follows from the aforementioned provisions that the anti-competitive object and effect of a practice are alternative conditions.  </w:t>
        <w:br/>
        <w:t xml:space="preserve">197. In this context, the Court of Justice has specified that it is appropriate to examine, first, the very object of the agreement, and that it is only in a second step that its effects should be examined if the analysis of the object of the agreement does not reveal a sufficient degree of harmfulness to competition to characterize a prohibited collusion. Indeed, according to the Court of Justice, "certain forms of coordination between undertakings reveal a sufficient degree of harmfulness to competition that it can be considered unnecessary to examine their effects. This case law is based on the fact that certain forms of coordination between undertakings can be considered, by their very nature, as harmful to the proper functioning of competition." As the Court indeed recalls, it is established that certain collusive behaviors, such as those leading to horizontal price-fixing by cartels, can be so likely to have negative effects on, in particular, the price, quantity, or quality of products and services, that it can be considered unnecessary to demonstrate that they have concrete effects on the market.  </w:t>
        <w:br/>
        <w:t xml:space="preserve">198. The Court of Justice has also specified that for a practice to be qualified as anti-competitive by object, it must be "concretely capable, taking into account the legal and economic context in which it is situated, of preventing, restricting, or distorting competition within the common market." Thus, in order to assess whether a type of coordination between undertakings presents a sufficient degree of harmfulness to be considered a restriction of competition by object, it is necessary "to focus in particular on the objectives it aims to achieve as well as the legal and economic context in which it is embedded. In the context of assessing said context, it is also necessary to take into account the nature of the goods or services affected as well as the actual conditions of operation and the structure of the relevant market(s)." However, for agreements that constitute particularly serious violations of competition, such as agreements aimed at market allocation, "the analysis of the economic and legal context in which the practice is situated may (...) be limited to what is strictly necessary to conclude the existence of a restriction of competition by object."  </w:t>
        <w:br/>
        <w:t xml:space="preserve">199. Finally, according to consistent case law of the European Union courts, "the fact that the behavior of undertakings has been known, authorized, or even encouraged by national authorities is (...) without influence on the applicability of Article 81 EC [now Article 101 TFEU]." In the same vein, the Court of Cassation has ruled, specifically regarding public contracts, that "the practices used by the contracting authority both during the disputed call for tenders and previous ones, even if they facilitated the irregular practices of the undertakings, cannot prevent the application of the provisions of the invoked texts as long as the existence of a practice aimed at distorting competition against the [accused company] was established."  </w:t>
        <w:br/>
        <w:t xml:space="preserve">200. On the other hand, "if an anti-competitive behavior is imposed on the undertakings by national legislation or if it creates a legal framework that itself eliminates any possibility of competitive behavior on their part, Articles 85 and 86 [now Articles 101 and 102 TFEU] do not apply."  </w:t>
        <w:br/>
        <w:t xml:space="preserve">The anti-competitive object of consultations occurring within the framework of public tenders  </w:t>
        <w:br/>
        <w:t>201. In the context of public contracts through calls for tenders, a consultation between competing undertakings, contrary to Article L. 420-1 of the Commercial Code and Article 101 TFEU, is established as soon as evidence is provided that they have agreed to coordinate their offers or that they exchanged information before the date on which the result of the call for tenders is known or can be known, in order to escape the principle of the independence of offers, a normal condition of the competition.</w:t>
      </w:r>
    </w:p>
    <w:p>
      <w:r>
        <w:rPr>
          <w:b/>
        </w:rPr>
        <w:t>[Pages 52–54]</w:t>
      </w:r>
    </w:p>
    <w:p>
      <w:r>
        <w:t>202. The decision-making practice of the Authority174, confirmed by the Court of Appeal of Paris175, has further specified that "collusive practices among bidders in public procurement tenders are particularly serious in nature, as only adherence to competition rules in this area guarantees the public buyer the sincerity of the tender and the proper use of public funds."</w:t>
      </w:r>
    </w:p>
    <w:p>
      <w:r>
        <w:t>203. The Competition Council, and subsequently the Authority, have also repeatedly considered that "the use of a cover quote constitutes a serious practice that aims to and can have the effect of undermining the competitive bidding process"176. The Court of Appeal of Paris confirmed this analysis and specified that "such practices, implemented within a regulatory framework that expressly requires competition and specifically aim to allocate contracts, reveal such a degree of harmfulness to the competitive process that they constitute anti-competitive practices by object and that the examination of their effects is not necessary"177.</w:t>
      </w:r>
    </w:p>
    <w:p>
      <w:r>
        <w:t>204. It thus follows from the experience gained from the decision-making practice of the Authority and the case law of the supervisory courts that practices by different competitors aimed at opposing the very principle of competition inherent in tenders have a sufficient degree of harmfulness to be classified, if established, as restrictions by object. It also follows that exchanges of information regarding the existence of competitors, their names, their significance, their availability in personnel or equipment, their interest or lack of interest in the market in question, or the prices they intend to propose, also distort the free play of competition by limiting the independence of the offers, justifying their classification as restrictions by object178.</w:t>
      </w:r>
    </w:p>
    <w:p>
      <w:r>
        <w:t>The existence of a single, complex, and continuous infringement</w:t>
      </w:r>
    </w:p>
    <w:p>
      <w:r>
        <w:t>205. As recalled in paragraphs 194 and 195, Article L. 420-1 of the Commercial Code and Article 101, paragraph 1 of the TFEU prohibit, in particular, agreements and concerted practices between companies that have the object or effect of restricting competition.</w:t>
      </w:r>
    </w:p>
    <w:p>
      <w:r>
        <w:t>206. The Authority may sanction these practices individually or collectively, within the framework of a single and continuous infringement.</w:t>
      </w:r>
    </w:p>
    <w:p>
      <w:r>
        <w:t>207. According to the decision-making practice and case law, both domestic and Union, behavior manifested by several actions pursuing a single economic objective may be classified as a single, complex, and continuous infringement for the period during which it is implemented179.</w:t>
      </w:r>
    </w:p>
    <w:p>
      <w:r>
        <w:t>208. A single infringement may consist of practices that could be classified as agreements, concerted practices, and decisions of business associations, provided that these practices share the same object or the same anti-competitive effects and thus fit into an overall plan180. The Authority is entitled to attribute responsibility for these actions based on participation in the infringement considered as a whole181. In this regard, it is irrelevant that one or more elements of this series of acts or this continuous behavior could also constitute, in themselves and taken in isolation, a violation of competition rules182.</w:t>
      </w:r>
    </w:p>
    <w:p>
      <w:r>
        <w:t>209. The qualification of an overall plan depends solely on objective factors, which include, in particular, the common objective of the practices. This factor is an indication that must be assessed solely in light of the content of the practices and must not be confused with the subjective intention of the various companies to participate in a single and continuous agreement. This subjective intention can only be taken into account in the context of assessing the individual participation of a company in such a single and continuous infringement183. Other factors that may be considered relate, in particular, to the identity of the products and services concerned, the companies that participated in the practices, the modalities of their implementation, and the individuals involved on behalf of the companies184. Furthermore, the Authority may also take into account the existence of a complementary link between the practices, even if it is not required to do so185. This is the case when "the entirety of the practices contributes, through interaction, to achieving the anti-competitive effects intended by their authors, within the framework of a global plan aimed at a common objective"186. These various elements must be understood in the overall context of the circumstances of the case, and not in isolation187.</w:t>
      </w:r>
    </w:p>
    <w:p>
      <w:r>
        <w:t>210. To characterize the existence of an overall plan, it is not sufficient to make a general reference to the existence of a distortion of competition, since "this would result in disparate behaviors concerning the same economic sector, prohibited by Article 101, paragraph 1, TFEU, being systematically classified as a single infringement"188.</w:t>
      </w:r>
    </w:p>
    <w:p>
      <w:r>
        <w:t>211. Furthermore, it follows from the case law of the Union189 and national190 that, in the case of agreements and concerted practices with an anti-competitive object, it must be demonstrated that the company in question intended to contribute, through its own behavior, to the common objectives pursued by all participants and that it was aware of the material behaviors contemplated or implemented by other companies in pursuit of the same objectives, or that it could reasonably foresee them and was willing to accept the risk. Failing this, the competition authority is not entitled to attribute to it the responsibility for all of these behaviors and, consequently, for the said infringement as a whole191.</w:t>
      </w:r>
    </w:p>
    <w:p>
      <w:r>
        <w:t>212. Finally, the fact that a company did not participate in all the constitutive elements of an agreement or that it played a minor role in the aspects to which it participated should only be taken into account when assessing the severity of the infringement and, where applicable, determining the fine192.</w:t>
      </w:r>
    </w:p>
    <w:p>
      <w:r>
        <w:t>The duration of the infringement</w:t>
      </w:r>
    </w:p>
    <w:p>
      <w:r>
        <w:t>213. It follows from the case law of the Union that the duration of an infringement of competition rules is determined with regard to the period that elapsed between the date of the conclusion of the agreement having a restrictive object of competition and the date on which it was terminated193.</w:t>
      </w:r>
    </w:p>
    <w:p>
      <w:r>
        <w:t>214. In the absence of evidence capable of directly establishing the duration of an infringement, "at least, evidence must be demonstrated that relates to facts sufficiently close in time, so that it can be reasonably accepted that this infringement continued uninterrupted between two specific dates"194. A continuous infringement can thus be characterized over a given period without the existence of material acts being demonstrated throughout that period.</w:t>
      </w:r>
    </w:p>
    <w:p>
      <w:r>
        <w:t>215. This case law is echoed by national courts which specify "that an anti-competitive practice is instantaneous when it is carried out in a single moment, from the commission of the acts that constitute it, and that it is, on the contrary, continuous when the unlawful state extends over time through repetition."</w:t>
      </w:r>
    </w:p>
    <w:p>
      <w:r>
        <w:rPr>
          <w:b/>
        </w:rPr>
        <w:t>[Pages 55–57]</w:t>
      </w:r>
    </w:p>
    <w:p>
      <w:r>
        <w:t>constant or by the persistence of the anti-competitive intent after the initial act without a material act necessarily having to renew it over time."</w:t>
      </w:r>
    </w:p>
    <w:p>
      <w:r>
        <w:t>216. Finally, the Court of Justice recently ruled that the duration of participation in a single and continuous infringement implemented, in particular, during a tender requiring the submission of a fixed-price offer, "covers the entire period during which [the company in question] executed the anti-competitive agreement it had concluded with its competitors, which includes the period during which the fixed-price offer submitted by that company was in effect or was likely to be transformed into a definitive contract between [the company in question] and [the contracting authority]."</w:t>
      </w:r>
    </w:p>
    <w:p>
      <w:r>
        <w:t>217. Consequently, the Court excludes that the participation of the company in question in the infringement "covers a period that extends beyond the date on which the essential characteristics of the market in question were definitively determined (...) including the total price to be paid in exchange for these works." The definitive determination of the essential characteristics of the market concerned may, in particular, occur at the conclusion of a contract with the contracting authority.</w:t>
      </w:r>
    </w:p>
    <w:p>
      <w:r>
        <w:t>218. Finally, the Court of Cassation, in a ruling of November 8, 2016, confirmed the reasoning of the Paris Court of Appeal, which relied on "the persistence of the common anti-competitive objective" to rule that the infringement had continued for several years, even in the absence of new material acts.</w:t>
      </w:r>
    </w:p>
    <w:p>
      <w:r>
        <w:t>b) Application to the case at hand</w:t>
        <w:br/>
        <w:t>On grievance no. 1 – the framework agreement</w:t>
      </w:r>
    </w:p>
    <w:p>
      <w:r>
        <w:t>219. As specified in section I.D.1 above, the CEA launched a call for tenders for the execution of remediation, decontamination, and mapping operations at its Marcoule site on January 21, 2015, with a deadline for the submission of offers set for May 18, 2015.</w:t>
      </w:r>
    </w:p>
    <w:p>
      <w:r>
        <w:t>220. Following this call for tenders, the CEA signed a framework agreement with BCSN, NUVIA, OTND, and ENDEL. This framework agreement had an initial duration of three years from March 1, 2016, with the optional fourth year of the framework agreement (March 2019 to February 2020) being exercised by the CEA in December 2018.</w:t>
      </w:r>
    </w:p>
    <w:p>
      <w:r>
        <w:t>221. For the implementation of the framework agreement, each specific contract was subject to a Framework Agreement (FEB). In response to a FEB, each of the holder companies submitted a detailed offer including, in particular, the price. Following the analysis of the offers, one of the awarded companies was selected.</w:t>
      </w:r>
    </w:p>
    <w:p>
      <w:r>
        <w:t>222. The practices referred to under grievance no. 1 concern, on the one hand, exchanges that took place between the bidders prior to the award of the framework agreement and, on the other hand, exchanges that occurred between the awardees in the context of the implementation of this framework agreement, for the subsequent award of complementary contracts.</w:t>
      </w:r>
    </w:p>
    <w:p>
      <w:r>
        <w:t>On the existence of an agreement of wills</w:t>
        <w:br/>
        <w:t>♦ During the award of the framework agreement</w:t>
      </w:r>
    </w:p>
    <w:p>
      <w:r>
        <w:t>223. The documents in the file listed in paragraphs 82 to 86 above demonstrate that, prior to the submission of offers for the award of the framework agreement, NUVIA, OTND, and ENDEL participated in meetings and engaged in exchanges, notably concerning the price schedules to be submitted in response to the call for tenders organized by the CEA.</w:t>
      </w:r>
    </w:p>
    <w:p>
      <w:r>
        <w:t>224. Only NUVIA contests the materiality of these facts. In its observations, it argues that there is no sufficiently precise and consistent body of evidence to establish its participation in any concertation that occurred prior to the award of the framework agreement.</w:t>
      </w:r>
    </w:p>
    <w:p>
      <w:r>
        <w:t>225. However, it appears from the reading of the aforementioned documents that two emails dated April 13 and April 22, 2015, with the subjects "CEA Price Schedules" and "CEA Framework Contract," respectively, were sent by ENDEL to three employees of NUVIA, including Mr. A... (business manager of NUVIA until December 2017), for the purpose of organizing working meetings with OTND and ENDEL on April 20 and April 27, 2015. The email of April 22, 2015, particularly indicated that "a new and final working meeting" was proposed, which attests to the existence of prior meetings.</w:t>
      </w:r>
    </w:p>
    <w:p>
      <w:r>
        <w:t>226. Mr. A... also sent an invitation to OTND and ENDEL, as well as to two colleagues from NUVIA, for a meeting scheduled for April 27, 2015, with the subject "CEA Price Schedules." These various exchanges and meetings occurred less than a month before the deadline for the submission of offers.</w:t>
      </w:r>
    </w:p>
    <w:p>
      <w:r>
        <w:t>227. Furthermore, in an email dated May 6, 2015, nearly two weeks before the deadline for the submission of offers, ENDEL indicated to OTND and NUVIA (once again through Mr. A...) that Orano Cycle, the parent company of STMI, although submitting an offer, did not wish to obtain the framework agreement.</w:t>
      </w:r>
    </w:p>
    <w:p>
      <w:r>
        <w:t>228. These various elements, interpreted in light of the decision-making practice and case law recalled above, allow for the exclusion of NUVIA's ability to effectively contest its participation in the exchanges that occurred prior to the deadline for the submission of offers to the CEA. These exchanges, originating from both NUVIA and its competitors, concerned the price schedules, as well as the lack of interest in the considered market from one of the competing bidders.</w:t>
      </w:r>
    </w:p>
    <w:p>
      <w:r>
        <w:t>229. Finally, the name of a NUVIA employee, copied on the emails of April 13, 2015, and April 21, 2015, and mentioned in the email of April 22, 2015, appears on handwritten notes seized within ENDEL.</w:t>
      </w:r>
    </w:p>
    <w:p>
      <w:r>
        <w:t>230. NUVIA could thus not be unaware that the exchanges in which it participated had the object, or could have the effect, of reducing the autonomy of its offer and that of its competitors. Moreover, NUVIA provides no evidence to demonstrate that none of the meetings on April 20, 21, and 27, 2015, took place, despite the aforementioned emails.</w:t>
      </w:r>
    </w:p>
    <w:p>
      <w:r>
        <w:t>231. Consequently, it is established that NUVIA, OTND, and ENDEL conspired in the context of preparing their responses to the call for tenders issued by the CEA for the award of the framework agreement.</w:t>
      </w:r>
    </w:p>
    <w:p>
      <w:r>
        <w:t>♦ During the implementation of the framework agreement</w:t>
      </w:r>
    </w:p>
    <w:p>
      <w:r>
        <w:t>232. The documents in the file listed in paragraphs 87 to 108 above demonstrate that the four companies awarded the framework agreement, NUVIA, OTND, ENDEL, and BCSN, conspired to allocate the various FEB issued by the CEA in application of the framework agreement and to jointly set the amount of their submissions.</w:t>
      </w:r>
    </w:p>
    <w:p>
      <w:r>
        <w:t>233. Indeed, from the beginning of the implementation of the framework agreement, NUVIA, OTND, and ENDEL, joined by BCSN from March 2017, established a system for the allocation of FEB. Thus, for each issuance of FEB, the company to which the FEB was to be awarded provided its response documents (technical solution and pricing proposal) to its competitors, to allow them to establish cover offers. Exchanges for 41 FEB (out of a total of 47 FEB submitted at the time of the visit and seizure operations) can thus be identified.</w:t>
      </w:r>
    </w:p>
    <w:p>
      <w:r>
        <w:t>234. These exchanges were complemented by regular physical meetings, during which participants reviewed the FEB already awarded, ongoing FEB, and future FEB. A spreadsheet, regularly updated, served as a support for these discussions. The last follow-up meeting took place on February 11, 2019, the day before the visit and seizure operations.</w:t>
      </w:r>
    </w:p>
    <w:p>
      <w:r>
        <w:t>235. Finally, the participants in the agreement regularly exchanged information, notably through bilateral or group SMS, or emails sent from personal email addresses or other family members of employees of NUVIA, OTND, ENDEL, and BCSN.</w:t>
      </w:r>
    </w:p>
    <w:p>
      <w:r>
        <w:t>236. None of the parties involved contest the materiality of these facts.</w:t>
      </w:r>
    </w:p>
    <w:p>
      <w:r>
        <w:t>237. It is thus established that NUVIA, OTND, ENDEL, and BCSN conspired in the context of preparing their submissions to the FEB issued by the CEA in application of the framework agreement.</w:t>
      </w:r>
    </w:p>
    <w:p>
      <w:r>
        <w:t>On the anti-competitive nature of the practices</w:t>
      </w:r>
    </w:p>
    <w:p>
      <w:r>
        <w:t>238. The companies NUVIA, OTND, and ENDEL coordinated their offers in the context of the competitive process operated by the CEA in 2015 for the award of the framework agreement. Similarly, during the implementation of this framework agreement from March 1, 2016, these same companies, joined on March 6, 2017, by BCSN, coordinated their offers in response to almost all of the FEB issued by the CEA.</w:t>
      </w:r>
    </w:p>
    <w:p>
      <w:r>
        <w:rPr>
          <w:b/>
        </w:rPr>
        <w:t>[Pages 58–60]</w:t>
      </w:r>
    </w:p>
    <w:p>
      <w:r>
        <w:t>239. In doing so, the aforementioned companies have appropriated, to their benefit, the profit that the CEA was entitled to expect from their competition, since only adherence to competition rules guarantees the public buyer the sincerity of the call for tenders and the proper use of public funds. The practices in question involved exchanges of information concerning prices, technical solutions, and the intention of the awardees to submit bids or not. They also allowed for a distribution among the implicated companies of the various Framework Agreements (FEB), which was by definition contrary to the competitive mechanism organized by the CEA with this framework agreement. As recalled in paragraphs 202 and following, such collusive practices, in a context of organized competition for a contracting authority, have an anti-competitive object.</w:t>
      </w:r>
    </w:p>
    <w:p>
      <w:r>
        <w:t>240. Only NUVIA contests this analysis, regarding the awarding of the FEB, and rejects in this regard the existence of anti-competitive effects. According to it, the CEA would have been little sensitive to price, largely determined by the Unit Price Breakdown (BPU) established at the stage of awarding the framework agreement, and would have unilaterally awarded the FEB. The CEA would have, in fact, wished for the company already present on a main site to also be the one responsible for executing the FEB that were its complements, the ultimate goal being to avoid an interruption of the main site, deemed costly. The CEA would thus have been aware of the existence of exchanges between the awardees and facilitated them.</w:t>
      </w:r>
    </w:p>
    <w:p>
      <w:r>
        <w:t>241. However, NUVIA's arguments, which primarily concern the effects of the practices in question, do not call into question the anti-competitive object of the practices pursued under grievance no. 1, particularly regarding the awarding of the FEB.</w:t>
      </w:r>
    </w:p>
    <w:p>
      <w:r>
        <w:t>242. First, the CEA intended to put the awardees of the framework agreement in competition for each FEB, in order to "see the technical relevance of the offer, and what type of BPU is used," it being recalled that the framework agreement expressly provided that an awardee who did not respond to three consecutive FEB could be subject to a fixed and firm monetary penalty. Furthermore, only the service offer issued by the CEA after analyzing the various offers, carried out in light of the criteria determined in the consultation and in the framework agreement, constituted definitive acceptance of the services proposed for the FEB in question (Article 4.3 of the framework agreement).</w:t>
      </w:r>
    </w:p>
    <w:p>
      <w:r>
        <w:t>243. The implementation of the framework agreement was therefore to guarantee systematic and effective competition among the awardees for each FEB, in order to obtain an optimized technical offer each time, while ensuring a rapid contracting process. In particular, in cases where a company already present on a main site was awarded a FEB, this systematic competition was to allow the CEA to benefit from the cost optimization that the awardee of the FEB could achieve due to the operational advantage it could enjoy because of its presence on the main site. This is why the CEA intended to conduct "mini calls for tenders each time."</w:t>
      </w:r>
    </w:p>
    <w:p>
      <w:r>
        <w:t>244. However, it is established that NUVIA, OTND, ENDEL, and BCSN deprived the CEA, during the awarding of the framework agreement and then the FEB, of the possibility of benefiting from effective competition among the awardees.</w:t>
      </w:r>
    </w:p>
    <w:p>
      <w:r>
        <w:t>245. Next, the circumstance alleged by NUVIA, that the practices in question would have been known and even encouraged by the CEA, does not exempt the implicated parties from their liability. Indeed, according to the case law recalled above, the circumstance that the behavior of companies was known, authorized, or even encouraged by public authorities does not oppose the implementation of Article L. 420-1 of the Commercial Code and Article 101 of the TFEU. It is only in cases where the behavior of companies is entirely conditioned by the action of public authorities that the implementation of these provisions must be set aside.</w:t>
      </w:r>
    </w:p>
    <w:p>
      <w:r>
        <w:t>246. In the present case, it appears from the elements of the file that NUVIA, OTND, ENDEL, and BCSN freely initiated and participated in the identified anti-competitive exchanges, without the CEA having compelled them to do so.</w:t>
      </w:r>
    </w:p>
    <w:p>
      <w:r>
        <w:t>247. Consequently, and as follows from the principles recalled in paragraphs 202 to 205, it is established that the practices targeted under grievance no. 1, implemented by NUVIA, OTND, and ENDEL in the context of the awarding of the framework agreement, and then implemented by NUVIA, OTND, ENDEL, and BCSN in the context of the implementation of the framework agreement, have an anti-competitive object within the meaning of Articles L. 420-1 of the Commercial Code and 101 of the TFEU.</w:t>
      </w:r>
    </w:p>
    <w:p>
      <w:r>
        <w:t>On the existence of a single, complex, and continuous offense</w:t>
      </w:r>
    </w:p>
    <w:p>
      <w:r>
        <w:t>248. As the preceding developments clarify, the practices targeted under grievance no. 1 were implemented in two phases:</w:t>
        <w:br/>
        <w:t>− first, in the context of the awarding of the framework agreement, by NUVIA, OTND, and ENDEL;</w:t>
        <w:br/>
        <w:t>− then, in the context of the implementation of the framework agreement, by NUVIA, OTND, ENDEL, and BCSN.</w:t>
      </w:r>
    </w:p>
    <w:p>
      <w:r>
        <w:t>249. Indeed, the consultations first occurred during the consultation launched by the CEA for the awarding of the framework agreement. This consultation was organized, on the one hand, on the basis of BPUs, which largely determined the prices set by the framework agreement, and, on the other hand, on the basis of four specifications, in the form of standard FEB, corresponding to what the CEA might need. The objective pursued by the CEA during the consultation was thus to request prices in the form of BPUs, but also to obtain a technical scenario.</w:t>
      </w:r>
    </w:p>
    <w:p>
      <w:r>
        <w:t>250. The consultations then occurred during the implementation of the framework agreement. In response to a FEB, the framework agreement provided for a competition among the awardee companies, which had to submit a detailed offer including, in particular, the details of the proposed service and the fixed and firm amount of the services to be performed, based on the contractual unit prices. As previously recalled, the CEA indeed intended to conduct "mini calls for tenders each time, as this allows for seeing the technical relevance of the offer, and what type of BPU is used."</w:t>
      </w:r>
    </w:p>
    <w:p>
      <w:r>
        <w:t>251. It follows from the preceding findings that there was a direct link between the BPUs and the technical solutions submitted by the concerned companies during the awarding of the framework agreement and the elements submitted by the awardee companies in response to the FEB. Thus, from the very first contacts, the concerned companies knew that their consultations were likely to affect all the FEB that would be issued by the CEA throughout the duration of the framework agreement.</w:t>
      </w:r>
    </w:p>
    <w:p>
      <w:r>
        <w:t>252. The practices targeted under grievance no. 1, occurring over two successive and complementary periods, consistently pursued the objective of obstructing the autonomous determination of offers by competing companies for the services of sanitation, decontamination, and mapping that the CEA intended to solicit, through the awarding and then the implementation of the framework agreement, on its Marcoule site. By exchanging their technical and pricing estimates, as well as their intention to bid or not at these two stages of the process, the companies in question effectively substituted themselves for the CEA in deciding which of them would obtain the contracts, and under what conditions they would be obtained.</w:t>
      </w:r>
    </w:p>
    <w:p>
      <w:r>
        <w:t>253. Furthermore, as evidenced by the file, the practices identified under grievance no. 1 exhibit strong similarities:</w:t>
        <w:br/>
        <w:t>− three of the four involved companies (OTND, ENDEL, and NUVIA) were represented throughout the period of the practices;</w:t>
        <w:br/>
        <w:t>− the individuals representing ONET, ENDEL, and NUVIA were the same during the awarding and execution of the framework agreement.</w:t>
      </w:r>
    </w:p>
    <w:p>
      <w:r>
        <w:t>254. Finally, a tracking table of the FEB, an example of which is provided in paragraph 99 above, specified, for each past FEB, the name of the awardee, as well as the associated revenue. This table also included estimates for FEB not yet awarded and contained a summary of the total revenue obtained by each company through the framework agreement. This document, regularly updated and circulated among the four implicated companies, illustrates that there existed, among the different concerned companies, a mechanism creating a relationship of interdependence between the relevant markets.</w:t>
      </w:r>
    </w:p>
    <w:p>
      <w:r>
        <w:t>255. Consequently, the exchanges that occurred at each stage of the awarding and implementation of the framework agreement participated in a unique strategy, consisting of organizing coherent and permanent cooperation among the companies responsible for executing the sanitation, decontamination, and mapping services solicited by the CEA on its Marcoule site, in execution of a framework agreement. Such practices, whose anti-competitive object is established, constitute a single, complex, and continuous offense.</w:t>
      </w:r>
    </w:p>
    <w:p>
      <w:r>
        <w:t>256. None of the parties contests the analysis that the consultations that occurred before the awarding of the framework agreement, and then during the implementation of this framework agreement, are part of the same single, complex, and continuous offense.</w:t>
      </w:r>
    </w:p>
    <w:p>
      <w:r>
        <w:t>257. However, BCSN considers that a single, complex, and continuous offense cannot be attributed to it under grievance no. 1, since it would have participated in less than half of the exchanges identified by the statement of objections, starting from FEB 17, which marks its integration into the targeted practices. It would also not have participated in the establishment of the practices noted at the stage of awarding the framework agreement.</w:t>
      </w:r>
    </w:p>
    <w:p>
      <w:r>
        <w:t>258. Regarding first the degree of involvement of BCSN in the practices that occurred during the implementation of the framework agreement, it appears from table no. 1 above, which lists all the exchanges that occurred during the awarding of the FEB and for which material evidence exists, that starting from FEB 17, BCSN participated in nineteen exchanges, and is mentioned in three other exchanges. BCSN is therefore concerned, directly or indirectly, by twenty-one exchanges, out of a total of thirty-one FEB issued starting from FEB 17. Its involvement in the consultation that led to a distribution of the FEB is thus undeniable.</w:t>
      </w:r>
    </w:p>
    <w:p>
      <w:r>
        <w:rPr>
          <w:b/>
        </w:rPr>
        <w:t>[Pages 61–63]</w:t>
      </w:r>
    </w:p>
    <w:p>
      <w:r>
        <w:t>259. In any event, as recalled above, limited participation in a single, complex, and continuous infringement must only be taken into account when assessing the seriousness of the infringement and, where applicable, in determining the fine.</w:t>
      </w:r>
    </w:p>
    <w:p>
      <w:r>
        <w:t>260. Regarding the absence of participation by BCSN in the consultation during the awarding of the framework agreement, it should be noted that under the case law recalled above, the liability of a company can be engaged for the commission of a single, complex, and continuous infringement, without it necessarily having participated in all manifestations of this infringement. In accordance with this case law, the statement of objections attributed to BCSN only the behaviors in which it directly participated (related to the implementation of the framework agreement) and for the actual duration of its participation (from March 6, 2017).</w:t>
      </w:r>
    </w:p>
    <w:p>
      <w:r>
        <w:t>261. In conclusion, it is established that the practices referred to under grievance no. 1, occurring both at the stage of awarding the framework agreement and at the stage of its implementation, constitute a single, complex, and continuous infringement.</w:t>
      </w:r>
    </w:p>
    <w:p>
      <w:r>
        <w:t>On the duration of the infringement established under grievance no. 1</w:t>
      </w:r>
    </w:p>
    <w:p>
      <w:r>
        <w:t>262. Regarding the start date of the infringement, as evidenced by the findings above (see paragraphs 83 and 226), the exchanges between ENDEL, NUVIA, and OTND are established as of April 13, 2015. BCSN's participation in these exchanges is established from March 6, 2017, as shown in table no. 1 (line "2016/17"). Prior to this period, BCSN could not respond to the FEBs, having lost its approval from June 4 to December 16, 2016, although the other three awardees were ready to welcome it from the beginning of the implementation of the framework agreement, as evidenced by the exchanges related to FEB 2016/04.</w:t>
      </w:r>
    </w:p>
    <w:p>
      <w:r>
        <w:t>263. Regarding the end date of the infringement, it should be clarified that the framework agreement is a contract for purchase orders, the execution and payment of which are staggered over time, and not a works contract requiring the submission of a fixed-price offer. By virtue of the aforementioned case law in paragraph 216, its duration must therefore be analyzed in consideration of the awarding of successive FEBs, up to FEB 47.</w:t>
      </w:r>
    </w:p>
    <w:p>
      <w:r>
        <w:t>264. The elements present in the file demonstrate the persistence of the infringing intent of ENDEL, NUVIA, OTND, and BCSN at least until the date of the search and seizure operations, which took place on February 12, 2019. It follows in particular from table no. 1 and paragraph 97 above that, up to that date, the companies involved persisted in their consultation, with the aim of organizing the awarding of each of the FEBs, to their benefit, and substituting themselves for the CEA. In particular, a follow-up meeting between these four companies took place on February 11, 2019, the day before the search and seizure operations, involving the same four participants. On the other hand, the occurrence of the search and seizure operations conducted by the Authority on February 12, 2019, as well as the measures taken subsequently by the companies involved against the employees implicated in the infringement, ended the infringement.</w:t>
      </w:r>
    </w:p>
    <w:p>
      <w:r>
        <w:t>265. In light of the above, it is established that the following participated in the infringement:</w:t>
        <w:br/>
        <w:t>− ENDEL, NUVIA, and OTND, for the entirety of the single, complex, and continuous infringement, for the entire duration thereof, corresponding to the periods of awarding and execution of the framework agreement, between April 13, 2015, and February 12, 2019;</w:t>
        <w:br/>
        <w:t>− BCSN, for a part of the single, complex, and continuous infringement, corresponding to the period of execution of the framework agreement, between March 6, 2017, and February 12, 2019.</w:t>
      </w:r>
    </w:p>
    <w:p>
      <w:r>
        <w:t>On grievance no. 2 – the "foss 600" contracts</w:t>
      </w:r>
    </w:p>
    <w:p>
      <w:r>
        <w:t>266. As recalled in section I.D.2.a), the CEA launched three consultations for work to be carried out on the "foss 600". The deadline for submission was set for May 27, 2014. SPIE DEN, ENDEL, and NUVIA submitted offers for these three consultations.</w:t>
      </w:r>
    </w:p>
    <w:p>
      <w:r>
        <w:t>267. On April 16, 2014, NUVIA sent ENDEL two price breakdown tables, expressly indicating the total amounts to be achieved.</w:t>
      </w:r>
    </w:p>
    <w:p>
      <w:r>
        <w:t>268. On May 15, 2014, NUVIA informed ENDEL and SPIE DEN that the offer for the first contract was expected by the CEA by May 19, 2014, and specified on this occasion the threshold above which the offers from ENDEL and NUVIA should be positioned.</w:t>
      </w:r>
    </w:p>
    <w:p>
      <w:r>
        <w:t>269. On May 19, 2014, in a stated concern for transparency, ENDEL communicated to NUVIA, OTND, and SPIE DEN the amount of its offer for the first contract, submitted on the same day, for the purpose of "covering" NUVIA.</w:t>
      </w:r>
    </w:p>
    <w:p>
      <w:r>
        <w:t>270. On May 21, 2014, NUVIA sent its budgets for the other two contracts to ENDEL and SPIE DEN, again indicating to its competitors a minimum price threshold to be reached for their offers.</w:t>
      </w:r>
    </w:p>
    <w:p>
      <w:r>
        <w:t>271. Finally, an internal email from ENDEL dated June 14, 2014, mentions regular exchanges between the aforementioned companies on the Marcoule site.</w:t>
      </w:r>
    </w:p>
    <w:p>
      <w:r>
        <w:t>272. ENDEL's offer for the first contract was dated May 16, 2014, and those for the second and third contracts were dated May 23, 2014. These offers were above the amounts mentioned by NUVIA in the aforementioned exchanges.</w:t>
      </w:r>
    </w:p>
    <w:p>
      <w:r>
        <w:t>273. SPIE DEN submitted its offer for the first contract on April 24, 2014, for an amount significantly higher than that indicated by NUVIA, before being corrected downwards on May 16, 2014, for an amount slightly higher than that of NUVIA. On the same date, SPIE DEN also submitted its offers for the other two contracts.</w:t>
      </w:r>
    </w:p>
    <w:p>
      <w:r>
        <w:t>274. NUVIA ultimately obtained all three contracts.</w:t>
      </w:r>
    </w:p>
    <w:p>
      <w:r>
        <w:t>On the existence of an agreement of wills</w:t>
      </w:r>
    </w:p>
    <w:p>
      <w:r>
        <w:t>275. It follows from the findings above that, for each of the three consultations launched by the CEA, NUVIA requested, from ENDEL and SPIE DEN, the submission of cover offers.</w:t>
      </w:r>
    </w:p>
    <w:p>
      <w:r>
        <w:t>276. NUVIA does not contest this analysis.</w:t>
      </w:r>
    </w:p>
    <w:p>
      <w:r>
        <w:t>277. It is established that ENDEL did indeed submit a cover offer for the first contract for the benefit of NUVIA. Its email of May 19, 2014, expressly attests to this.</w:t>
      </w:r>
    </w:p>
    <w:p>
      <w:r>
        <w:t>278. It is also established that ENDEL submitted cover offers for the second and third contracts, for the benefit of NUVIA. ENDEL indeed submitted its offers on May 23, 2014, just two days after NUVIA sent it its instructions, for amounts higher than those indicated by NUVIA.</w:t>
      </w:r>
    </w:p>
    <w:p>
      <w:r>
        <w:t>279. ENDEL does not contest this analysis.</w:t>
      </w:r>
    </w:p>
    <w:p>
      <w:r>
        <w:t>280. On the other hand, the submission of cover offers by SPIE DEN for the benefit of NUVIA for the three contracts is not sufficiently demonstrated by the statement of objections.</w:t>
      </w:r>
    </w:p>
    <w:p>
      <w:r>
        <w:t>281. Regarding first the first contract, SPIE DEN submitted a first offer on April 24, 2014, three weeks before receiving NUVIA's email of May 15, 2014, and for an amount already significantly higher than that subsequently recommended by NUVIA. As SPIE DEN also points out, the text of NUVIA's email of May 15, 2014, may suggest that the latter did not know that SPIE DEN had already submitted an offer higher than the recommended offer. SPIE DEN further argues that its readjusted offer downwards on May 16, 2014, was being prepared well before receiving NUVIA's email, as the relatively long validation process at SPIE Nuclear would not have allowed it to be established between the receipt of said email (the day before, at 8:28 PM) and May 16, 2014.</w:t>
      </w:r>
    </w:p>
    <w:p>
      <w:r>
        <w:t>282. Furthermore, SPIE DEN's readjusted offer downwards on May 16, 2014, was submitted jointly with its offers for the other two contracts. SPIE DEN argues that this price reduction for the first contract resulted from a pooling of costs that it was able to carry out between the three sites (notably, with facilities that could serve these three sites), and that it passed this on in its offer, through a reduction of the price initially proposed for the first contract.</w:t>
      </w:r>
    </w:p>
    <w:p>
      <w:r>
        <w:t>283. Even if this last argument is not truly substantiated, there remains, in fact, a doubt regarding SPIE DEN's adherence to the practices referred to under grievance no. 2, concerning the first contract.</w:t>
      </w:r>
    </w:p>
    <w:p>
      <w:r>
        <w:t>284. Regarding the second and third contracts, it is also not established that SPIE DEN submitted cover offers for the benefit of NUVIA. Indeed, each of its offers was submitted on May 16, 2014, before receiving NUVIA's email of May 21, 2014, inviting it to submit cover offers.</w:t>
      </w:r>
    </w:p>
    <w:p>
      <w:r>
        <w:t>285. Finally, and as SPIE DEN points out, the internal email from ENDEL dated June 14, 2014, does not establish SPIE DEN's participation in the practices in question, since this email, not corroborated by external elements, is subsequent to the contract and only shows a reporting of information by the CEA.</w:t>
      </w:r>
    </w:p>
    <w:p>
      <w:r>
        <w:t>286. For the reasons stated above, it is established that NUVIA and ENDEL coordinated by exchanging information on prices to enable the submission of cover offers for the benefit of NUVIA on the three contracts concerning the "foss 600". On the other hand, SPIE DEN must be exonerated.</w:t>
      </w:r>
    </w:p>
    <w:p>
      <w:r>
        <w:t>On the anti-competitive nature of the practices</w:t>
      </w:r>
    </w:p>
    <w:p>
      <w:r>
        <w:t>287. The practices implemented by NUVIA and ENDEL consisted of coordinating their offers to allow NUVIA to obtain, without effective competition, the three contracts related to the "foss 600", thanks to the cover offers submitted for its benefit by ENDEL.</w:t>
      </w:r>
    </w:p>
    <w:p>
      <w:r>
        <w:t>288. Consequently, and as follows from the principles recalled in paragraphs 202 to 205, it is established that the practices referred to under grievance no. 2, implemented by NUVIA and ENDEL, have an anti-competitive object within the meaning of Articles L. 420-1 of the Commercial Code and 101 of the TFEU.</w:t>
      </w:r>
    </w:p>
    <w:p>
      <w:r>
        <w:rPr>
          <w:b/>
        </w:rPr>
        <w:t>[Pages 64–66]</w:t>
      </w:r>
    </w:p>
    <w:p>
      <w:r>
        <w:t>the infringement concerning the "Sortie de la pompe filtration Piscine G" contract was implemented by ENDEL and NUVIA from November 12 to November 17, 2014.</w:t>
      </w:r>
    </w:p>
    <w:p>
      <w:r>
        <w:rPr>
          <w:b/>
        </w:rPr>
        <w:t>[Pages 67–69]</w:t>
      </w:r>
    </w:p>
    <w:p>
      <w:r>
        <w:t>the infringement concerning the "Pump Filtration Pool G" contract was implemented by NUVIA and ENDEL from November 12 to November 17, 2014.</w:t>
      </w:r>
    </w:p>
    <w:p>
      <w:r>
        <w:t>On grievance no. 4 – the "AVM" contracts</w:t>
      </w:r>
    </w:p>
    <w:p>
      <w:r>
        <w:t>316. As recalled in section I.D.2.c), on February 26, 2015, ENDEL sent two emails to NUVIA and OTND regarding four contracts concerning services in the installation of the AVM. Each of these two emails was accompanied by a table indicating the prices that were to be proposed by NUVIA and ONET for each of these four lots, and they requested each of them to "align" with the indicated prices.</w:t>
      </w:r>
    </w:p>
    <w:p>
      <w:r>
        <w:t>317. It follows from the above elements that the aforementioned communications were a result of prior exchanges between NUVIA, OTND, and ENDEL.</w:t>
      </w:r>
    </w:p>
    <w:p>
      <w:r>
        <w:t>318. The deadline for responses for these lots was set for March 6, 2015.</w:t>
      </w:r>
    </w:p>
    <w:p>
      <w:r>
        <w:t>On the existence of an agreement of wills</w:t>
      </w:r>
    </w:p>
    <w:p>
      <w:r>
        <w:t>319. As can be seen from the preceding findings, ENDEL transmitted pricing elements to NUVIA and OTND to enable them to make cover offers in its favor, as these three companies had decided during their prior exchanges.</w:t>
      </w:r>
    </w:p>
    <w:p>
      <w:r>
        <w:t>320. None of the aforementioned companies disputes the facts in question.</w:t>
      </w:r>
    </w:p>
    <w:p>
      <w:r>
        <w:t>321. It is thus established that ENDEL, NUVIA, and OTND coordinated by exchanging information on prices, in order to allow the submission of cover offers for the benefit of ENDEL.</w:t>
      </w:r>
    </w:p>
    <w:p>
      <w:r>
        <w:t>On the anti-competitive nature of the practices</w:t>
      </w:r>
    </w:p>
    <w:p>
      <w:r>
        <w:t>322. It is established that the exchanges that took place between ENDEL, NUVIA, and OTND aimed to enable NUVIA and OTND to establish cover offers for the benefit of their competitor ENDEL, and thus to coordinate their offers in order to oppose the competitive mechanism organized by the CEA.</w:t>
      </w:r>
    </w:p>
    <w:p>
      <w:r>
        <w:t>323. Consequently, and as follows from the principles recalled in paragraphs 202 to 205, it is established that the practices referred to in grievance no. 4, implemented by ENDEL, NUVIA, and OTND, have an anti-competitive object within the meaning of Articles L. 420-1 of the Commercial Code and 101 of the TFEU.</w:t>
      </w:r>
    </w:p>
    <w:p>
      <w:r>
        <w:t>On the absence of a single, complex, and continuous infringement</w:t>
      </w:r>
    </w:p>
    <w:p>
      <w:r>
        <w:t>324. The notification of grievances did not hold that the practices referred to in grievance no. 4 fell under the single, complex, and continuous infringement retained under grievance no. 1. However, ENDEL argues that there would be a single, complex, and continuous infringement covering not only the practices identified under grievance no. 1 but also, in particular, those referred to under grievance no. 4, given the alleged similarities and complementarity of these practices.</w:t>
      </w:r>
    </w:p>
    <w:p>
      <w:r>
        <w:t>325. For the same reasons as those set out in paragraphs 291 to 298 above, which apply mutatis mutandis to the present case, the practices pursued under grievance no. 1 and those pursued under grievance no. 4 present objective differences.</w:t>
      </w:r>
    </w:p>
    <w:p>
      <w:r>
        <w:t>326. Based on these objective differences, and as the notification of grievances had retained, the aforementioned practices constitute separate infringements, such that the practices referred to under grievance no. 4 do not fall under the single, complex, and continuous infringement constituted by the practices referred to under grievance no. 1.</w:t>
      </w:r>
    </w:p>
    <w:p>
      <w:r>
        <w:t>On the duration of the infringement</w:t>
      </w:r>
    </w:p>
    <w:p>
      <w:r>
        <w:t>327. The first identified contacts for this contract are the two emails of February 26, 2015. Furthermore, the deadline for submitting offers was set for March 6, 2015.</w:t>
      </w:r>
    </w:p>
    <w:p>
      <w:r>
        <w:t>328. Consequently, considering the case law recalled in paragraphs 217 and 218 above, it is established that the infringement concerning the "AVM" contract was implemented by ENDEL, NUVIA, and OTND from February 26 to March 6, 2015.</w:t>
      </w:r>
    </w:p>
    <w:p>
      <w:r>
        <w:t>On grievance no. 5 – the "Various ATM Works" contract</w:t>
      </w:r>
    </w:p>
    <w:p>
      <w:r>
        <w:t>329. As recalled in I.D.2.d), on February 22, 2017, following a preliminary interview, ENDEL sent its quote for the "Various ATM Works" contract to OTND and NUVIA, asking them to position themselves 15 to 20% above its price. OTND's response indicated that it intended to comply with this request, which was confirmed by the offer it subsequently submitted to the CEA.</w:t>
      </w:r>
    </w:p>
    <w:p>
      <w:r>
        <w:t>330. On April 7, 2017, ENDEL requested OTND and NUVIA to prepare identical quotes, but with later dates. The wording of this request indicates that OTND and NUVIA had complied with the previous request. OTND confirmed the transmission of the second requested quote.</w:t>
      </w:r>
    </w:p>
    <w:p>
      <w:r>
        <w:t>331. ENDEL ranked first among the bidders, but no contract was ultimately concluded.</w:t>
      </w:r>
    </w:p>
    <w:p>
      <w:r>
        <w:t>On the existence of an agreement of wills</w:t>
      </w:r>
    </w:p>
    <w:p>
      <w:r>
        <w:t>332. As can be seen from the preceding findings, ENDEL transmitted pricing elements to NUVIA and OTND to enable them to make cover offers in its favor, as these three companies had decided during a prior exchange.</w:t>
      </w:r>
    </w:p>
    <w:p>
      <w:r>
        <w:t>333. None of the aforementioned companies disputes the facts in question.</w:t>
      </w:r>
    </w:p>
    <w:p>
      <w:r>
        <w:t>334. It is thus established that ENDEL, NUVIA, and OTND coordinated by exchanging information on prices, in order to allow the submission of cover offers for the benefit of ENDEL.</w:t>
      </w:r>
    </w:p>
    <w:p>
      <w:r>
        <w:t>On the anti-competitive nature of the practices</w:t>
      </w:r>
    </w:p>
    <w:p>
      <w:r>
        <w:t>335. It is established that the exchanges that took place between ENDEL, OTND, and NUVIA aimed to enable OTND and NUVIA to establish a cover offer for the benefit of their competitor ENDEL, and thus to coordinate their offers in order to oppose the competitive mechanism organized by the CEA. The elements of the file show that this strategy effectively allowed ENDEL to be the highest ranked during the CEA's evaluation for this contract.</w:t>
      </w:r>
    </w:p>
    <w:p>
      <w:r>
        <w:t>336. In this regard, and contrary to what NUVIA argues, the fact that the contract in question was not awarded for reasons specific to the CEA has no consequence on the qualification of the practices. It is indeed indifferent that, due to the absence of contract award, the practices concerned did not have consequences on the market in question, as long as they were likely to influence the outcome of the call for tenders at the time the exchanges took place.</w:t>
      </w:r>
    </w:p>
    <w:p>
      <w:r>
        <w:t>337. Consequently, and as follows from the principles recalled in paragraphs 202 to 205, it is established that the practices referred to in grievance no. 5, implemented by ENDEL, NUVIA, and OTND, have an anti-competitive object within the meaning of Articles L. 420-1 of the Commercial Code and 101 of the TFEU.</w:t>
      </w:r>
    </w:p>
    <w:p>
      <w:r>
        <w:t>On the absence of a single, complex, and continuous infringement</w:t>
      </w:r>
    </w:p>
    <w:p>
      <w:r>
        <w:t>338. The notification of grievances did not hold that the practices referred to in grievance no. 5 fell under the single, complex, and continuous infringement retained under grievance no. 1. However, ENDEL argues that there would be a single, complex, and continuous infringement covering not only the practices identified under grievance no. 1 but also, in particular, those referred to under grievance no. 5, given the alleged similarities and complementarity of these practices.</w:t>
      </w:r>
    </w:p>
    <w:p>
      <w:r>
        <w:t>339. For the same reasons as those set out in paragraphs 291 to 298 above, which apply mutatis mutandis to the present case, the practices pursued under grievance no. 1 and those pursued under grievance no. 5 present objective differences.</w:t>
      </w:r>
    </w:p>
    <w:p>
      <w:r>
        <w:t>340. Based on these objective differences, and as the notification of grievances had retained, the aforementioned practices constitute separate infringements, such that the practices referred to under grievance no. 5 do not fall under the single, complex, and continuous infringement constituted by the practices referred to under grievance no. 1.</w:t>
      </w:r>
    </w:p>
    <w:p>
      <w:r>
        <w:t>On the duration of the infringement</w:t>
      </w:r>
    </w:p>
    <w:p>
      <w:r>
        <w:t>341. It is established that, as of February 22, 2017, ENDEL, NUVIA, and OTND coordinated by exchanging information on prices. On April 7, 2017, while the call for tenders was still ongoing, ENDEL requested new quotes from its competitors.</w:t>
      </w:r>
    </w:p>
    <w:p>
      <w:r>
        <w:t>342. Consequently, considering the case law recalled in paragraphs 217 and 218 above, and in the absence of precision on the deadline for submitting offers, it is established that the infringement concerning the "Various ATM Works" contract was implemented by ENDEL, NUVIA, and OTND from February 22 to April 7, 2017.</w:t>
      </w:r>
    </w:p>
    <w:p>
      <w:r>
        <w:t>On grievance no. 6 – the radiation protection assistance contract for the restoration of soil "Mar 400"</w:t>
      </w:r>
    </w:p>
    <w:p>
      <w:r>
        <w:t>343. As recalled in section I.D.2.e), two series of contracts were launched for work to be carried out on the "Mar 400".</w:t>
      </w:r>
    </w:p>
    <w:p>
      <w:r>
        <w:t>344. On November 28, 2016, NUVIA sent ENDEL its technical and financial proposal for the first series. The next day, ENDEL sent its offer for this contract to the CEA, with NUVIA in blind copy. The proposed price was higher than that transmitted by NUVIA in its email the previous day.</w:t>
      </w:r>
    </w:p>
    <w:p>
      <w:r>
        <w:rPr>
          <w:b/>
        </w:rPr>
        <w:t>[Pages 70–72]</w:t>
      </w:r>
    </w:p>
    <w:p>
      <w:r>
        <w:t>345. On May 4, 2017, NUVIA sent ENDEL a price to serve as a reference for ENDEL to establish an offer within the framework of the second series. The next day, ENDEL submitted its offer for this contract to the CEA, with NUVIA in blind copy. The proposed price was almost identical to that transmitted by NUVIA the day before.</w:t>
      </w:r>
    </w:p>
    <w:p>
      <w:r>
        <w:t>On the existence of an agreement of wills</w:t>
      </w:r>
    </w:p>
    <w:p>
      <w:r>
        <w:t>346. For the two series of contracts mentioned above, which were to organize the work to be carried out on the "Mar 400," it is established that NUVIA transmitted the details of its technical and financial proposal to ENDEL, before the latter sent its own offer to the CEA, with a price almost identical to that previously communicated by NUVIA. NUVIA was also in blind copy of ENDEL's submissions to the CEA.</w:t>
      </w:r>
    </w:p>
    <w:p>
      <w:r>
        <w:t>347. Neither ENDEL nor NUVIA contest the facts in question.</w:t>
      </w:r>
    </w:p>
    <w:p>
      <w:r>
        <w:t>348. It is thus established that ENDEL and NUVIA coordinated by exchanging information on the price and technical content of their offers regarding the contracts related to the "Mar 400."</w:t>
      </w:r>
    </w:p>
    <w:p>
      <w:r>
        <w:t>On the anti-competitive nature of the practices</w:t>
      </w:r>
    </w:p>
    <w:p>
      <w:r>
        <w:t>349. It is established that, for the two series of contracts in question, NUVIA transmitted strategic information to ENDEL prior to the submission of its offer, including the technical and financial proposal it was about to submit to the CEA for the first series of contracts. It is also established that ENDEL prepared an offer based on the elements communicated by NUVIA, and that ENDEL kept NUVIA informed of the submission of its offer by adding NUVIA in blind copy to its email to the CEA. This demonstrates that NUVIA and ENDEL coordinated their offers. This allowed NUVIA, being the first company to communicate strategic information about its offer, to win the contract.</w:t>
      </w:r>
    </w:p>
    <w:p>
      <w:r>
        <w:t>350. NUVIA challenges the existence of cover offers, on the grounds that the offers submitted by ENDEL had amounts lower than those communicated by NUVIA.</w:t>
      </w:r>
    </w:p>
    <w:p>
      <w:r>
        <w:t>351. For the first series of contracts, the price communicated by NUVIA was 24,900 euros218. The price offered by ENDEL was [CONFIDENTIAL] euros219. The offer submitted by ENDEL did not therefore present an amount lower than that communicated by NUVIA, and it is established that ENDEL's offer was a cover offer aimed at allowing NUVIA to win the contract.</w:t>
      </w:r>
    </w:p>
    <w:p>
      <w:r>
        <w:t>352. For the second series of contracts, NUVIA communicated to ENDEL a price of [CONFIDENTIAL] euros, without it being possible to deduce from the email sent by NUVIA whether this was the amount that NUVIA intended to submit to the CEA or the amount of a cover offer expected from ENDEL220. It appears that the price offered by ENDEL to the CEA amounted to [CONFIDENTIAL] euros221. This difference of 55 euros, or [&lt;1]% of the amount initially indicated by NUVIA, is minor. Nevertheless, the offers submitted by ENDEL were of an amount almost identical to that transmitted by NUVIA. The proximity of this offer confirms that ENDEL prepared its offer taking into account the information provided by NUVIA, and not, as it should have in the context of a call for tenders, without knowing what the offers of its competitors would be. This use of the information provided by NUVIA seems to justify their transmission in the first place, and the fact that ENDEL kept NUVIA informed of how it had used this information.</w:t>
      </w:r>
    </w:p>
    <w:p>
      <w:r>
        <w:t>353. In these circumstances, it is not necessary to qualify ENDEL's offers as cover offers. It is only necessary to note that the companies coordinated their offer within the framework of the call for tenders organized by the CEA.</w:t>
      </w:r>
    </w:p>
    <w:p>
      <w:r>
        <w:t>354. In any case, it is established that the exchanges that took place between NUVIA and ENDEL eliminated any uncertainty between them, whether regarding the pricing or technical elements of their offers. It is also established that neither of the two companies involved distanced itself from the practices.</w:t>
      </w:r>
    </w:p>
    <w:p>
      <w:r>
        <w:t>355. Consequently, and as follows from the principles recalled in paragraphs 202 to 205, it is established that the practices referred to under grievance no. 6, implemented by ENDEL and NUVIA, aimed to interfere with the competitive mechanism organized by the CEA, and therefore have an anti-competitive object within the meaning of Articles L. 420-1 of the Commercial Code and 101 of the TFEU.</w:t>
      </w:r>
    </w:p>
    <w:p>
      <w:r>
        <w:t>On the absence of a single, complex, and continuous offense</w:t>
      </w:r>
    </w:p>
    <w:p>
      <w:r>
        <w:t>356. The notification of grievances did not hold that the practices referred to under grievance no. 6 constituted a single, complex, and continuous offense as retained under grievance no. 1. However, ENDEL argues that there would be a single, complex, and continuous offense covering not only the practices identified under grievance no. 1 but also, in particular, those referred to under grievance no. 6, given the alleged similarities and complementarity of these practices.</w:t>
      </w:r>
    </w:p>
    <w:p>
      <w:r>
        <w:t>357. For the same reasons as those set out in paragraphs 291 to 298 above, which apply mutatis mutandis to the present case, the practices pursued under grievance no. 1 and those pursued under grievance no. 6 present objective differences.</w:t>
      </w:r>
    </w:p>
    <w:p>
      <w:r>
        <w:t>358. Based on these objective differences, and as the notification of grievances had retained, the aforementioned practices constitute separate offenses, such that the practices referred to under grievance no. 5 do not fall under the single, complex, and continuous offense constituted by the practices referred to under grievance no. 1.</w:t>
      </w:r>
    </w:p>
    <w:p>
      <w:r>
        <w:t>On the duration of the offense</w:t>
      </w:r>
    </w:p>
    <w:p>
      <w:r>
        <w:t>359. It is established that, as of November 28, 2016, ENDEL and NUVIA coordinated by exchanging information on the prices and technical content of their offers. These exchanges continued until May 5, 2017, the date on which ENDEL actually submitted its offer to the CEA for the second series of contracts.</w:t>
      </w:r>
    </w:p>
    <w:p>
      <w:r>
        <w:t>360. Consequently, considering the case law recalled in paragraphs 217 and 218 above, and in the absence of precision on the deadline for submitting offers, it is established that the offense concerning the series of contracts related to the "Mar 400" was implemented by ENDEL and NUVIA from November 28, 2016, to May 5, 2017.</w:t>
      </w:r>
    </w:p>
    <w:p>
      <w:r>
        <w:t>On grievance no. 7 – the "Désamiantage IZEN" contract</w:t>
      </w:r>
    </w:p>
    <w:p>
      <w:r>
        <w:t>361. As recalled in section I.D.2.f), an internal email from SNEF dated May 23, 2017, establishes a strategy to obtain cover offers from OTND and SPIE DEN.</w:t>
      </w:r>
    </w:p>
    <w:p>
      <w:r>
        <w:t>362. On June 6, 2017, SNEF transmitted to OTND and SPIE DEN the quotes that would allow them to establish cover offers. The elements of the file show that OTND and SPIE DEN indeed intended to submit such offers.</w:t>
      </w:r>
    </w:p>
    <w:p>
      <w:r>
        <w:t>363. Furthermore, the amount of the offer submitted by SPIE DEN on June 12, 2017, was almost identical to that targeted by SNEF.</w:t>
      </w:r>
    </w:p>
    <w:p>
      <w:r>
        <w:t>364. This contract was ultimately awarded to SNEF, after a competitive process involving OTND, SPIE DEN, and SNEF.</w:t>
      </w:r>
    </w:p>
    <w:p>
      <w:r>
        <w:t>On the existence of an agreement of wills</w:t>
      </w:r>
    </w:p>
    <w:p>
      <w:r>
        <w:t>365. It follows from the preceding findings that SNEF established a distribution strategy involving OTND and SPIE DEN, and transmitted to them the responses they were to submit. OTND and SPIE DEN implemented this strategy.</w:t>
      </w:r>
    </w:p>
    <w:p>
      <w:r>
        <w:t>366. It is thus established that SNEF, OTND, and SPIE DEN coordinated their offers in order to oppose the competitive mechanism organized by the CEA for the contracts related to the "Désamiantage IZEN."</w:t>
      </w:r>
    </w:p>
    <w:p>
      <w:r>
        <w:t>On the anti-competitive nature of the practices</w:t>
      </w:r>
    </w:p>
    <w:p>
      <w:r>
        <w:t>367. The exchanges that took place between SNEF, OTND, and SPIE DEN aimed to enable OTND and SPIE DEN to establish a cover offer to the benefit of their competitor. Moreover, the objective of this coordination was achieved, as SNEF ultimately won the contract.</w:t>
      </w:r>
    </w:p>
    <w:p>
      <w:r>
        <w:t>368. Consequently, and as follows from the principles recalled in paragraphs 202 to 205, it is established that the practices referred to under grievance no. 7, implemented by SNEF, OTND, and SPIE DEN, have an anti-competitive object within the meaning of Articles L. 420-1 of the Commercial Code and 101 of the TFEU.</w:t>
      </w:r>
    </w:p>
    <w:p>
      <w:r>
        <w:t>On the absence of a single, complex, and continuous offense</w:t>
      </w:r>
    </w:p>
    <w:p>
      <w:r>
        <w:t>369. The notification of grievances did not hold that the practices referred to under grievance no. 7 constituted a single, complex, and continuous offense as retained under grievance no. 1. SPIE DEN, however, argues that there would be a single, complex, and continuous offense covering not only the practices identified under grievance no. 1 but also those referred to under grievances no. 2 and no. 7, given the alleged similarities and complementarity of these practices.</w:t>
      </w:r>
    </w:p>
    <w:p>
      <w:r>
        <w:t>370. For the same reasons as those set out in paragraphs 291 to 298 above, which apply mutatis mutandis to the present case, the practices pursued under grievance no. 1 and those pursued under grievance no. 7 present objective differences.</w:t>
      </w:r>
    </w:p>
    <w:p>
      <w:r>
        <w:t>371. Based on these objective differences, and as the notification of grievances had retained, the aforementioned practices constitute separate offenses, such that the practices referred to under grievance no. 7 do not fall under the single, complex, and continuous offense constituted by the practices referred to under grievance no. 1.</w:t>
      </w:r>
    </w:p>
    <w:p>
      <w:r>
        <w:t>On the duration of the offense</w:t>
      </w:r>
    </w:p>
    <w:p>
      <w:r>
        <w:t>372. It is established that the first element indicating the existence of coordination is dated May 23, 2017. Furthermore, the elements of the file show that on June 12, 2017, the date on which SPIE DEN submitted its offer, the call for tenders procedure was still ongoing.</w:t>
      </w:r>
    </w:p>
    <w:p>
      <w:r>
        <w:rPr>
          <w:b/>
        </w:rPr>
        <w:t>[Pages 73–75]</w:t>
      </w:r>
    </w:p>
    <w:p>
      <w:r>
        <w:t>373. Consequently, taking into account the case law recalled in paragraphs 217 and 218 above, and in the absence of a deadline for the submission of offers, it is established that the infringement concerning the "Désamiantage IZEN" contract was implemented by SNEF, SPIE DEN, and OTND from May 23 to June 12, 2017.</w:t>
      </w:r>
    </w:p>
    <w:p>
      <w:r>
        <w:t>On grievance no. 8 – the "Essai de procédure de décontamination" contract</w:t>
      </w:r>
    </w:p>
    <w:p>
      <w:r>
        <w:t>374. As recalled in section I.D.2.g), an internal email from OTND dated September 19, 2017, the date of the dispatch of the consultation letter from the CEA to OTND, shows OTND's intention to submit a cover offer for the benefit of SNEF. This intention is confirmed by another internal email sent a week later.</w:t>
      </w:r>
    </w:p>
    <w:p>
      <w:r>
        <w:t>375. On October 10, 2017, SNEF transmitted its technical and pricing offer to OTND.</w:t>
      </w:r>
    </w:p>
    <w:p>
      <w:r>
        <w:t>376. On October 13, 2017, one of OTND's employees directly asked an employee of SNEF at what price he should position himself, before receiving a price quote from SNEF. Subsequently, OTND confirmed to SNEF that it had responded to the call for tenders "as expected."</w:t>
      </w:r>
    </w:p>
    <w:p>
      <w:r>
        <w:t>On the existence of an agreement of wills</w:t>
      </w:r>
    </w:p>
    <w:p>
      <w:r>
        <w:t>377. It is established that SNEF and OTND coordinated to set up a cover offer in response to the consultation launched by the CEA for the "Essai de procédure de décontamination" contract, with a view to awarding this contract to SNEF.</w:t>
      </w:r>
    </w:p>
    <w:p>
      <w:r>
        <w:t>On the anti-competitive nature of the practices</w:t>
      </w:r>
    </w:p>
    <w:p>
      <w:r>
        <w:t>378. The exchanges that took place between OTND and SNEF aimed to enable OTND to establish a cover offer for the benefit of SNEF. They therefore sought to oppose the competitive mechanism organized by the CEA.</w:t>
      </w:r>
    </w:p>
    <w:p>
      <w:r>
        <w:t>379. Consequently, and as follows from the principles recalled in paragraphs 202 to 205, it is established that the practices referred to under grievance no. 8, implemented by OTND and SNEF, have an anti-competitive object within the meaning of Articles L. 420-1 of the Commercial Code and 101 of the TFEU.</w:t>
      </w:r>
    </w:p>
    <w:p>
      <w:r>
        <w:t>On the absence of a single, complex, and continuous infringement</w:t>
      </w:r>
    </w:p>
    <w:p>
      <w:r>
        <w:t>380. The notification of grievances did not hold that the practices referred to under grievance no. 8 fell under the single, complex, and continuous infringement retained under grievance no. 1.</w:t>
      </w:r>
    </w:p>
    <w:p>
      <w:r>
        <w:t>381. Based on the objective differences between the practices referred to under grievance no. 1 and those referred to under grievance no. 8, and as noted in the notification of grievances, the latter practices do not fall under the single, complex, and continuous infringement constituted by the practices referred to under grievance no. 1.</w:t>
      </w:r>
    </w:p>
    <w:p>
      <w:r>
        <w:t>On the duration of the infringement</w:t>
      </w:r>
    </w:p>
    <w:p>
      <w:r>
        <w:t>382. It is established that the first element indicating the existence of a concertation is dated September 19, 2017. Furthermore, the elements of the file show that, on October 13, 2017, the call for tenders procedure was still ongoing.</w:t>
      </w:r>
    </w:p>
    <w:p>
      <w:r>
        <w:t>383. Consequently, taking into account the case law recalled in paragraphs 217 and 218 above, and in the absence of a deadline for the submission of offers, it is established that the infringement concerning the "Essai de procédure de décontamination" contract was implemented by SNEF and OTND from September 19 to October 13, 2017.</w:t>
      </w:r>
    </w:p>
    <w:p>
      <w:r>
        <w:t>On grievance no. 9 – the "Suivi TQRP sur le chantier Curage des fossés Zone Nord CDS" contract</w:t>
      </w:r>
    </w:p>
    <w:p>
      <w:r>
        <w:t>384. As recalled in section I.D.2.h), on July 28, 2015, just after receiving the consultation documents from the CEA, SNEF wrote to NUVIA indicating that it was at its disposal.</w:t>
      </w:r>
    </w:p>
    <w:p>
      <w:r>
        <w:t>385. On August 3, 2015, NUVIA transmitted to SNEF the amount that SNEF's offer should reach.</w:t>
      </w:r>
    </w:p>
    <w:p>
      <w:r>
        <w:t>386. The deadline for the submission of offers was set for August 17, 2015.</w:t>
      </w:r>
    </w:p>
    <w:p>
      <w:r>
        <w:t>On the existence of an agreement of wills</w:t>
      </w:r>
    </w:p>
    <w:p>
      <w:r>
        <w:t>387. The documents in the file show that, for this contract, SNEF and NUVIA coordinated so that SNEF would issue a cover offer for the benefit of NUVIA. NUVIA transmitted elements to SNEF for this purpose.</w:t>
      </w:r>
    </w:p>
    <w:p>
      <w:r>
        <w:t>388. It is thus established that SNEF and NUVIA coordinated to set up a cover offer for this contract.</w:t>
      </w:r>
    </w:p>
    <w:p>
      <w:r>
        <w:t>On the anti-competitive nature of the practices</w:t>
      </w:r>
    </w:p>
    <w:p>
      <w:r>
        <w:t>389. It is established that the exchanges between SNEF and NUVIA aimed to coordinate their offers and thus to oppose the competitive mechanism organized by the CEA.</w:t>
      </w:r>
    </w:p>
    <w:p>
      <w:r>
        <w:t>390. Consequently, and as follows from the principles recalled in paragraphs 202 to 205, it is established that the practices referred to under grievance no. 9, implemented by SNEF and NUVIA, have an anti-competitive object within the meaning of Articles L. 420-1 of the Commercial Code and 101 of the TFEU.</w:t>
      </w:r>
    </w:p>
    <w:p>
      <w:r>
        <w:t>On the absence of a single, complex, and continuous infringement</w:t>
      </w:r>
    </w:p>
    <w:p>
      <w:r>
        <w:t>391. The notification of grievances did not hold that the practices referred to under grievance no. 9 fell under the single, complex, and continuous infringement retained under grievance no. 1.</w:t>
      </w:r>
    </w:p>
    <w:p>
      <w:r>
        <w:t>392. Based on the objective differences between the practices referred to under grievance no. 1 and those referred to under grievance no. 9, and as noted in the notification of grievances, the latter practices do not fall under the single, complex, and continuous infringement constituted by the practices referred to under grievance no. 1.</w:t>
      </w:r>
    </w:p>
    <w:p>
      <w:r>
        <w:t>On the duration of the infringement</w:t>
      </w:r>
    </w:p>
    <w:p>
      <w:r>
        <w:t>393. The first exchange between SNEF and NUVIA for this contract dates from July 28, 2015. Moreover, the deadline for the submission of offers for this contract was set for August 17, 2015.</w:t>
      </w:r>
    </w:p>
    <w:p>
      <w:r>
        <w:t>394. Consequently, taking into account the case law recalled in paragraphs 217 and 218 above, it is established that the infringement concerning the "Suivi TQRP sur le chantier Curage des fossés Zone Nord CDS" contract was implemented by SNEF and NUVIA from July 28 to August 17, 2015.</w:t>
      </w:r>
    </w:p>
    <w:p>
      <w:r>
        <w:t>On grievance no. 10 – the "Reprise aqueux" contract</w:t>
      </w:r>
    </w:p>
    <w:p>
      <w:r>
        <w:t>395. As recalled in section I.D.2.i), by an SMS on April 4, 2016, SNEF asked NUVIA to provide the offer it was to submit for this contract. The next day, NUVIA sent SNEF a pre-filled table with the amount at which SNEF should position itself.</w:t>
      </w:r>
    </w:p>
    <w:p>
      <w:r>
        <w:t>396. On April 12, 2016, at SNEF's request, NUVIA also transmitted a technical offer to SNEF. SNEF confirmed to NUVIA the receipt of this offer the following day.</w:t>
      </w:r>
    </w:p>
    <w:p>
      <w:r>
        <w:t>397. This contract was awarded to a NUVIA/Fadilec consortium, after a competitive process involving ENDEL, NUVIA, STMI, SNEF, and SPIE DEN.</w:t>
      </w:r>
    </w:p>
    <w:p>
      <w:r>
        <w:t>On the existence of an agreement of wills</w:t>
      </w:r>
    </w:p>
    <w:p>
      <w:r>
        <w:t>398. SNEF and NUVIA exchanged pricing and technical elements on this contract. In particular, at SNEF's request, NUVIA transmitted a technical and pricing offer to enable SNEF to establish its own offer.</w:t>
      </w:r>
    </w:p>
    <w:p>
      <w:r>
        <w:t>399. It is thus established that SNEF and NUVIA coordinated to exchange strategic offers on this contract.</w:t>
      </w:r>
    </w:p>
    <w:p>
      <w:r>
        <w:t>On the anti-competitive nature of the practices</w:t>
      </w:r>
    </w:p>
    <w:p>
      <w:r>
        <w:t>400. The exchanges between SNEF and NUVIA aimed to coordinate their offers in response to the call for tenders organized by the CEA for this contract, and thus to oppose the competition organized by the latter.</w:t>
      </w:r>
    </w:p>
    <w:p>
      <w:r>
        <w:t>401. Consequently, and as follows from the principles recalled in paragraphs 202 to 205, it is established that the practices referred to under grievance no. 10, implemented by SNEF and NUVIA, have an anti-competitive object within the meaning of Articles L. 420-1 of the Commercial Code and 101 of the TFEU.</w:t>
      </w:r>
    </w:p>
    <w:p>
      <w:r>
        <w:t>On the absence of a single, complex, and continuous infringement</w:t>
      </w:r>
    </w:p>
    <w:p>
      <w:r>
        <w:t>402. The notification of grievances did not hold that the practices referred to under grievance no. 10 fell under the single, complex, and continuous infringement retained under grievance no. 1.</w:t>
      </w:r>
    </w:p>
    <w:p>
      <w:r>
        <w:t>403. Based on the objective differences between the practices referred to under grievance no. 1 and those referred to under grievance no. 10, and as noted in the notification of grievances, the latter practices do not fall under the single, complex, and continuous infringement constituted by the practices referred to under grievance no. 1.</w:t>
      </w:r>
    </w:p>
    <w:p>
      <w:r>
        <w:t>On the duration of the infringement</w:t>
      </w:r>
    </w:p>
    <w:p>
      <w:r>
        <w:t>404. The first exchange between SNEF and NUVIA for this contract dates from April 4, 2016. SNEF and NUVIA continued the exchanges until April 13, 2016, the date on which the call for tenders was still ongoing.</w:t>
      </w:r>
    </w:p>
    <w:p>
      <w:r>
        <w:t>405. Consequently, taking into account the case law recalled in paragraphs 217 and 218 above, it is established that the infringement concerning the "Reprise aqueux" contract was implemented by SNEF and NUVIA from April 4 to April 13, 2016.</w:t>
      </w:r>
    </w:p>
    <w:p>
      <w:r>
        <w:rPr>
          <w:b/>
        </w:rPr>
        <w:t>[Pages 76–78]</w:t>
      </w:r>
    </w:p>
    <w:p>
      <w:r>
        <w:t>c) Conclusion</w:t>
      </w:r>
    </w:p>
    <w:p>
      <w:r>
        <w:t>406. It follows from all of the above that the following grievances are established.</w:t>
      </w:r>
    </w:p>
    <w:p>
      <w:r>
        <w:t>Table No. 3 – Established grievances against the companies involved</w:t>
      </w:r>
    </w:p>
    <w:p>
      <w:r>
        <w:t>SPIE OTND ENDEL NUVIA BCSN SNEF DEN</w:t>
        <w:br/>
        <w:t>Grievance No. 1</w:t>
        <w:br/>
        <w:t xml:space="preserve">All parties involved, except BCSN: </w:t>
        <w:br/>
        <w:t xml:space="preserve">X X X X </w:t>
        <w:br/>
        <w:t xml:space="preserve">13.04.2015 – 12.02.2019 </w:t>
        <w:br/>
        <w:t xml:space="preserve">BCSN: </w:t>
        <w:br/>
        <w:t>06.03.2017 – 12.02.2019</w:t>
      </w:r>
    </w:p>
    <w:p>
      <w:r>
        <w:t xml:space="preserve">Grievance No. 2 </w:t>
        <w:br/>
        <w:t xml:space="preserve">X X </w:t>
        <w:br/>
        <w:t>16.04.2014 – 27.05.2014</w:t>
      </w:r>
    </w:p>
    <w:p>
      <w:r>
        <w:t xml:space="preserve">Grievance No. 3 </w:t>
        <w:br/>
        <w:t xml:space="preserve">X X </w:t>
        <w:br/>
        <w:t>12.11.2014 – 17.11.2014</w:t>
      </w:r>
    </w:p>
    <w:p>
      <w:r>
        <w:t xml:space="preserve">Grievance No. 4 </w:t>
        <w:br/>
        <w:t xml:space="preserve">X X X </w:t>
        <w:br/>
        <w:t>26.02.2015 – 06.03.2015</w:t>
      </w:r>
    </w:p>
    <w:p>
      <w:r>
        <w:t xml:space="preserve">Grievance No. 5 </w:t>
        <w:br/>
        <w:t xml:space="preserve">X X X </w:t>
        <w:br/>
        <w:t>22.02.2017 – 07.04.2017</w:t>
      </w:r>
    </w:p>
    <w:p>
      <w:r>
        <w:t xml:space="preserve">Grievance No. 6 </w:t>
        <w:br/>
        <w:t xml:space="preserve">X X </w:t>
        <w:br/>
        <w:t>28.11.2016 – 05.05.2017</w:t>
      </w:r>
    </w:p>
    <w:p>
      <w:r>
        <w:t xml:space="preserve">Grievance No. 7 </w:t>
        <w:br/>
        <w:t xml:space="preserve">X X X </w:t>
        <w:br/>
        <w:t>23.05.2017 – 12.06.2017</w:t>
      </w:r>
    </w:p>
    <w:p>
      <w:r>
        <w:t xml:space="preserve">Grievance No. 8 </w:t>
        <w:br/>
        <w:t xml:space="preserve">X X </w:t>
        <w:br/>
        <w:t>19.09.2017 – 13.10.2017</w:t>
      </w:r>
    </w:p>
    <w:p>
      <w:r>
        <w:t xml:space="preserve">Grievance No. 9 </w:t>
        <w:br/>
        <w:t xml:space="preserve">X X </w:t>
        <w:br/>
        <w:t>28.07.2015 – 17.08.2015</w:t>
      </w:r>
    </w:p>
    <w:p>
      <w:r>
        <w:t xml:space="preserve">Grievance No. 10 </w:t>
        <w:br/>
        <w:t xml:space="preserve">X X </w:t>
        <w:br/>
        <w:t>04.04.2016 – 13.04.2016</w:t>
      </w:r>
    </w:p>
    <w:p>
      <w:r>
        <w:t>D. ON THE ATTRIBUTION OF PRACTICES</w:t>
      </w:r>
    </w:p>
    <w:p>
      <w:r>
        <w:t>1. THE APPLICABLE LAW</w:t>
      </w:r>
    </w:p>
    <w:p>
      <w:r>
        <w:t>407. Competition rules, both internal and Union, target infringements committed by companies. In this regard, the courts have clarified that the notion of a company must be understood as designating an economic unit even if, from a legal standpoint, this economic unit consists of several natural or legal persons. It is this economic entity that must, when it infringes competition rules, be held accountable for this infringement, in accordance with the principle of personal responsibility.</w:t>
      </w:r>
    </w:p>
    <w:p>
      <w:r>
        <w:t>408.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author of the infringement and, in the absence of such a transfer, to the one that ensures its economic and functional continuity in fact.</w:t>
      </w:r>
    </w:p>
    <w:p>
      <w:r>
        <w:t>409. Furthermore, in the event of a transformation of the company, it follows from consistent case law that as long as the legal entity responsible for the operation of the company that implemented practices infringing competition rules legally exists, it must be held responsible. If this legal entity has changed its corporate name or legal form, it nonetheless continues to be liable for the infringement committed.</w:t>
      </w:r>
    </w:p>
    <w:p>
      <w:r>
        <w:t>410. Moreover, the liability of a legal entity for anti-competitive practices may arise from the actions of a person authorized to act on behalf of the company. In particular, attendance at meetings characterizing the responsibility of the company may be the act of an employee or a representative.</w:t>
      </w:r>
    </w:p>
    <w:p>
      <w:r>
        <w:t>411. Within a group of companies, the behavior of a subsidiary may be attributed to the parent company, particularly when, despite having a distinct legal personality, this subsidiary does not autonomously determine its behavior in the market, but essentially follows the instructions given to it by the parent company, especially considering the economic, organizational, and legal ties that bind these two legal entities. In the specific case where a parent company holds, directly or indirectly through an intermediary company, all or almost all of the capital of its subsidiary that engages in infringing behavior, there is a rebuttable presumption that this parent company exerts a decisive influence on the behavior of its subsidiary. If the presumption is not rebutted by the parent company, the competition authority will be able to hold it jointly liable for the payment of the sanction imposed on its subsidiary.</w:t>
      </w:r>
    </w:p>
    <w:p>
      <w:r>
        <w:t>412. It is not required, to attribute to a parent company the acts committed by its subsidiary, to prove that the parent company was directly involved in the practices or was aware of the incriminated behaviors. As noted by the Union judge, " (...) it is therefore not a relationship of instigation regarding the infringement between the parent company and its subsidiary nor, a fortiori, an implication of the former in the said infringement, but the fact that they constitute a single enterprise within the meaning of Article 81 EC which allows the Commission to issue a decision imposing fines on the parent company."</w:t>
      </w:r>
    </w:p>
    <w:p>
      <w:r>
        <w:t>413. The case law of the Union has thus held that the capital presumption is self-sufficient, without the need to supplement the demonstration with other arguments (the so-called "double basis" method).</w:t>
      </w:r>
    </w:p>
    <w:p>
      <w:r>
        <w:t>414. Conversely, as recently recalled by the Paris Court of Appeal, when a parent company puts forward arguments that it believes are intended to rebut this presumption, it is up to the Authority, in order to properly justify its decision, to carry out a concrete application of the principles set out, and to analyze, even summarily, the elements invoked by the applicant.</w:t>
      </w:r>
    </w:p>
    <w:p>
      <w:r>
        <w:t>415. In the same ruling, the Paris Court of Appeal also specified that "the attribution of the infringing behavior of a subsidiary to its parent company does not require that the parent company has technical competence allowing it to interfere in the specific area that was the subject of the infringement" and that "[t]he relevant elements relating to the links that unite the subsidiary to the parent company, being likely to vary according to the cases, cannot be subject to an exhaustive enumeration, nor to an automatic demonstration a contrario," before noting that a "capitalistic organization is a matter of [the accused's] choice and cannot undermine, under the guise of strategic structuring, the effectiveness of competition law and the deterrent objective necessary to prevent the commission of infringements."</w:t>
      </w:r>
    </w:p>
    <w:p>
      <w:r>
        <w:t>416. The Paris Court of Appeal thus recalled that "the mere existence of information and control procedures within the various entities of the group [of the accused], far from rebutting the presumption, tends on the contrary to demonstrate the existence of a decisive influence of each of the parent companies," as well as that "the application within a group of an organizational model based on a philosophy of delegation to subsidiaries does not in itself constitute evidence capable of demonstrating the autonomy of these subsidiaries."</w:t>
      </w:r>
    </w:p>
    <w:p>
      <w:r>
        <w:t>417. Finally, the Paris Court of Appeal emphasized that the elements invoked to rebut the presumption of attribution "must necessarily be contemporaneous with the practices."</w:t>
      </w:r>
    </w:p>
    <w:p>
      <w:r>
        <w:rPr>
          <w:b/>
        </w:rPr>
        <w:t>[Pages 79–81]</w:t>
      </w:r>
    </w:p>
    <w:p>
      <w:r>
        <w:t>specific to the subsidiary concerned and thus be effective in assessing the link existing between the companies considered at the date of the disputed practices" 236.</w:t>
      </w:r>
    </w:p>
    <w:p>
      <w:r>
        <w:t>418. This ruling of the Paris Court of Appeal is consistent with prior case law, both national and Union.</w:t>
      </w:r>
    </w:p>
    <w:p>
      <w:r>
        <w:t>419. Thus, the Court of Cassation previously ruled that "the fact that a company is a non-operational holding company providing financial management by coordinating, in particular, financial investments within the group is not sufficient to exclude the exercise of a determining influence over its subsidiaries and that the non-interference of the holding company in the activities of the subsidiary is not sufficient to overturn this presumption, (...) that the diversity of activities, the configuration of the group, and the geographical distance of the parent company are irrelevant; [and] that the fact that the subsidiary has its own local management and its own resources does not prove that it defines its behavior in the market autonomously"237. The Paris Court of Appeal had similarly previously held that the fact that a subsidiary has its own local management and its own resources does not, in itself, prove that it defines its behavior in the market autonomously from the entity that is its parent238.</w:t>
      </w:r>
    </w:p>
    <w:p>
      <w:r>
        <w:t>420. The Court of Justice has also had the opportunity to state that the fact that a parent company does not intervene in the business sector in which its subsidiary operates, or that there has been no overlap of management positions between the parent and subsidiary companies, is not sufficient to overturn this presumption239. The Union Tribunal has, for its part, repeatedly emphasized that the exercise of a control strategy set according to transaction amounts exceeding a certain revenue threshold or based on investments of a certain significance constitutes an indication characterizing the influence of a parent company over its subsidiary240.</w:t>
      </w:r>
    </w:p>
    <w:p>
      <w:r>
        <w:t>2. APPLICATION TO THE CASE AT HAND</w:t>
        <w:br/>
        <w:t>a) Regarding OTND</w:t>
      </w:r>
    </w:p>
    <w:p>
      <w:r>
        <w:t>421. In accordance with the principles recalled above, the responsibility of the company OTND as the author of the practices referred to in grievances no. 1, 4, 5, 7, and 8 should be retained, which is not contested by the party involved. Indeed, the individuals involved in the established practices were, at the time of the facts, employees of the company OTND241, which was responsible for the nuclear decontamination and dismantling activity for the CEA's Marcoule site for the ONET group at the time of the facts242.</w:t>
      </w:r>
    </w:p>
    <w:p>
      <w:r>
        <w:t>236 Paris Court of Appeal ruling of March 9, 2023, Santerne, no. 21/06028, paragraph 168.</w:t>
        <w:br/>
        <w:t>237 Court of Cassation ruling of October 18, 2017, Mobilitas, no. 16-19.120.</w:t>
        <w:br/>
        <w:t>238 Paris Court of Appeal ruling of October 26, 2017, SCET and Caisse des dépôts et consignation, no. 17/01658, page 15.</w:t>
        <w:br/>
        <w:t>239 Court of Justice ruling of May 8, 2013, Eni, C-508/11 P, paragraph 65.</w:t>
        <w:br/>
        <w:t>240 Tribunal rulings, June 7, 2011, Total and Elf Aquitaine, T-206/06, paragraph 88; June 7, 2011, Arkema, T-217/06, paragraph 113 and July 13, 2011, Otis, T-141/07, paragraph 88.</w:t>
        <w:br/>
        <w:t>241 Reference 12229 VC – Reference 12434 VNC.</w:t>
        <w:br/>
        <w:t>242 Reference 12230 VC – Reference 12435 VNC.</w:t>
      </w:r>
    </w:p>
    <w:p>
      <w:r>
        <w:t>422. Furthermore, throughout the duration of the practices, OTND was 100% owned by ONET SA, which itself was 96.7% owned by Holding Reinier243. By virtue of the presumption of determining influence resulting from the aforementioned case law, the notification of grievances attributed the practices to ONET SA and Holding Reinier, as the parent companies of OTND.</w:t>
      </w:r>
    </w:p>
    <w:p>
      <w:r>
        <w:t>423. The companies ONET SA and Holding Reinier, on the other hand, contest the attribution of the practices to them as parent companies. To do this, they put forward the following elements.</w:t>
      </w:r>
    </w:p>
    <w:p>
      <w:r>
        <w:t>424. As a preliminary matter, ONET SA and Holding Reinier invoke, in support of their position, decision no. 15-D-01 of February 5, 2015244, from which they argue that the responsibility of a holding company, without economic activity and almost without employees, cannot, according to them, be retained.</w:t>
      </w:r>
    </w:p>
    <w:p>
      <w:r>
        <w:t>425. Furthermore, ONET SA and Holding Reinier argue that OTND had complete autonomy to respond to CEA calls for tenders, since the identified practices only involved OTND employees, without any decision-making by the parent companies being noted by the investigating services.</w:t>
      </w:r>
    </w:p>
    <w:p>
      <w:r>
        <w:t>426. Next, they argue that ONET Technologies SAS, the president of OTND, acts without prior validation from its parent companies. According to the ONET group validation rules, the submission of an offer for the tender related to the framework agreement (grievance no. 1) did not require prior validation from ONET SA and Holding Reinier, but only from ONET Technologies SAS, based on internal control thresholds. OTND acted with total autonomy for subsequent contracts, which did not exceed this same threshold. Under these same rules, the other CEA contracts (grievances no. 4, 5, 7, and 8) did not require prior hierarchical validation.</w:t>
      </w:r>
    </w:p>
    <w:p>
      <w:r>
        <w:t>427. Moreover, ONET SA and Holding Reinier assert that the decontamination and dismantling activities are conducted separately from the other activities of the group, with their own resources, which implies that the responses to the calls for tenders launched by the CEA were handled in a decentralized manner.</w:t>
      </w:r>
    </w:p>
    <w:p>
      <w:r>
        <w:t>428. In any case, attributing the practices to ONET SA and Holding Reinier would be disproportionate, since (i) the revenue from dismantling and waste management activities represents only a tiny portion of the total revenue of the group, while (ii) attributing them to the parent companies would lead to very negative economic repercussions for the group.</w:t>
      </w:r>
    </w:p>
    <w:p>
      <w:r>
        <w:t>429. Finally, this attribution would violate the principle of legal certainty since a previous sanction decision issued by the Authority against ONET Services did not attribute the practices to the parent companies245.</w:t>
      </w:r>
    </w:p>
    <w:p>
      <w:r>
        <w:t>430. These arguments, however, are not sufficient to overturn the presumption of attribution to the parent companies, given the aforementioned case law.</w:t>
      </w:r>
    </w:p>
    <w:p>
      <w:r>
        <w:t>431. First of all, the argument that decision no. 15-D-01 of February 5, 2015, should mechanically lead the Authority to exclude the responsibility of the holding parent companies must be rejected. Indeed, in this decision, the anti-competitive practices were not attributed to the holding parent companies of the implicated subsidiary, since the sole purpose of these two holding companies was to guarantee the securities taken by the lenders at the time of the acquisition of said subsidiary. These two holding companies thus participated in a purely legal arrangement, aimed solely at preventing the risk of inefficiency of the pledge of the shares of the French subsidiary in the event of the opening of a safeguard procedure in France. The particular context of this case is therefore not transposable to the case at hand. On the contrary, and outside of very particular circumstances such as those of the aforementioned decision no. 15-D-01, it is a constant case law that the holding nature of a parent company is not sufficient to overturn the presumption of its responsibility for the infringements of competition law committed by its subsidiaries, as recalled above, notably in paragraph 420.</w:t>
      </w:r>
    </w:p>
    <w:p>
      <w:r>
        <w:t>432. Moreover, as previously recalled, the relationship of determining influence is not a relationship of instigation: the absence of instigation by a parent company in the activities of its subsidiary is not sufficient to demonstrate that the parent company does not exercise any determining influence over its subsidiary. In this sense, the fact that ONET SA and Holding Reinier do not interfere in the daily commercial activities of OTND, or that the latter has its own local management and its own resources, are not sufficient to overturn the presumption.</w:t>
      </w:r>
    </w:p>
    <w:p>
      <w:r>
        <w:t>433. Similarly, the fact that there are currently defined thresholds within the ONET group for triggering prior control procedures, and that these thresholds are above the amount of the contracts in question, is irrelevant. Indeed, attributing the infringing behavior of a subsidiary to its parent company does not require that the parent company had a direct role in the disputed practices, but that it be demonstrated that these companies form a single economic unit. In this regard, the fact that the parent companies have defined internal thresholds for prior control procedures, as is the case here, tends precisely to prove, on the contrary, that these parent companies exert influence over the industrial and commercial strategy of their subsidiary.</w:t>
      </w:r>
    </w:p>
    <w:p>
      <w:r>
        <w:t>434. Therefore, the fact that OTND acted outside the direct hierarchical control of its parents is not sufficient to overturn the presumption of determining influence on which the notification of grievances was based.</w:t>
      </w:r>
    </w:p>
    <w:p>
      <w:r>
        <w:t>435. Furthermore, regarding the arguments of ONET SA and Holding Reinier concerning a supposed disproportion of the sanction incurred in the event of attribution of the practices implemented by OTND, it should be noted that the application of the attribution rules depends solely on the reality of the concerned company, understood as an economic unit, to which the author of the anti-competitive practices belongs. In particular, it is established that attributing anti-competitive practices to parent companies is not likely to increase the amount of the base used to calculate the incurred sanction.</w:t>
      </w:r>
    </w:p>
    <w:p>
      <w:r>
        <w:t>436. Finally, ONET SA and Holding Reinier cannot invoke that, in decision no. 08-D-13 of June 11, 2008, the parent companies of ONET Services were not attributed the practices of their subsidiary, to contest their involvement in this case. According to the aforementioned case law, it must indeed be noted that this decision concerns practices that are largely prior to those at issue in the present case, involves a company, ONET Services, which is not implicated in this case and which operates in a distinct sector from that of nuclear dismantling and decontamination.</w:t>
      </w:r>
    </w:p>
    <w:p>
      <w:r>
        <w:rPr>
          <w:b/>
        </w:rPr>
        <w:t>[Pages 82–84]</w:t>
      </w:r>
    </w:p>
    <w:p>
      <w:r>
        <w:t>437. In any event, it is recalled that attributing anti-competitive practices to the parent companies of the authoring company is merely an option available to the Authority246.</w:t>
      </w:r>
    </w:p>
    <w:p>
      <w:r>
        <w:t>438. Therefore, the alleged precedent invoked by ONET SA and Holding Reinier is not relevant.</w:t>
      </w:r>
    </w:p>
    <w:p>
      <w:r>
        <w:t>439. Consequently, the arguments of ONET SA and Holding Reinier, individually or read together, do not allow for overturning the presumption of liability. It is therefore appropriate to attribute the practices implemented by OTND to ONET SA and Holding Reinier, as the parent companies of OTND.</w:t>
      </w:r>
    </w:p>
    <w:p>
      <w:r>
        <w:t>b) Regarding NUVIA</w:t>
      </w:r>
    </w:p>
    <w:p>
      <w:r>
        <w:t>440. In accordance with the principles recalled above, the responsibility of the company NUVIA must be retained as the author of the practices referred to in grievances no. 1, 2, 3, 4, 5, 6, 9, and 10, which is not contested by the party concerned. Indeed, the individuals involved in the established practices were, at the time of the facts, employees of NUVIA247, which was moreover responsible for the nuclear decontamination and dismantling activity for the CEA's Marcoule site for the Vinci group at the time of the relevant facts248.</w:t>
      </w:r>
    </w:p>
    <w:p>
      <w:r>
        <w:t>441. Furthermore, throughout the duration of the practices, NUVIA was 100% owned by Soletanche Freyssinet, which itself was indirectly 100% owned by Vinci249. By virtue of the presumption of decisive influence resulting from the aforementioned case law, the notification of grievances attributed the practices to Soletanche Freyssinet and Vinci, as the parent companies of NUVIA.</w:t>
      </w:r>
    </w:p>
    <w:p>
      <w:r>
        <w:t>442. The companies NUVIA, Soletanche Freyssinet, and Vinci contest the attribution of the practices implemented by NUVIA to its parent companies.</w:t>
      </w:r>
    </w:p>
    <w:p>
      <w:r>
        <w:t>443. They argue that the Authority would have considered, in previous decisions250, that the subsidiaries of the Vinci group were autonomous from their parent companies. However, the degree of autonomy that NUVIA would enjoy with respect to Soletanche Freyssinet and a fortiori Vinci would be identical to that which existed between the Vinci group subsidiaries involved in those decisions and their parent companies, due to an organization within the group identical to the current organization.</w:t>
      </w:r>
    </w:p>
    <w:p>
      <w:r>
        <w:t>444. They add that the Vinci group operates in a decentralized manner, with the statutorily competent bodies within each concerned entity being responsible for the conclusion and execution of contracts and tenders. Soletanche Freyssinet and Vinci are holding companies, without operational activity, whose consultation by NUVIA is required only for projects exceeding certain thresholds. However, the contracts referred to in the various grievances are below these thresholds.</w:t>
      </w:r>
    </w:p>
    <w:p>
      <w:r>
        <w:t>445. They continue by highlighting several elements that would attest to the organizational and economic autonomy of NUVIA. In particular, they argue that the latter is represented solely by its local employees. Its registered office, as well as its logo, is distinct from that of its parent companies. Its corporate name and email addresses make no reference to its parent companies.</w:t>
      </w:r>
    </w:p>
    <w:p>
      <w:r>
        <w:t>446. On this basis, they believe that the presumption of liability should be overturned. Failing that, Vinci and Soletanche Freyssinet believe that the Authority would be subject to a strengthened obligation to provide reasoning, requiring it to implement the so-called "double basis" method.</w:t>
      </w:r>
    </w:p>
    <w:p>
      <w:r>
        <w:t>447. According to them, finally, if Vinci and Soletanche Freyssinet were to be attributed the responsibility for the actions committed by NUVIA, the Authority would commit a legal error and violate both the principle of legal certainty and that of legitimate expectation.</w:t>
      </w:r>
    </w:p>
    <w:p>
      <w:r>
        <w:t>448. These arguments, however, are not sufficient to overturn the presumption of liability attributed to the parent companies, nor to impose on the Authority the application of the "double basis" method, given the aforementioned case law.</w:t>
      </w:r>
    </w:p>
    <w:p>
      <w:r>
        <w:t>449. First, indeed, NUVIA, Soletanche Freyssinet, and Vinci are not entitled to invoke decisions no. 11-D-02 and no. 11-D-13 to claim the definition of the economic unit retained in those cases.</w:t>
      </w:r>
    </w:p>
    <w:p>
      <w:r>
        <w:t>450. First of all, the Court of Appeal emphasized, in its judgment of March 9, 2023, in the Santerne case251, that the elements, such as those that NUVIA, Soletanche Freyssinet, and Vinci invoke to overturn the aforementioned presumption, must be contemporaneous with the practices, specific to the concerned subsidiary, and thus effective for assessing the link existing between the companies considered at the date of the disputed practices. However, the aforementioned decision no. 11-D-02, rendered on January 26, 2011, concerned practices that occurred between 1999 and 2001 and did not involve NUVIA, but other subsidiaries. The decision no. 11-D-13 of October 5, 2011, relating to practices that occurred in 2005, also did not concern NUVIA. As recently recalled by the Court of Appeal, the decades separating these practices do not allow for any useful comparison regarding the internal functioning of a group that itself indicates having undergone restructuring over time252.</w:t>
      </w:r>
    </w:p>
    <w:p>
      <w:r>
        <w:t>451. Moreover, neither of these two decisions is capable of challenging the aforementioned presumption.</w:t>
      </w:r>
    </w:p>
    <w:p>
      <w:r>
        <w:t>452. In the case that led to decision no. 11-D-02, the investigation services chose not to rely on the capital presumption to attempt to characterize the decisive influence of the parent companies on the behavior of their subsidiaries in the market. However, the Authority had considered, in that case, that the investigation services had not provided evidence of this decisive influence, particularly on the commercial policy of the subsidiaries253. This decision is therefore without bearing on any potential overturning of the presumption invoked in the present case.</w:t>
      </w:r>
    </w:p>
    <w:p>
      <w:r>
        <w:t>453. Similarly, in the case that led to decision no. 11-D-13, the investigation services chose not to notify grievances to the parent companies, so the Authority did not rule on this issue, which had not been submitted to adversarial proceedings. Such a choice by the investigation services in that case cannot, in itself, constitute recognition of the autonomy of the concerned subsidiary, since attributing the anti-competitive practices of a subsidiary to its parent company is merely an option available to the Authority254.</w:t>
      </w:r>
    </w:p>
    <w:p>
      <w:r>
        <w:t>454. Secondly, and as recalled by the aforementioned case law, the mere circumstance that the parent company is a holding company, even if non-operational, is not sufficient to overturn the presumption of liability.</w:t>
      </w:r>
    </w:p>
    <w:p>
      <w:r>
        <w:t>455. Likewise, the mere existence of information and control procedures within the various entities of the Vinci group, far from overturning the presumption, tends to demonstrate the existence of a decisive influence of each of the parent companies. The fact that the thresholds defined for triggering these procedures are above the amount of the tenders in question is irrelevant. Indeed, attributing the unlawful behavior of a subsidiary to its parent company does not require that the parent company had a direct role in the disputed practices. The existence of such thresholds tends, on the contrary, to prove that the parent companies indeed exert a decisive influence on the commercial policy of their subsidiaries.</w:t>
      </w:r>
    </w:p>
    <w:p>
      <w:r>
        <w:t>456. Furthermore, the application within the group of an organizational model based on a delegation system to the subsidiaries does not, in itself, constitute evidence capable of demonstrating the autonomy of the latter. Indeed, it tends, on the contrary, to first establish the existence of a strategy defined at the parent company level applied by the subsidiaries, reflecting a decisive influence of the holding company over them. The effective nature of the delegation, then, is relative. In this regard, the very existence of "cascading general directives," mentioned by the Vinci group companies, attests to a control power on the part of the parent companies.</w:t>
      </w:r>
    </w:p>
    <w:p>
      <w:r>
        <w:t>457. These "General Directives" produced by the Vinci group, applicable for the years 2020 and 2022, indeed state in the preamble "[CONFIDENTIAL]"255. They continue by emphasizing "[CONFIDENTIAL]"256. These directives, relayed by Vinci to its subsidiaries, and which the Vinci group companies claim have remained unchanged since 2002, thus attest to the existence of a common framework defined at the level of the Vinci group, to which each subsidiary must conform.</w:t>
      </w:r>
    </w:p>
    <w:p>
      <w:r>
        <w:t>458. Similarly, the "universal registration documents" produced by the Vinci group for the years 2020 and 2021 confirm that the decentralization policy allows, indeed, each entity "to establish its benchmarks and objectives in terms of overall performance, based on its own activities and issues," but that it does so "within the common framework set by the Group." It is recalled that, according to the entities of the Vinci group, the links connecting the companies of the Vinci group have remained identical since 2011, these documents therefore contradict the absence of decisive influence of the parent companies over NUVIA.</w:t>
      </w:r>
    </w:p>
    <w:p>
      <w:r>
        <w:t>459. Thirdly, the absence of interference by Vinci and Soletanche Freyssinet in the formulation of NUVIA's commercial policy, and more particularly in its responses to the disputed tenders, is also not sufficient to overturn the presumption of liability.</w:t>
      </w:r>
    </w:p>
    <w:p>
      <w:r>
        <w:rPr>
          <w:b/>
        </w:rPr>
        <w:t>[Pages 85–87]</w:t>
      </w:r>
    </w:p>
    <w:p>
      <w:r>
        <w:t>presumption of liability. Indeed, in accordance with the aforementioned case law, the relationship of decisive influence must be distinguished from that of instigation: the absence of instigation by a parent company in the activities of its subsidiary is not sufficient to demonstrate that the parent company does not exercise any decisive influence over its subsidiary.</w:t>
      </w:r>
    </w:p>
    <w:p>
      <w:r>
        <w:t>460. Fourthly, the elements put forward to defend the organizational and economic autonomy of NUVIA, particularly that it would be represented solely by its local employees and that its registered office, corporate name, or logo would be distinct from those of its parent companies, do not suffice to overturn the aforementioned presumption of liability.</w:t>
      </w:r>
    </w:p>
    <w:p>
      <w:r>
        <w:t>461. Indeed, the absence of common personnel among the companies involved does not constitute evidence sufficient to overturn the presumption of attribution, since the fact that the parent company did not directly participate in the infringement or incite its commission is not sufficient to demonstrate that these two companies did not constitute a single economic unit. Furthermore, the commercial policy being only one element among others and not to be interpreted restrictively, the autonomy granted to the subsidiary in its determination does not constitute evidence of the absence of effective exercise of decisive influence. Finally, regarding the perception by third parties of a company's image, the Tribunal has recalled that this alone cannot suffice to demonstrate that a subsidiary is autonomous from its parent company.</w:t>
      </w:r>
    </w:p>
    <w:p>
      <w:r>
        <w:t>462. Fifthly, and as recalled above, the capital presumption is self-sufficient, without the need to supplement the demonstration with other arguments. The Elf Aquitaine judgment, invoked by the Vinci group companies, thus recalls that it is only in the presence of "truly exceptional circumstances" that a company holding all or almost all of the capital of another does not effectively exercise a decisive influence over the latter.</w:t>
      </w:r>
    </w:p>
    <w:p>
      <w:r>
        <w:t>463. However, the Court requires that "given all the circumstances of the case, particularly the change in approach (...) towards the applicant between the organic peroxides decision and the contested decision, [particular attention must be paid] to the question of whether this latter decision contains a detailed statement of the reasons why the Commission considered that the elements presented by the applicant were not sufficient to overturn the presumption applied in this decision." Indeed, as the Court recalls, the requirement for motivation must be assessed in light of the circumstances of the case. The Elf Aquitaine judgment thus intervened in a particular context, resulting from the fact that the Commission had modified its decision-making practice.</w:t>
      </w:r>
    </w:p>
    <w:p>
      <w:r>
        <w:t>464. In other words, the Court considered that the Commission could validly resort to the presumption of decisive influence, but criticized it for not having sufficiently motivated its decision to explain why the elements presented by the applicants were not sufficient to overturn this presumption in light of the particular circumstances of the case.</w:t>
      </w:r>
    </w:p>
    <w:p>
      <w:r>
        <w:t>465. In the present case, and in accordance with the Elf Aquitaine judgment, the reasons why the arguments put forward by the Vinci group companies are not likely to overturn the presumption of liability are set out above.</w:t>
      </w:r>
    </w:p>
    <w:p>
      <w:r>
        <w:t>466. Furthermore, the Authority, in dismissing these arguments, does not commit a legal error, and does not infringe either the principle of legal certainty or that of legitimate expectation. In addition to the reasons presented in paragraphs 450 to 454, which led the Authority to dismiss any useful comparison between the present case and decisions No. 11-D-02 and No. 11-D-13 mentioned above, it should be emphasized that the circumstances of the case differ from those of the Elf Aquitaine judgment. Indeed, the Authority clearly and unequivocally stated its position on the application of the presumption of liability in the aforementioned 2011 decisions and, more recently, in its decision No. 21-D-05 of March 4, 2021. Thus, from the beginning of the practices, in 2014, and then during the notification of objections in 2022, the Vinci group was informed of the practice that the Authority intended to adopt regarding the attribution of anticompetitive practices to parent companies.</w:t>
      </w:r>
    </w:p>
    <w:p>
      <w:r>
        <w:t>467. Consequently, the arguments of NUVIA, Soletanche Freyssinet, and Vinci, individually or read together, do not allow for the overturning of the presumption of attribution. Therefore, the practices implemented by NUVIA must be attributed to Soletanche Freyssinet and Vinci, as parent companies of NUVIA.</w:t>
      </w:r>
    </w:p>
    <w:p>
      <w:r>
        <w:t>c) Regarding ENDEL</w:t>
      </w:r>
    </w:p>
    <w:p>
      <w:r>
        <w:t>468. In accordance with the principles recalled above, the liability of the company ENDEL as the author of the practices referred to in grievances No. 1, 2, 3, 4, 5, and 6 should be retained, which is not contested by the party involved. Indeed, the individuals involved in the established practices were, at the time of the facts, employees of ENDEL, which was responsible for the decontamination and nuclear dismantling activity for the CEA's Marcoule site for the ENGIE group at the time of the facts.</w:t>
      </w:r>
    </w:p>
    <w:p>
      <w:r>
        <w:t>469. Furthermore, throughout the period of the practices, ENDEL was 100% owned by ENGIE. By virtue of the aforementioned presumption of attribution, the liability of ENGIE, as the parent company of ENDEL, should therefore be retained, which ENGIE does not contest.</w:t>
      </w:r>
    </w:p>
    <w:p>
      <w:r>
        <w:t>d) Regarding BCSN, now Bouygues Construction Expertises Nucléaires</w:t>
      </w:r>
    </w:p>
    <w:p>
      <w:r>
        <w:t>470. The individuals involved in the established practices were, at the time of the facts referred to in grievance No. 1, employees of BCSN. Furthermore, it is established that the company BCSN, the author of the sanctioned practices, changed its corporate name to become Bouygues Construction Expertises Nucléaires (hereinafter "BCEN"). Consequently, and in accordance with the principles recalled above, the liability of the company BCSN, now BCEN, as the author of the practices concerned should be retained, which is not contested by the party involved. This entity was also responsible for the decontamination and nuclear dismantling activity for the CEA's Marcoule site for the Bouygues group at the time of the facts in question.</w:t>
      </w:r>
    </w:p>
    <w:p>
      <w:r>
        <w:t>471. Furthermore, throughout the duration of the practices, BCEN was 100% owned by Bouygues Travaux Publics, which itself was directly or indirectly owned 92.02% or 100% by Bouygues. By virtue of the presumption of decisive influence resulting from the aforementioned case law, the notification of objections attributed the practices to Bouygues Travaux Publics and Bouygues, as parent companies of BCEN, which the latter contest.</w:t>
      </w:r>
    </w:p>
    <w:p>
      <w:r>
        <w:t>472. To this end, they put forward the following elements.</w:t>
      </w:r>
    </w:p>
    <w:p>
      <w:r>
        <w:t>473. First, Bouygues Travaux Publics and Bouygues argue that, at the time of the facts, the commercial strategy of BCSN, now BCEN, was decided by its own decision-making bodies, where no representative of Bouygues Travaux Publics or Bouygues sat, the threshold of turnover per project below which BCSN is autonomous being, according to them, "significant," and applying to almost all projects on which it intervenes. Bouygues Travaux Publics is itself autonomous from Bouygues for contracts not exceeding a certain threshold. Thus, neither Bouygues Travaux Publics nor, a fortiori, Bouygues, would exercise a decisive influence over BCEN.</w:t>
      </w:r>
    </w:p>
    <w:p>
      <w:r>
        <w:t>474. Then, they argue that the size and organization of the Bouygues group, which encompasses a vast and diverse set of companies operating across a wide range of activities, with a cascading capital organization (subsidiaries themselves holding sub-subsidiaries, organized by profession), would exclude the exercise of decisive influence by Bouygues and Bouygues Travaux Publics over BCEN.</w:t>
      </w:r>
    </w:p>
    <w:p>
      <w:r>
        <w:t>475. Finally, Bouygues Travaux Publics and Bouygues contend that the practices in question were implemented by two employees who had a delegation of authority and acted without their hierarchy's knowledge, so that the attribution of liability to Bouygues Travaux Publics and Bouygues would violate the requirement of proportionality set out in Article L. 464-2 of the Commercial Code.</w:t>
      </w:r>
    </w:p>
    <w:p>
      <w:r>
        <w:t>476. However, these arguments are not sufficient to overturn the presumption of attribution to the parent companies.</w:t>
      </w:r>
    </w:p>
    <w:p>
      <w:r>
        <w:t>477. Indeed, first, and as emerges from the aforementioned case law, the relationship of decisive influence is not a relationship of instigation: the absence of instigation by a parent company in the activities of its subsidiary is not sufficient to demonstrate that the parent company does not exercise any decisive influence over its subsidiary. On the contrary, and as also results from the aforementioned case law, the fact that Bouygues Travaux Publics and Bouygues had to authorize transactions of their subsidiary exceeding a pre-established significant threshold internally constitutes an indication that BCEN behaved in the market taking into account the interests of its parent companies. This analysis is supported by the following elements.</w:t>
      </w:r>
    </w:p>
    <w:p>
      <w:r>
        <w:rPr>
          <w:b/>
        </w:rPr>
        <w:t>[Pages 88–90]</w:t>
      </w:r>
    </w:p>
    <w:p>
      <w:r>
        <w:t>478. First, the document titled "BCSN Organizational Chart as of July 1, 2015" presents the organizational chart of the entity in question as of July 1, 2015. However, nothing indicates that this organizational chart was still in effect at the time of the practices attributed to BCEN, under grievance no. 1, for the period from March 6, 2017, to February 12, 2019. Furthermore, it is established that this organizational chart lists the executives and employees of BCSN as of July 1, 2015, who, according to Bouygues Travaux Publics and Bouygues, were not members of any of their statutory management bodies. This document, while reflecting the internal organization of BCSN, does not allow for a transcription of how its parent companies exercise their effective control over it.</w:t>
      </w:r>
    </w:p>
    <w:p>
      <w:r>
        <w:t>479. Secondly, the document "Organization of Project Review Meetings" presents the rules for triggering and participating in project review meetings within BCEN. Again, nothing indicates that this document, [CONFIDENTIAL], was still in effect at the time of the practices attributed to BCEN, under grievance no. 1, for the period from March 6, 2017, to February 12, 2019. Moreover, several elements reveal that, in reality, Bouygues Travaux Publics organized, together with its subsidiary, the validation procedure for BCSN's projects. Notably, in its Article 2, it is expressly stated that the procedure [CONFIDENTIAL]. The document also specifies, in its Article 3, that this procedure [CONFIDENTIAL]. Article 6 of this document further specifies that [CONFIDENTIAL]. An annex 3 [CONFIDENTIAL] is also attached to the document.</w:t>
      </w:r>
    </w:p>
    <w:p>
      <w:r>
        <w:t>480. It follows from these elements that BCEN implemented a defined procedure, at a minimum, jointly with its parent company Bouygues Travaux Publics. None of the elements provided by Bouygues Travaux Publics and Bouygues challenge this analysis.</w:t>
      </w:r>
    </w:p>
    <w:p>
      <w:r>
        <w:t>481. Next, the fact that the Bouygues group is a large and diversified group of companies does not exclude the liability of Bouygues Travaux Publics or Bouygues, as established by the aforementioned case law. According to this case law, indeed, arguments based on the fact that the parent companies and their subsidiary do not have the same activity or the same executives, that they are non-operational holding companies holding stakes in several different sectors, and that they are geographically distant from their subsidiaries do not overturn this presumption.</w:t>
      </w:r>
    </w:p>
    <w:p>
      <w:r>
        <w:t>482. Finally, if the anti-competitive practices were implemented by two employees who benefited from a delegation of authority and acted without their hierarchy's knowledge, it should be recalled that the presumed determining influence relationship in this case is distinct from the instigation relationship. Thus, the actions of the aforementioned two employees do not overturn the presumption of the exercise of a determining influence by Bouygues Travaux Publics and Bouygues over BCEN.</w:t>
      </w:r>
    </w:p>
    <w:p>
      <w:r>
        <w:t>483. Consequently, the arguments of Bouygues Travaux Publics and Bouygues, individually or read together, do not allow for overturning the presumption of liability on which the notification of grievances is based. Therefore, the practices implemented by BCEN should be attributed to Bouygues Travaux Publics and Bouygues, as the parent companies of BCEN.</w:t>
      </w:r>
    </w:p>
    <w:p>
      <w:r>
        <w:t>e) Regarding SNEF</w:t>
      </w:r>
    </w:p>
    <w:p>
      <w:r>
        <w:t>484. In accordance with the principles recalled above, the liability of the company SNEF as the author of the practices referred to in grievances no. 7, 8, 9, and 10 should be retained, which is not contested by the entity in question. Indeed, the individuals involved in the observed practices were, at the time of the facts, employees of SNEF. This entity was also in charge of the decontamination and nuclear dismantling activity for the CEA's Marcoule site for the SNEF group at the time of the facts in question.</w:t>
      </w:r>
    </w:p>
    <w:p>
      <w:r>
        <w:t>f) Regarding SPIE DEN, now SPIE Nucléaire</w:t>
      </w:r>
    </w:p>
    <w:p>
      <w:r>
        <w:t>485. The decontamination and nuclear dismantling activity at the Marcoule site was, at the time of the practices referred to in grievance no. 7, conducted by the company SPIE DEN. By virtue of a universal transfer of assets on August 28, 2017, SPIE DEN transferred its activities to SPIE Nucléaire. Moreover, as the companies of the SPIE group assert in their observations, the offer submitted to the CEA for the contract referred to in grievance no. 7 by SPIE DEN, now SPIE Nucléaire (hereinafter "SPIE Nucléaire"), was established, verified, and approved by employees of SPIE DEN. In accordance with the principles recalled above, the liability of SPIE Nucléaire as the author of the concerned practices should be retained, which is not contested by the entity in question. This entity was also responsible for the decontamination and nuclear dismantling activity for the CEA's Marcoule site for the SPIE group at the time of the facts in question.</w:t>
      </w:r>
    </w:p>
    <w:p>
      <w:r>
        <w:t>486. Furthermore, throughout the duration of the practices in question, SPIE DEN was 100% owned by SPIE Nucléaire, which itself was directly or indirectly 100% owned by SPIE Opérations, the latter being directly or indirectly 100% owned by SPIE SA. By virtue of the presumption of determining influence resulting from the aforementioned case law, the notification of grievances attributed the practices to SPIE Opérations and SPIE SA, as the parent companies of SPIE DEN, now SPIE Nucléaire.</w:t>
      </w:r>
    </w:p>
    <w:p>
      <w:r>
        <w:t>487. The companies SPIE Opérations and SPIE SA, on the other hand, contest the attribution of the practices in their capacity as parent companies.</w:t>
      </w:r>
    </w:p>
    <w:p>
      <w:r>
        <w:t>488. They argue that they did not exercise any influence over SPIE Nucléaire for the commission of the practices in question.</w:t>
      </w:r>
    </w:p>
    <w:p>
      <w:r>
        <w:t>489. These companies assert, indeed, that they were not engaged in decontamination or nuclear dismantling activities at the time of the facts and that the offers submitted to the CEA did not require prior validation.</w:t>
      </w:r>
    </w:p>
    <w:p>
      <w:r>
        <w:t>490. Furthermore, they argue that none of the employees of SPIE Nucléaire involved in the practices were active within SPIE SA or SPIE Opérations.</w:t>
      </w:r>
    </w:p>
    <w:p>
      <w:r>
        <w:t>491. Finally, they were devoid of the bodies and personnel enabling them to ensure operational responsibilities within the framework of SPIE Nucléaire's activity.</w:t>
      </w:r>
    </w:p>
    <w:p>
      <w:r>
        <w:t>492. These arguments, however, are not sufficient to overturn the presumption of liability against the parent companies.</w:t>
      </w:r>
    </w:p>
    <w:p>
      <w:r>
        <w:t>493. Indeed, first, and as emerges from the aforementioned case law, the circumstance that the parent companies do not engage in the same activity as their subsidiary is irrelevant in the examination of the existence of a determining influence of the former over the latter. In other words, the fact of entrusting certain activities to a subsidiary constitutes an organizational choice, without excluding any exercise of determining influence by the parent companies over the subsidiary responsible for the concerned activities.</w:t>
      </w:r>
    </w:p>
    <w:p>
      <w:r>
        <w:t>494. Moreover, the fact that the offer submitted by SPIE Nucléaire in the context of the "Désamiantage IZEN" contract was established, verified, and approved outside the supervision of SPIE Opérations and SPIE SA does not overturn the aforementioned presumption either. Indeed, this absence of hierarchical control, given the relatively modest amount of the contract in question, reflects a usual mode of organization in the concerned sector and does not demonstrate the existence of autonomy of SPIE Nucléaire vis-à-vis its parent companies.</w:t>
      </w:r>
    </w:p>
    <w:p>
      <w:r>
        <w:t>495. Furthermore, SPIE Opérations and SPIE SA invoke in support of their position the offer submitted to the CEA in the context of the "Désamiantage IZEN" contract, which bears only the signatures of two employees of SPIE Nucléaire, who drafted and then approved the said offer. However, this element does not, on its own, provide a precise and exhaustive account of the internal functioning of the SPIE group.</w:t>
      </w:r>
    </w:p>
    <w:p>
      <w:r>
        <w:t>496. Finally, in light of the aforementioned case law, the fact that the employees who participated in the practices referred to in grievance no. 7 did not, at the time of the facts in question, hold positions within SPIE SA and SPIE Opérations does not overturn the presumption of the exercise of a determining influence. Indeed, the circumstance that SPIE SA and SPIE Opérations did not directly participate in the offense pursued, nor incite SPIE Nucléaire to commit it, does not demonstrate that these three companies did not constitute a single economic unit.</w:t>
      </w:r>
    </w:p>
    <w:p>
      <w:r>
        <w:t>497. Consequently, the arguments of SPIE Opérations and SPIE SA, individually or read together, do not allow for overturning the presumption of liability on which the notification of grievances is based. Therefore, the practices implemented by SPIE Nucléaire should be attributed to SPIE Opérations and SPIE SA, as the parent companies of SPIE Nucléaire.</w:t>
      </w:r>
    </w:p>
    <w:p>
      <w:r>
        <w:t>E. ON FINANCIAL SANCTIONS</w:t>
      </w:r>
    </w:p>
    <w:p>
      <w:r>
        <w:t>498. The following will be addressed successively:</w:t>
        <w:br/>
        <w:t>− the principles relating to the determination of the sanction;</w:t>
        <w:br/>
        <w:t>− grievance no. 1;</w:t>
        <w:br/>
        <w:t>− grievances no. 2 to 10;</w:t>
        <w:br/>
        <w:t>− the contributory capacity of the companies; and</w:t>
        <w:br/>
        <w:t>− the final amount of the sanctions.</w:t>
      </w:r>
    </w:p>
    <w:p>
      <w:r>
        <w:t>1. THE PRINCIPLES RELATING TO THE DETERMINATION OF SANCTIONS</w:t>
      </w:r>
    </w:p>
    <w:p>
      <w:r>
        <w:rPr>
          <w:b/>
        </w:rPr>
        <w:t>[Pages 91–93]</w:t>
      </w:r>
    </w:p>
    <w:p>
      <w:r>
        <w:t>a) The applicable law</w:t>
      </w:r>
    </w:p>
    <w:p>
      <w:r>
        <w:t>499. The provisions of I of Article L. 464-2 of the Commercial Code and Article 5 of Council Regulation (EC) No 1/2003 of December 16, 2002 empower the Authority to impose a monetary sanction on companies and organizations engaged in anti-competitive practices prohibited by Article L. 420-1 of the Commercial Code, as well as by Articles 101 and 102 of the TFEU.</w:t>
      </w:r>
    </w:p>
    <w:p>
      <w:r>
        <w:t>500. The third paragraph of I of Article L. 464-2 of the Commercial Code, in its version applicable to the present case, provides that “[m]onetary sanctions are assessed in light of the seriousness and duration of the infringement, the situation of the association of companies or the sanctioned company or the group to which the company belongs, and any possible repetition of practices prohibited by this title. They are determined individually for each sanctioned company or organization and reasoned for each sanction.”</w:t>
      </w:r>
    </w:p>
    <w:p>
      <w:r>
        <w:t>501. According to the fourth paragraph of I of Article L. 464-2 of the Commercial Code, “the maximum amount of the sanction is, for a company, 10% of the highest amount of global turnover excluding taxes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502. The Authority generally assesses the legal criteria recalled above according to the modalities described in its press release of July 30, 2021, relating to the method of determining monetary sanctions (hereinafter “sanctions press release”), unless the Authority “after a global analysis of the particular circumstances of the case, notably in light of the characteristics of the practices in question, the activity of the parties involved, and the economic and legal context of the case, or for reasons of general interest, decides to deviate from it, justifying this choice.”</w:t>
      </w:r>
    </w:p>
    <w:p>
      <w:r>
        <w:t>503. The parties contest the implementation of this sanctions press release.</w:t>
      </w:r>
    </w:p>
    <w:p>
      <w:r>
        <w:t>504. They also argue that the sanction ceiling provided by the former Article L. 464-5 of the Commercial Code should be applied in this case. Indeed, until its repeal in 2020, this article notably provided that when the Authority rules without prior establishment of a report under Article L. 463-3 of the Commercial Code, the monetary sanction cannot exceed 750,000 euros for each of the authors of the practices.</w:t>
      </w:r>
    </w:p>
    <w:p>
      <w:r>
        <w:t>The sanctions press release</w:t>
      </w:r>
    </w:p>
    <w:p>
      <w:r>
        <w:t>505. Several companies involved argue that the sanctions press release should not be applied in this case. They invoke, for this purpose, the principle of non-retroactivity of the more severe criminal law, a principle which, according to them, would apply to the sanctions press release, since it was adopted after the facts noted and that it would contain different aggravating elements, not foreseeable at the date of the facts, in the calculation of the sanction.</w:t>
      </w:r>
    </w:p>
    <w:p>
      <w:r>
        <w:t>506. BCEN and NUVIA consider that the entire sanctions press release should be set aside, and that the Authority should therefore apply the former sanctions press release of May 16, 2011.</w:t>
      </w:r>
    </w:p>
    <w:p>
      <w:r>
        <w:t>507. BCEN argues that the adoption of the sanctions press release was not foreseeable, at least at the time the infringement was committed. It admits that this adoption follows the amendments made to Article L. 464-2 of the Commercial Code, but argues that certain changes made to the former press release could not be anticipated, neither at the time of the practices in question, nor even at the time of the Authority's ex officio referral. This would apply to the Authority's ability, provided for in point 31 of the press release, to add to the base amount “an amount between 15% and 25% of the value of sales” for deterrent purposes. For BCEN, the introduction of this “entry ticket” would have been all the less expected since, although existing since 2006 in the Commission's guidelines, it had not been adopted by the Authority in its 2011 press release. The same would apply, according to BCEN, to the modification of the duration coefficient for the years following the first year of infringement (point 34 of the press release).</w:t>
      </w:r>
    </w:p>
    <w:p>
      <w:r>
        <w:t>508. NUVIA considers that, unlike the 2011 press release, the sanctions press release does not constitute a transposition of the Authority's decision-making practice, and allows it to tighten its repressive policy in that it integrates rules for determining the sanction that are more severe, such as the modification of the duration coefficient for the years following the first year of infringement, the introduction of the “entry ticket” for deterrence, and the possibility of applying a 15% to 20% increase in the sanction to take into account the illicit gains derived from the sanction.</w:t>
      </w:r>
    </w:p>
    <w:p>
      <w:r>
        <w:t>509. SPIE and ENDEL state that only the more severe provisions of the sanctions press release should be set aside. According to them, the Authority should apply the less severe provisions than those of the 2011 press release.</w:t>
      </w:r>
    </w:p>
    <w:p>
      <w:r>
        <w:t>510. SPIE invokes, in addition to the principle of non-retroactivity of the more severe repressive law, the principle of legality of offenses and penalties. Among the provisions it considers more severe than those of the 2011 press release, it retains the possibility of imposing, for deterrent purposes, an “entry fee,” the modification of the duration coefficient for all years beyond the first year of the infringement, as well as an alleged elimination of the derogatory method of calculating sanctions for occasional tenders. It qualifies these developments as major, and argues that nothing in the Authority's decision-making practice, nor in its positions contemporary to the alleged practices, allowed for their anticipation. SPIE, on the other hand, requests the application of paragraph 34 of the sanctions press release for the duration coefficient applicable to periods of less than one year, such periods being, in the new press release, taken into account pro rata temporis to the duration of the company's or association of companies' participation in the infringement.</w:t>
      </w:r>
    </w:p>
    <w:p>
      <w:r>
        <w:t>511. ENDEL argues that the principle of non-retroactivity of the more severe criminal law leads to not applying the provisions of the new Article L. 464-2, as amended by Article 2, XVII, of Ordinance No. 2021-649 of May 26, 2021, despite Article 6 of this ordinance which provides that the amendments made are directly applicable to procedures for which the grievances have been notified after the entry into force of the ordinance. ENDEL argues that the 2021 press release does not clarify the modalities for applying Article L. 464-2 of the Commercial Code, but marks a brutal and unpredictable break with previous practice. It considers that the provisions that lead to an increase, in its view automatically and significantly, of the sanction incurred are, in particular, the entry fee and the duration coefficient for the years following the first infringement, and the possible increase of sanctions by taking into account illicit gains. It finally argues, relying on the consultation of a law professor, that the provisions of the new press release “which are less severe or neutral should be applicable to procedures for which the notification of grievances occurred after its entry into force.”</w:t>
      </w:r>
    </w:p>
    <w:p>
      <w:r>
        <w:t>512. SNEF does not contest the applicability of the sanctions press release.</w:t>
      </w:r>
    </w:p>
    <w:p>
      <w:r>
        <w:t>513. The arguments of BCEN, NUVIA, SPIE, and ENDEL will be rejected.</w:t>
      </w:r>
    </w:p>
    <w:p>
      <w:r>
        <w:t>514. As a preliminary point, it should be recalled that the law grants the Authority broad discretion to determine on a case-by-case basis, under the legal requirement of individualization and in accordance with the principle of proportionality, the monetary sanctions it imposes based on the criteria provided, in accordance with the principle of legality of offenses and penalties, by I of Article L. 464-2 of the Commercial Code. The law frames this sanctioning power by providing a maximum sanction amount. Since the law of May 15, 2001, this ceiling is set, for a company, at “10% of the highest amount of global turnover excluding taxes achieved during one of the financial years closed since the financial year preceding the one in which the practices were implemented.” This ceiling has not evolved since the date of the practices.</w:t>
      </w:r>
    </w:p>
    <w:p>
      <w:r>
        <w:t>515. Ordinance No. 2021-649 of May 26, 2021, relating to the transposition of Directive (EU) 2019/1 of the European Parliament and of the Council of December 11, 2018, led to the modification of certain legal criteria provided by I of Article L. 464-2 of the Commercial Code. Thus, the criterion of the duration of the infringement was explicitly introduced, while that relating to the importance of the damage to the economy was removed. However, the ceiling of 10% of turnover has not been modified. Under these conditions, and the new legal criteria not being more severe than the old ones, Article 6 of the ordinance could provide that these modifications are applicable to procedures for which grievances have been notified, in accordance with Article L. 463-2 of the Commercial Code, after the entry into force of the ordinance.</w:t>
      </w:r>
    </w:p>
    <w:p>
      <w:r>
        <w:t>516. The implementation of Article L. 464-2 of the Commercial Code leads the Authority to state, in its decisions imposing sanctions, the main elements taken into consideration for...</w:t>
      </w:r>
    </w:p>
    <w:p>
      <w:r>
        <w:rPr>
          <w:b/>
        </w:rPr>
        <w:t>[Pages 94–96]</w:t>
      </w:r>
    </w:p>
    <w:p>
      <w:r>
        <w:t>economic.</w:t>
      </w:r>
    </w:p>
    <w:p>
      <w:r>
        <w:t xml:space="preserve">284 See 3° of XVIII of Article 2 of Ordinance No. 2021-649 of May 26, 2021.  </w:t>
        <w:br/>
        <w:t>285 The same Article 6, however, provided that the modifications in question were not applicable to procedures for which grievances had been notified before the entry into force of the ordinance.</w:t>
      </w:r>
    </w:p>
    <w:p>
      <w:r>
        <w:t>93</w:t>
      </w:r>
    </w:p>
    <w:p>
      <w:r>
        <w:t xml:space="preserve">to determine them, which contributes to ensuring transparency regarding how the Authority exercises its discretionary power on a case-by-case basis. This reasoning is necessarily linked to the context and the specific facts of each case, and cannot prejudge how the Authority may be led to determine monetary sanctions in other cases286.  </w:t>
        <w:br/>
        <w:t xml:space="preserve">517. In this context, and in order to clarify how it exercises its sanctioning power in accordance with the criteria set forth in I of Article L. 464-2 of the Commercial Code as amended by Ordinance No. 2021-649, the Authority adopted, on July 30, 2021, the sanctions communication, replacing the previous communication dated May 6, 2011, which had become obsolete due to the removal from the law of the criteria it specified for application (notably that relating to the importance of the damage to the economy). The Authority thus logically applied the new sanctions communication to cases in which the new legal criteria were applicable, namely cases in which grievances were notified after the entry into force of Ordinance No. 2021-649287.  </w:t>
        <w:br/>
        <w:t xml:space="preserve">518. Furthermore, it should be noted that the sanctions communications adopted by the Authority cannot be considered as texts with normative value, and therefore as criminal law. In the new sanctions communication, the Authority indicates in this regard that it takes the form of guidelines in the sense of administrative jurisprudence288. Indeed, this new communication, like that of 2011, is limited, in the interest of transparency, to specifying in advance, and subject to the concrete examination of the circumstances specific to each case, the concrete modalities according to which the Authority intends to exercise the discretionary power entrusted to it by law to determine, under the provisions of I of Article L. 464-2 of the Commercial Code, under the control of the courts, the sanctions it imposes289.  </w:t>
        <w:br/>
        <w:t xml:space="preserve">519. However, the Authority reminds that the different stages of this method structure the way it exercises its discretionary power, without substituting itself for the specific examination it conducts in each case, depending on the specific circumstances of that case and in accordance with the legal requirement for individualization. While the sanctions communication allows, among other things, all economic actors to anticipate the financial risks associated with the commission of offenses, it is neither possible nor desirable, from the perspective of the Authority or in the interest of the companies and business associations concerned, to conceive an automatic scale allowing for the precise amount of the sanctions incurred to be predicted in advance. The amount applicable to each case gives rise to a specific decision, which takes into account all relevant reasons for the decision concerned and the context of the case290.  </w:t>
        <w:br/>
        <w:t xml:space="preserve">520. Moreover, the principle of non-retroactivity of more severe criminal law does not prevent the Authority from adapting its method of calculating sanctions to legislative developments or the needs for effective application of competition rules291. Thus, in a ruling of July 4, 2019, the Paris Court of Appeal held that:  </w:t>
        <w:br/>
        <w:t xml:space="preserve">“(...) the sanctions communication, which aims to increase transparency by making known in advance the concrete way in which the Authority exercises its sanctioning power, has, in particular, the purpose of providing predictability regarding the sanctions incurred by companies and, thus, enhancing their deterrent effect, but (...) it does not establish any particular amount or any range of sanctions.  </w:t>
        <w:br/>
        <w:t xml:space="preserve">Now, as the Court of Justice has ruled, in its judgment of June 28, 2005, Dansk Rørindustri e.a./Commission (C-189/02 P, C-202/02 P, C-205/02 P to C-208/02 P and C-213/02 P, paragraph 228), and the Union Tribunal, in the judgment Archer Daniels Midland/Commission (paragraph 48), companies involved in an administrative procedure that may lead to a fine cannot acquire legitimate confidence that the Commission will not exceed the level of fines previously applied nor in a method for calculating them.  </w:t>
        <w:br/>
        <w:t xml:space="preserve">It follows that the Authority's application, in the contested decision, of the analytical rules set forth by the sanctions communication does not constitute a violation of the principle of non-retroactivity of punitive sanctions and that the arguments are rejected.”292  </w:t>
        <w:br/>
        <w:t xml:space="preserve">521. It follows from the above that the application of the new sanctions communication cannot undermine the principles of legal certainty and legitimate expectation, nor constitute a modification that was not reasonably foreseeable.  </w:t>
        <w:br/>
        <w:t xml:space="preserve">522. In any case, the adoption of the new sanctions communication does not constitute a sudden and unpredictable break from previous practice, nor from the general competition policy of the Authority regarding fines, contrary to what the parties claim. On the contrary, it is important to emphasize the evident continuity, despite the modification of the legal criteria for sanctions (removal of damage to the economy, explicit introduction of the duration criterion), between the methodology of the 2011 communication and that of the sanctions communication, this methodology being based on the same major steps: calculation of a base amount that is a proportion of the sales value related to the infringement, application to this amount of a coefficient taking into account the severity and duration of the practices,290 sanctions communication, paragraph 13.291 See, in this sense, the reasoning of the Union Tribunal, confirmed by the Court of Justice, in the Schindler case (Union Tribunal judgment of July 13, 2011, T-138/07, Schindler, paragraphs 118 to 129).292 Court of Cassation judgment of March 17, 2015, Royal Canin, No. 285 F-D.294 Paragraph 7 of the 2011 sanctions communication.295 Paragraph 6 of the sanctions communication.296 Paragraphs 62 and 63 of the sanctions communication.297 Paragraphs 66 and 67 of the 2011 sanctions communication.96  </w:t>
        <w:br/>
        <w:t xml:space="preserve">assessment of any mitigating or aggravating circumstances and other elements of individualization, consideration of recidivism, and final adjustments. Thus, as the Court of Cassation has already ruled, insofar as the new communication does not mark a sudden and unpredictable break with previous practice, the arguments based on the violation of the legality of penalties and the non-retroactivity of more severe criminal law cannot be founded293.  </w:t>
        <w:br/>
        <w:t xml:space="preserve">523. Similarly, the parties involved do not prove that the application of the new communication leads to a mechanical and brutal increase in the general level of fines. On the contrary, the new communication contains provisions that ENDEL and SPIE qualify as "less severe," and its application is therefore likely to lead, in some cases, to lower fines. This is the case, according to them, for the duration coefficient calculated pro rata temporis for offenses of less than one year as well as for offenses committed over several years, which should allow for better consideration of the fact that duration has, since Ordinance No. 2021-649, become one of the legal criteria for determining the sanction.  </w:t>
        <w:br/>
        <w:t xml:space="preserve">524. Furthermore, it should be noted that the sanctions communication of May 16, 2011294, like the current sanctions communication295, provides for the possibility for the Authority to deviate from the method outlined, in light of the specific circumstances of the case, by justifying this choice. The calculation methods recommended by these communications are therefore not systematically applicable, and the adoption of the sanctions communication cannot constitute a break in the sanctions policy conducted by the Authority.  </w:t>
        <w:br/>
        <w:t xml:space="preserve">525. Finally, the present case concerns collusion practices in the context of tenders. However, one-off tenders, when they do not fall under a single complex and continuous infringement, are the subject of specific developments in the new sanctions communication296, which propose an alternative method for calculating sanctions presented in the same terms in the previous communication297. Under these conditions, the parties could not, at the time of the facts in question and in light of the specific circumstances of the case, have acquired certainty regarding the method that the Authority would apply.  </w:t>
        <w:br/>
        <w:t xml:space="preserve">526. Moreover, at the time of the practices pursued in the present case, the Authority's choice to recognize or not the existence of a single complex and continuous infringement, for all or part of the practices established against them, could in any case not be presumed by the companies involved. Finally, as recalled above, the Authority is authorized to deviate from its sanctions communication, in light of the specific circumstances of the case. Consequently, the companies involved in the present case cannot invoke an alleged certainty regarding the application of the main method developed by the sanctions communication of May 16, 2011, to assess the amount of the fine they could face.  </w:t>
        <w:br/>
        <w:t>527. In this context, the parties knew that they faced a sanction of up to 10% of their turnover for having engaged in anti-competitive practices. The subsequent developments of the sanctions communication have not...</w:t>
      </w:r>
    </w:p>
    <w:p>
      <w:r>
        <w:rPr>
          <w:b/>
        </w:rPr>
        <w:t>[Pages 97–99]</w:t>
      </w:r>
    </w:p>
    <w:p>
      <w:r>
        <w:t>not led to call into question this ceiling established by the legislator at both the national and European levels.</w:t>
      </w:r>
    </w:p>
    <w:p>
      <w:r>
        <w:t>528. It follows that the application of the new sanctions communiqué is not likely to infringe the principle of non-retroactivity of more severe criminal law.</w:t>
      </w:r>
    </w:p>
    <w:p>
      <w:r>
        <w:t>The ceiling of the former Article L. 464-5 of the Commercial Code</w:t>
      </w:r>
    </w:p>
    <w:p>
      <w:r>
        <w:t>529. As recalled above, by a decision of June 2, 2022, the general rapporteur decided, pursuant to Article L. 463-3 of the Commercial Code, that the present case would be examined by the Authority without prior establishment of a report.</w:t>
      </w:r>
    </w:p>
    <w:p>
      <w:r>
        <w:t>530. The companies involved argue that the Authority is required to apply the sanction ceiling of 750,000 euros, as provided for by Article L. 464-5 of the Commercial Code for cases examined without prior establishment of a report before this article was repealed by Law No. 2020-1508 of December 3, 2020 (DDADUE).</w:t>
      </w:r>
    </w:p>
    <w:p>
      <w:r>
        <w:t>531. They invoke the principle of non-retroactivity of more severe criminal law for this purpose.</w:t>
      </w:r>
    </w:p>
    <w:p>
      <w:r>
        <w:t>532. The parties argue that this principle applies to the repeal in 2020 of the ceiling of 750,000 euros previously provided for in Article L. 464-5 of the Commercial Code, while conceding that this principle applies "only to provisions defining offenses and the penalties that punish them, and not to procedural provisions which are, for their part, of immediate application." According to them, indeed, Articles L. 463-3 and L. 464-5 of the Commercial Code would lay down substantive criminal norms, or, according to BCEN, would be "laws of a procedural nature having an impact on the sanction (mixed criminal laws)." In support of their position, BCEN, ENDEL, NUVIA, and SPIE refer to a judgment of the European Court of Human Rights, Scoppola v. Italy, which, according to them, establishes that a provision relating to the severity of a penalty to be imposed in a simplified procedure is a provision of substantive criminal law that falls under the principle of non-retroactivity of criminal law.</w:t>
      </w:r>
    </w:p>
    <w:p>
      <w:r>
        <w:t>533. The companies involved also refer to a decision of the Authority of October 7, 2021, adopted following a procedure without prior establishment of a report, in which the Authority applied the former Article L. 464-5 of the Commercial Code, on the grounds that it was still in force at the time of the facts of the case.</w:t>
      </w:r>
    </w:p>
    <w:p>
      <w:r>
        <w:t>534. Finally, they argue that the Authority is required, in accordance with a judgment of the Paris Court of Appeal of January 19, 2010, to apply the increase in the sanction ceiling only to practices that ended before the entry into force of the provisions in question. They also refer to the decision-making practice of the Competition Council, which had excluded, for cases where the facts were prior, the increase of the ceiling from 5% to 10% of turnover that had been provided for by Law No. 2001-420 of March 15, 2011 ("NRE Law").</w:t>
      </w:r>
    </w:p>
    <w:p>
      <w:r>
        <w:t>535. These arguments must be rejected.</w:t>
      </w:r>
    </w:p>
    <w:p>
      <w:r>
        <w:t>536. Indeed, firstly, the DDADUE law, in that it repealed the original procedure and created a new simplified procedure, is a procedural law and, as such, of immediate application. It did not merely remove the ceiling of 750,000 euros provided for in Article L. 464-5 of the Commercial Code, but modified the regime applicable to the procedure without prior establishment of a report by instituting it as the common procedure, with the heavier procedure involving three rounds of adversarial proceedings (two written rounds and one oral round) becoming the exception. The legislator's objective was, in doing so, to allow the general rapporteur to accelerate the processing times of cases. This objective, thus allowing for the generalization in France of the procedure with one round of adversarial proceedings, which constitutes the common rule among European competition authorities, has indeed been emphasized by doctrine.</w:t>
      </w:r>
    </w:p>
    <w:p>
      <w:r>
        <w:t>537. Secondly, and in any event, the repeal of Article L. 464-5 of the Commercial Code cannot be considered as a law punishing the facts of the case more severely. Indeed, at the time of the facts, the applicable ceiling was the ceiling of 10% of turnover prescribed in I of Article L. 464-2 of the Commercial Code, the wording of which remained unchanged.</w:t>
      </w:r>
    </w:p>
    <w:p>
      <w:r>
        <w:t>538. Thirdly, there was, at the time of the facts, no other applicable ceiling under the law for the companies involved. Indeed, they did not benefit from a right to a simplified procedure since Article L. 463-3 can only be applied by the general rapporteur: only he can decide on the appropriateness of resorting to a procedure without prior establishment of a report. The Authority's practice reveals in this regard that the use of the simplified procedure was then reserved for cases where both the scale of the parties and the value of the affected sales were more modest than in the case at hand. Therefore, at the time of the commission of the facts, the companies involved could not anticipate that they would benefit from this procedure.</w:t>
      </w:r>
    </w:p>
    <w:p>
      <w:r>
        <w:t>539. Furthermore, it was only from the decision of the general rapporteur of June 2, 2022, more than a year after the repeal of the ceiling of 750,000 euros, that the parties involved were engaged in a procedure without prior establishment of a report. The ceiling of 750,000 euros was therefore never applicable to them, and they are consequently not entitled to invoke it.</w:t>
      </w:r>
    </w:p>
    <w:p>
      <w:r>
        <w:t>540. Fourthly, it also follows from the above that the parties cannot effectively invoke the judgment of the European Court of Human Rights in the case of Scoppola v. Italy (II). This case concerned the reductions of sentence that a defendant, under Italian criminal law, may benefit from when opting for a so-called abbreviated procedure. The applicant had requested, before the preliminary hearing judge, the application of such a procedure, which "would result, in the event of conviction, in a reduction of sentence." Italian legislation had, on the other hand, during this case and after the applicant had chosen the benefit of the abbreviated procedure, been amended, so that the reduction of sentence in question had become less favorable. The Court had considered that the text in question was a provision of substantive criminal law because it aggravated the penalty that could be imposed on the applicant, after he had opted for the benefit of this procedure.</w:t>
      </w:r>
    </w:p>
    <w:p>
      <w:r>
        <w:t>541. This precedent is not relevant in this case to demonstrate that the new procedure without prior establishment of a report would constitute a substantive rule, insofar as the initiative to engage in the abbreviated procedure, guaranteeing a reduction of sentence, belonged solely to the applicant. The modification of the legislation therefore had consequences on the penalty to which he was exposed, so that the Court could consider that these were rules of substantive criminal law to which the principle of non-retroactivity of more severe criminal law prescribed in Article 7 of the Convention for the Protection of Human Rights and Fundamental Freedoms was applicable.</w:t>
      </w:r>
    </w:p>
    <w:p>
      <w:r>
        <w:t>542. The same does not apply to the procedure without prior establishment of a report before the Authority, of which only the general rapporteur can have the initiative. The parties could therefore not consider that the former Article L. 464-5 of the Commercial Code was applicable to them and, as recalled in paragraph 539, it was only at the time of the decision of the general rapporteur of June 2, 2022, after the law of December 3, 2020, that this procedure was realized in this case. Under these conditions, the repeal of Article L. 464-5 of the Commercial Code, prior to the decision of the general rapporteur, did not affect the severity of the penalty that could be applied to them before this decision. It was only if the decision of the general rapporteur had been prior to the law of December 3, 2020, that the parties could have benefited from the ceiling of 750,000 euros, by invoking their legitimate expectations at the time of the initiation of the procedure.</w:t>
      </w:r>
    </w:p>
    <w:p>
      <w:r>
        <w:t>543. Fifthly, the parties are not entitled to rely on the decision-making practice and case law that occurred following the NRE law.</w:t>
      </w:r>
    </w:p>
    <w:p>
      <w:r>
        <w:t>544. The latter, indeed, led to the increase of the ceiling for monetary sanctions both for procedures with prior establishment of a report and for those without prior establishment of a report. Before the NRE law, Article L. 464-2 of the Commercial Code provided: "The maximum amount of the sanction is, for a company, 5% of the amount of the turnover excluding taxes realized in France during the last closed financial year. If the offender is not a company, the maximum is 10,000,000 F." The NRE law amended Article L. 464-2 as follows: "If the offender is not a company, the maximum amount of the sanction is 3 million euros. The maximum amount of the sanction is, for a company, 10% of the highest amount of global turnover excluding taxes realized during one of the closed financial years since the financial year preceding the one during which the practices were implemented." The NRE law...</w:t>
      </w:r>
    </w:p>
    <w:p>
      <w:r>
        <w:rPr>
          <w:b/>
        </w:rPr>
        <w:t>[Pages 100–102]</w:t>
      </w:r>
    </w:p>
    <w:p>
      <w:r>
        <w:t>led to an increase in the ceiling of the maximum applicable sanction, regardless of the procedure ultimately followed by the rapporteur general and the investigation services during the adversarial phase. Consequently, the Competition Council applied, in accordance with the principle of non-retroactivity of the more severe criminal law, the provisions of the ordinance of December 1, 1986, applicable at the time of the facts, without the modifications introduced by the NRE law of 2001. The Paris Court of Appeal validated this practice.</w:t>
      </w:r>
    </w:p>
    <w:p>
      <w:r>
        <w:t>545. However, in this case, unlike the NRE law, the law of December 3, 2020 did not modify, for companies, the maximum amount of the sanction that could be imposed on them, which still corresponds to 10% of their turnover, regardless of the specific procedure implemented by the rapporteur general. Since the applicable law is not more severe, the principle of non-retroactivity does not apply.</w:t>
      </w:r>
    </w:p>
    <w:p>
      <w:r>
        <w:t>546. Sixthly, it is also in vain that the parties involved invoke a decisional practice of the Authority, which, in their observations, is limited to decision No. 21-D-23 of October 7, 2021. Following this isolated decision, where the sanction imposed amounted to only 5,000 euros, the Authority specified in several more recent decisions that the former Article L. 464-5 of the Commercial Code no longer applied when the notification of grievances was subsequent to the date of repeal of this article. In its decisions No. 22-D-08 of March 3, 2002 and No. 22-D-17 of October 11, 2022, it thus imposed fines of 950,000 euros and 1,000,000 euros respectively on the infringing companies.</w:t>
      </w:r>
    </w:p>
    <w:p>
      <w:r>
        <w:t>547. It follows from all of the above that there is no need to apply the former Article L. 464-5 of the Commercial Code in the present case, and therefore the ceiling of 750,000 euros repealed in 2020.</w:t>
      </w:r>
    </w:p>
    <w:p>
      <w:r>
        <w:t>b) The application of a single sanction</w:t>
      </w:r>
    </w:p>
    <w:p>
      <w:r>
        <w:t>309 See, for example, decisions No. 02-D-33 of June 10, 2002 concerning practices identified in the sector of discount coupon processing; No. 03-D-07 of February 4, 2003 concerning practices identified during the awarding of contracts for the purchase of vertical road signage by local authorities; No. 03-D-55 of December 4, 2003 concerning a public contract awarded by the Urban District of Montbéliard for the renovation of a football stadium's pitch; No. 4-D-39 of August 3, 2004 concerning practices implemented in the sectors of slaughtering and marketing of meat animals; No. 04-D-43 of September 8, 2004 concerning the awarding of public contracts organized by the municipality of Grasse in the sector of school and extracurricular transport; No. 04-D-50 of November 3, 2004 concerning practices implemented during tenders organized by the Intermunicipal Sanitation Union of the Valley of Lakes; No. 05-D-27 of June 15, 2005 concerning practices identified in the sector of white tuna.</w:t>
      </w:r>
    </w:p>
    <w:p>
      <w:r>
        <w:t>310 See the ruling of the Paris Court of Appeal of January 19, 2010, Société AMD Sud-Ouest, No. 2009/00334. The Court notably noted that the Competition Council had complied with the principle of non-retroactivity by going further than the transitional provisions provided for by Article 94 of the NRE law.</w:t>
      </w:r>
    </w:p>
    <w:p>
      <w:r>
        <w:t>311 Decision No. 21-D-23 of October 7, 2021 concerning practices implemented in the sector of champagne and spirits marketing in La Réunion (Cattier).</w:t>
      </w:r>
    </w:p>
    <w:p>
      <w:r>
        <w:t>312 See decision No. 22-D-08 of March 3, 2002 concerning practices implemented in the sector of waste collection and management in Haute-Savoie, paragraph 174; decision No. 22-D-04 of February 2, 2022 concerning practices implemented in the sector of intermunicipal hospital sanitary transport in the Val d’Ariège and Pays d’Olmes, paragraph 258; decision No. 22-D-17 of October 11, 2022 concerning practices implemented by Gaz de Bordeaux in the gas sector.</w:t>
      </w:r>
    </w:p>
    <w:p>
      <w:r>
        <w:t>548. It follows from the decisional practice of the Authority that, when several grievances have been notified, the Authority may impose multiple sanctions on each company involved corresponding to multiple infractions, determining each of them based on the criteria provided for by the Commercial Code.</w:t>
      </w:r>
    </w:p>
    <w:p>
      <w:r>
        <w:t>549. However, the Authority may also impose, on each company involved, a single sanction corresponding to multiple infractions, "given the identity or connection of the sectors or markets involved, on the one hand, and the general purpose of the practices, on the other hand," since this identity may prevent "distinguishing the potential or actual effects produced on the market by each of the [retained infractions]."</w:t>
      </w:r>
    </w:p>
    <w:p>
      <w:r>
        <w:t>550. As recalled by the Paris Court of Appeal, it is permissible for the Authority to consider that the circumstances of the case allow it to impose a single sanction for multiple grievances, provided that this sanction does not violate the principle of proportionality set out in Article L. 464-2 of the Commercial Code.</w:t>
      </w:r>
    </w:p>
    <w:p>
      <w:r>
        <w:t>551. In this case, ENDEL, SPIE DEN, SNEF, and NUVIA argue that the conditions for applying a single sanction for the grievances notified to them are met.</w:t>
      </w:r>
    </w:p>
    <w:p>
      <w:r>
        <w:t>552. The Authority notes that the practices referred to by grievances No. 2 to 10 were implemented by OTND, ENDEL, SPIE DEN, SNEF, and NUVIA, through the same representatives, within the framework of autonomous, ad hoc tenders of modest amounts launched by the CEA at its Marcoule site, for decontamination and nuclear decommissioning services. The contracts in question spanned the period from March 2014 to October 2017. These practices all aimed to distort the ad hoc competitive processes operated by the CEA, thereby obstructing the setting of prices by the free play of competition, to the detriment of the latter.</w:t>
      </w:r>
    </w:p>
    <w:p>
      <w:r>
        <w:t>553. Therefore, the Authority will determine a single sanction for grievances No. 2 to 10 for each of the companies involved, taking into account their participation in the various practices.</w:t>
      </w:r>
    </w:p>
    <w:p>
      <w:r>
        <w:t>554. In contrast, grievance No. 1 will be subject to a separate sanction. Indeed, the practices referred to under this grievance result from behaviors occurring in the context of a framework agreement that subsequently led to several preparatory contracts for main contracts. These subsequent contracts were independent of the aforementioned ad hoc contracts, which involved a greater number of operators. The conditions for applying a single sanction to all grievances are therefore not met.</w:t>
      </w:r>
    </w:p>
    <w:p>
      <w:r>
        <w:t>2. GRIEVANCE NO. 1</w:t>
      </w:r>
    </w:p>
    <w:p>
      <w:r>
        <w:t>313 Ruling of the Court of Cassation of June 29, 2007, Bouygues Télécom, No. 07-10303.</w:t>
      </w:r>
    </w:p>
    <w:p>
      <w:r>
        <w:t>314 See, in this sense, the ruling of the Court of Cassation of July 12, 2011, Lafarge, No. 10-17482.</w:t>
      </w:r>
    </w:p>
    <w:p>
      <w:r>
        <w:t>315 See, in this sense, the rulings of the Court of Cassation of November 22, 2005, Dexxon Data Media, No. 04-19102, of the Paris Court of Appeal of January 28, 2009, EPSE Joué Club, No. 2008/00255, page 20, and No. 16-D-09 of May 12, 2016 concerning practices implemented in the sectors of metal reinforcements and welded mesh on the island of La Réunion, paragraphs 426 and 427, confirmed on this point by the ruling of the Paris Court of Appeal of March 15, 2018, Sermetal Réunions e.a., No. 16/14231, paragraphs 140 and 156.</w:t>
      </w:r>
    </w:p>
    <w:p>
      <w:r>
        <w:t>316 Decision No. 16-D-17 of July 21, 2016 concerning practices implemented in the sector of mobile liquid fuel heating devices, paragraph 174.</w:t>
      </w:r>
    </w:p>
    <w:p>
      <w:r>
        <w:t>317 Ruling of the Paris Court of Appeal of March 15, 2018, Sermetal Réunions e.a., No. 16/14231, paragraph 156.</w:t>
      </w:r>
    </w:p>
    <w:p>
      <w:r>
        <w:t>555. The Authority will assess the legal criteria according to the practical modalities described in its sanctions communication, concerning grievance No. 1.</w:t>
      </w:r>
    </w:p>
    <w:p>
      <w:r>
        <w:t>556. The following will be addressed successively:</w:t>
        <w:br/>
        <w:t>− the value of sales;</w:t>
        <w:br/>
        <w:t>− the severity of the practices;</w:t>
        <w:br/>
        <w:t>− the duration of the practices;</w:t>
        <w:br/>
        <w:t>− the individual situation of the companies;</w:t>
        <w:br/>
        <w:t>− the repetition; and</w:t>
        <w:br/>
        <w:t>− the final adjustments.</w:t>
      </w:r>
    </w:p>
    <w:p>
      <w:r>
        <w:t>a) The determination of the value of sales</w:t>
      </w:r>
    </w:p>
    <w:p>
      <w:r>
        <w:t>557. As specified by the sanctions communication, "[t]he value of sales constitutes an appropriate and objective reference for determining the base amount of the financial sanction, as it allows for proportioning the basis to the economic magnitude of the infractions in question, on the one hand, and to the relative weight, on the sectors or markets concerned, of each company or association of companies involved, on the other hand."</w:t>
      </w:r>
    </w:p>
    <w:p>
      <w:r>
        <w:t>558. The sanctions communication further emphasizes that the "reference taken by the Authority is the value of all categories of products or services directly or indirectly related to the infraction, or if applicable, to the infractions, sold by the company or association of companies concerned during its last complete accounting year of participation in the latter," unless this last accounting year does not constitute a representative reference.</w:t>
      </w:r>
    </w:p>
    <w:p>
      <w:r>
        <w:t>559. Finally, as has already been ruled numerous times in both national law and Union law, the value of sales is that of the sales made on the relevant market, regardless of whether these sales were actually affected by this infraction. The notion of value of sales cannot therefore be understood as only targeting the turnover generated by the only sales for which it is established that they were actually affected by the infraction.</w:t>
      </w:r>
    </w:p>
    <w:p>
      <w:r>
        <w:t>560. In this case, NUVIA, ENDEL, and BCSN argue that only their turnover generated at the Marcoule site for decontamination and nuclear dismantling services would appropriately reflect the magnitude of the infraction identified under grievance No. 1. According to them, any widening of the sanction base would result in including revenues derived from the sale of services that were not concerned by the practices and would not appropriately reflect the economic magnitude of the infraction. NUVIA notably argues that the services performed at the Marcoule site in the context...</w:t>
      </w:r>
    </w:p>
    <w:p>
      <w:r>
        <w:rPr>
          <w:b/>
        </w:rPr>
        <w:t>[Pages 103–105]</w:t>
      </w:r>
    </w:p>
    <w:p>
      <w:r>
        <w:t>of the framework agreement represented less than 1% of the budget allocated to the CEA over three years at the national level.</w:t>
      </w:r>
    </w:p>
    <w:p>
      <w:r>
        <w:t>561. The Authority nevertheless considers that, given the particular context in which the anti-competitive practices referred to in grievance no. 1 occurred, as recalled in section I.B above, the amount to be used as the basis for calculating the sanctions for each of the companies involved under grievance no. 1 corresponds to the revenue generated during the year 2018 in France for decontamination and nuclear dismantling services.</w:t>
      </w:r>
    </w:p>
    <w:p>
      <w:r>
        <w:t>562. Indeed, and first, while the practices referred to in grievance no. 1 only concern contracts awarded by the CEA for the Marcoule site, it turns out that dismantling operations in France were, at the time of the facts, at an early stage and not yet stabilized economically and technically. The programs planned by the CEA thus constituted the bulk of dismantling operations in France, with the Marcoule site representing half of them.</w:t>
      </w:r>
    </w:p>
    <w:p>
      <w:r>
        <w:t>563. In this context, and as specified in paragraph 186, the Marcoule site was strategic for the parties, which appear as the main French operators in decontamination and nuclear dismantling, with the exception of STMI / Orano DS.</w:t>
      </w:r>
    </w:p>
    <w:p>
      <w:r>
        <w:t>564. Secondly, while the framework agreement concerned services of relatively low value, it involved significant stakes for the CEA. Indeed, it aimed to enable smooth management of a set of occasional but frequent services, necessary for the proper execution of larger projects.</w:t>
      </w:r>
    </w:p>
    <w:p>
      <w:r>
        <w:t>565. Thirdly, the practices in question may have affected the CEA's perception of the progress and cost of nuclear dismantling work during a crucial learning period for this type of activity. The infringement pursued by grievance no. 1 was therefore likely to influence, directly or indirectly, the entire strategy of the CEA regarding the dismantling of its facilities.</w:t>
      </w:r>
    </w:p>
    <w:p>
      <w:r>
        <w:t>566. For all these reasons, the Authority believes that the basis for the sanction should correspond to the revenue generated in France by the parties involved for decontamination and dismantling activities during the year 2018.</w:t>
      </w:r>
    </w:p>
    <w:p>
      <w:r>
        <w:t>b) The severity of the practices</w:t>
      </w:r>
    </w:p>
    <w:p>
      <w:r>
        <w:t>567. In accordance with point 28 of the statement of objections, to assess the severity of the facts, the Authority takes into account the following elements, depending on their relevance:</w:t>
        <w:br/>
        <w:t>− the nature of the infringement or infringements in question and the facts retained to characterize them, as well as the nature of the competition parameters concerned;</w:t>
        <w:br/>
        <w:t>− the nature of the activities, sectors, or markets involved;</w:t>
        <w:br/>
        <w:t>− the nature of the persons likely to be affected;</w:t>
        <w:br/>
        <w:t>− the objective characteristics of the infringement or infringements.</w:t>
      </w:r>
    </w:p>
    <w:p>
      <w:r>
        <w:t>568. In this case, first, the practices referred to in grievance no. 1 are likely to limit competition and obstruct price setting by the free play of competition. They indeed contributed to thwarting an effective competitive process for the execution of dismantling work requested by the CEA at its Marcoule site.</w:t>
      </w:r>
    </w:p>
    <w:p>
      <w:r>
        <w:t>569. As recalled in paragraphs 202 to 205, these practices are among the most serious infringements of competition rules, as they can only aim to confiscate, to the benefit of the authors of the infringement, the profit that consumers and the public entity are entitled to expect from a competitive functioning of the economy. Indeed, thwarting the normal course of tendering procedures, by preventing price setting through the free play of the market and misleading the public entity about the reality and extent of the competition exercised among the bidding companies, disrupts the sector where such practices occur and seriously undermines the economic public order.</w:t>
      </w:r>
    </w:p>
    <w:p>
      <w:r>
        <w:t>570. In this regard, the severity of these practices cannot be contested by the companies involved on the grounds that they had no impact on the outcome of the relevant tenders and the prices charged or that they did not have any covert nature with respect to the CEA.</w:t>
      </w:r>
    </w:p>
    <w:p>
      <w:r>
        <w:t>571. Moreover, the practices identified are all the more serious as the exchanges of information in question partly concerned prices, in order to allow for the submission of cover offers.</w:t>
      </w:r>
    </w:p>
    <w:p>
      <w:r>
        <w:t>572. Finally, the identified practices were both structured in their operational mode and secretive. On the one hand, the companies involved participated in regular meetings and established monitoring tables, as specified in paragraphs 87 to 100. On the other hand, the participants in the agreement took care to conceal some of their exchanges, notably by using SMS and personal email addresses or those belonging to family members, as indicated in paragraphs 101 to 108.</w:t>
      </w:r>
    </w:p>
    <w:p>
      <w:r>
        <w:t>573. Secondly, and as recalled in section I.B above and in paragraphs 564 to 567 preceding, the dismantling operations carried out at the Marcoule site constituted a strategic issue for the sector, which was set to develop in the coming years.</w:t>
      </w:r>
    </w:p>
    <w:p>
      <w:r>
        <w:t>574. Thirdly, the practices are all the more serious as dismantling work is largely dependent on the initiation of public competitive procedures and that companies active in this sector are necessarily accustomed to responding to numerous calls for tenders.</w:t>
      </w:r>
    </w:p>
    <w:p>
      <w:r>
        <w:t>575. Fourthly, the multi-year duration of the public contract in question, by freezing competition over a long period, contributed to increasing the severity of the practices.</w:t>
      </w:r>
    </w:p>
    <w:p>
      <w:r>
        <w:t>576. It follows from the above that the practices are particularly serious by nature.</w:t>
      </w:r>
    </w:p>
    <w:p>
      <w:r>
        <w:t>577. Nevertheless, the Authority notes that the very strong contractual, regulatory, and safety constraints of the decontamination and nuclear dismantling activity, as well as the absence of preservation of the original plans of the now old facilities, while not justifying the practices in question, constitute a context that may have favored the observed practices.</w:t>
      </w:r>
    </w:p>
    <w:p>
      <w:r>
        <w:t>578. Finally, the CEA believes it did not incur any additional costs when awarding the Framework Agreements.</w:t>
      </w:r>
    </w:p>
    <w:p>
      <w:r>
        <w:t>579. Therefore, the Authority will retain, to determine the base amount of the sanction for the companies involved, a severity coefficient of 15%, which constitutes the minimum threshold provided by the statement of objections for the most serious horizontal collusion practices such as those observed in this case.</w:t>
      </w:r>
    </w:p>
    <w:p>
      <w:r>
        <w:t>c) The duration of the practices</w:t>
      </w:r>
    </w:p>
    <w:p>
      <w:r>
        <w:t>580. As stated in the statement of objections, “[i]n order to fully take into account the duration of each company's participation in the infringement, the amount determined based on the value of sales (...) is multiplied by the number of years of participation in the infringement,” it being specified that “[p]eriods of less than one year are taken into account pro rata temporis to the duration of the company's or the association of companies' participation in the infringement.”</w:t>
      </w:r>
    </w:p>
    <w:p>
      <w:r>
        <w:t>581. As it appears from paragraphs 263 to 266 above, the infringement established under grievance no. 1 was implemented:</w:t>
        <w:br/>
        <w:t>− between April 13, 2015, and February 12, 2019, by ENDEL, NUVIA, and OTND, resulting in a duration coefficient of 3.83;</w:t>
        <w:br/>
        <w:t>− between March 6, 2017, and February 12, 2019, by BCSN, resulting in a duration coefficient of 1.93.</w:t>
      </w:r>
    </w:p>
    <w:p>
      <w:r>
        <w:t>d) The situation of the companies involved</w:t>
      </w:r>
    </w:p>
    <w:p>
      <w:r>
        <w:t>582. The Authority has committed to adjusting the base amounts retained in light of the legal criterion concerning the individual situation of each of the parties involved, whether they are organizations or companies, belonging, where applicable, to larger groups.</w:t>
      </w:r>
    </w:p>
    <w:p>
      <w:r>
        <w:t>583.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w:t>
      </w:r>
    </w:p>
    <w:p>
      <w:r>
        <w:t>584. The assessment of the individual situation of a company may notably lead to taking into account not only its size and resources, beyond those derived from the products or services targeted by the infringement, but also its membership in a group that itself has a larger size, economic power, and overall resources. Indeed, the effectiveness of the fight against anti-competitive practices requires that the financial sanction be effectively deterrent, an objective also highlighted regarding the sanctions that may be imposed in case of violation of national competition rules by the European Court of Human Rights, in light of the financial situation specific to each company at the time it is sanctioned.</w:t>
      </w:r>
    </w:p>
    <w:p>
      <w:r>
        <w:t>585. The Court of Appeal of Paris also specified that it is not the Authority's obligation to demonstrate how belonging to a group played a role in the commission of the practices when the parent companies to which the practices have been attributed and the company that committed the practices constitute a single entity within the meaning of competition law.</w:t>
      </w:r>
    </w:p>
    <w:p>
      <w:r>
        <w:rPr>
          <w:b/>
        </w:rPr>
        <w:t>[Pages 106–108]</w:t>
      </w:r>
    </w:p>
    <w:p>
      <w:r>
        <w:t>586. In the present case, the elements of the file do not reveal any factors that would characterize the existence of aggravating or mitigating circumstances specific to the companies involved.</w:t>
      </w:r>
    </w:p>
    <w:p>
      <w:r>
        <w:t>587. On the other hand, the Authority will take into account the size of the ENGIE, Vinci, and Bouygues groups to which ENDEL, NUVIA, and BCSN belong, or belonged at the time of the practices.</w:t>
      </w:r>
    </w:p>
    <w:p>
      <w:r>
        <w:t>Regarding the situation of the Vinci group</w:t>
      </w:r>
    </w:p>
    <w:p>
      <w:r>
        <w:t>588. The practices implemented by NUVIA have been attributed to its parent companies, Soletanche Freyssinet and Vinci.</w:t>
      </w:r>
    </w:p>
    <w:p>
      <w:r>
        <w:t>589. The overall financial resources of the Vinci group are very significant as its consolidated global revenue for 2022 reaches 61.675 billion euros.</w:t>
      </w:r>
    </w:p>
    <w:p>
      <w:r>
        <w:t>590. The value of sales considered in the calculation of the sanction base thus represents only 0.02% of this revenue.</w:t>
      </w:r>
    </w:p>
    <w:p>
      <w:r>
        <w:t>591. In light of these elements, the individual base amount for NUVIA, for which its parent companies Soletanche Freyssinet and Vinci are also jointly liable, must be increased by 50%.</w:t>
      </w:r>
    </w:p>
    <w:p>
      <w:r>
        <w:t>Regarding the situation of the ENGIE group</w:t>
      </w:r>
    </w:p>
    <w:p>
      <w:r>
        <w:t>592. The practices implemented by ENDEL have been attributed to its former parent company ENGIE.</w:t>
      </w:r>
    </w:p>
    <w:p>
      <w:r>
        <w:t>593. The overall financial resources of the ENGIE group are very significant as its consolidated global revenue for 2022 reaches 93.865 billion euros.</w:t>
      </w:r>
    </w:p>
    <w:p>
      <w:r>
        <w:t>594. The value of sales considered in the calculation of the sanction base thus represents only 0.01% of the consolidated global revenue of the ENGIE group.</w:t>
      </w:r>
    </w:p>
    <w:p>
      <w:r>
        <w:t>595. In light of these elements, the individual base amount for ENDEL, for which its former parent company ENGIE is also jointly liable, must be increased by 60%.</w:t>
      </w:r>
    </w:p>
    <w:p>
      <w:r>
        <w:t>Regarding the Bouygues group</w:t>
      </w:r>
    </w:p>
    <w:p>
      <w:r>
        <w:t>596. The practices implemented by BCSN have been attributed to its parent companies Bouygues Travaux Publics and Bouygues.</w:t>
      </w:r>
    </w:p>
    <w:p>
      <w:r>
        <w:t>597. The overall financial resources of the Bouygues group are very significant as its consolidated global revenue for 2022 reaches 44.322 billion euros.</w:t>
      </w:r>
    </w:p>
    <w:p>
      <w:r>
        <w:t>598. The individual base amount retained as the basis for the sanction thus represents only 0.03% of the consolidated global revenue of the Bouygues group.</w:t>
      </w:r>
    </w:p>
    <w:p>
      <w:r>
        <w:t>599. In light of these elements, the individual base amount for BCSN, for which its parent company Bouygues is also jointly liable, must be increased by 40%.</w:t>
      </w:r>
    </w:p>
    <w:p>
      <w:r>
        <w:t>e) The reiteration</w:t>
      </w:r>
    </w:p>
    <w:p>
      <w:r>
        <w:t>600. Reiteration, referred to autonomously by I of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 The case law of the Union goes in the same direction.</w:t>
      </w:r>
    </w:p>
    <w:p>
      <w:r>
        <w:t>601. It is possible to recognize the existence of a reiteration when four conditions are met:</w:t>
        <w:br/>
        <w:t>− a previous infringement of competition law must have been established before the end of the commission of the new practice;</w:t>
        <w:br/>
        <w:t>− the new practice must be identical or similar, in its object or effects, to that which led to the previous finding of infringement;</w:t>
        <w:br/>
        <w:t>− the latter must have acquired a definitive character by the date on which the Authority rules on the new practice;</w:t>
        <w:br/>
        <w:t>− the time elapsed between the previous finding of infringement and the start of the new practice is less than or equal to 15 years.</w:t>
      </w:r>
    </w:p>
    <w:p>
      <w:r>
        <w:t>602. The Court of Appeal of Paris has also ruled that "reiteration can be retained for new practices identical or similar, in their object or effects, to those that led to the previous finding of infringement, without this qualification requiring an identity regarding the practice implemented or the market concerned," before emphasizing in the case at hand that "[t]he two findings of infringement present, on the contrary, marked similarities, both in their object and in their effects."</w:t>
      </w:r>
    </w:p>
    <w:p>
      <w:r>
        <w:t>603. In the case of reiteration, the individualized amount "may be increased by a proportion between 15 and 50%, depending in particular on the time separating the start of the new practice from the previous finding of infringement and the nature of the different infringements involved."</w:t>
      </w:r>
    </w:p>
    <w:p>
      <w:r>
        <w:t>604. In the present case, it should be noted that the Bouygues and Vinci companies were sanctioned by decision No. 06-D-07 of March 21, 2006, concerning practices implemented in the public works sector in the Île-de-France region. On this occasion, it was indeed established that Bouygues and Vinci had implemented an agreement aimed at dividing public works contracts in Île-de-France.</w:t>
      </w:r>
    </w:p>
    <w:p>
      <w:r>
        <w:t>605. The practices referred to under grievance No. 1 also constitute horizontal collusion in public procurement and are, in the sense of the aforementioned case law regarding reiteration, similar. These practices are also attributed to the Bouygues and Vinci companies, as parent companies of BCSN and NUVIA respectively, authors of the infringement.</w:t>
      </w:r>
    </w:p>
    <w:p>
      <w:r>
        <w:t>606. The aforementioned decision No. 06-D-07 also became definitive with respect to the Bouygues and Vinci companies as of the date of the start of the practices attributed under grievance No. 1 (i.e., March 6, 2017, for the Bouygues group and April 13, 2015, for the Vinci group) and a fortiori on the date of the finding of the infringement retained by the Authority under grievance No. 1 in this decision.</w:t>
      </w:r>
    </w:p>
    <w:p>
      <w:r>
        <w:t>607. Finally, the time elapsed between the finding of this previous infringement (i.e., March 21, 2006) and the start of the practices in question under grievance No. 1 is less than 15 years for both Bouygues and Vinci.</w:t>
      </w:r>
    </w:p>
    <w:p>
      <w:r>
        <w:t>608. It follows from the above that the Bouygues and Vinci groups are in a situation of reiteration.</w:t>
      </w:r>
    </w:p>
    <w:p>
      <w:r>
        <w:t>609. In the circumstances of the case, and considering the time of 9 years and 11 years elapsed since the finding of the last infringement committed respectively by Bouygues and Vinci, an increase of 15% of the sanction is retained for the Bouygues and Vinci groups.</w:t>
      </w:r>
    </w:p>
    <w:p>
      <w:r>
        <w:t>f) The intermediate sanction amounts</w:t>
      </w:r>
    </w:p>
    <w:p>
      <w:r>
        <w:t>610. In view of all the general and individual elements set out above, the amount of the sanctions imposed on the companies involved under grievance No. 1 is set, at this stage of the analysis, at the following sums.</w:t>
      </w:r>
    </w:p>
    <w:p>
      <w:r>
        <w:t>Table No. 4 – Intermediate sanction amounts</w:t>
      </w:r>
    </w:p>
    <w:p>
      <w:r>
        <w:t>Grievance No. 1</w:t>
        <w:br/>
        <w:t>(euros)</w:t>
        <w:br/>
        <w:t>OTND</w:t>
        <w:br/>
        <w:t>11,626,000</w:t>
        <w:br/>
        <w:t>jointly liable with ONET SA and Holding Reinier</w:t>
        <w:br/>
        <w:t>NUVIA</w:t>
        <w:br/>
        <w:t>12,752,000</w:t>
        <w:br/>
        <w:t>jointly liable with Soletanche Freyssinet and Vinci</w:t>
        <w:br/>
        <w:t>ENDEL</w:t>
        <w:br/>
        <w:t>10,800,000</w:t>
        <w:br/>
        <w:t>jointly liable with ENGIE</w:t>
        <w:br/>
        <w:t>BCEN</w:t>
        <w:br/>
        <w:t>6,242,000</w:t>
        <w:br/>
        <w:t>jointly liable with Bouygues Travaux Publics and Bouygues</w:t>
        <w:br/>
        <w:t>SNEF n.a.</w:t>
        <w:br/>
        <w:t>SPIE Nucléaire</w:t>
        <w:br/>
        <w:t>n.a.</w:t>
        <w:br/>
        <w:t>jointly liable with SPIE Opérations and SPIE SA</w:t>
      </w:r>
    </w:p>
    <w:p>
      <w:r>
        <w:t>g) The final adjustments</w:t>
      </w:r>
    </w:p>
    <w:p>
      <w:r>
        <w:rPr>
          <w:b/>
        </w:rPr>
        <w:t>[Pages 109–111]</w:t>
      </w:r>
    </w:p>
    <w:p>
      <w:r>
        <w:t>The verification of compliance with the legal maximum</w:t>
      </w:r>
    </w:p>
    <w:p>
      <w:r>
        <w:t>611. In accordance with § I of Article L. 464-2 of the Commercial Code, when the offender is a company, the maximum amount of the financial penalty is "10% of the highest amount of worldwide turnover excluding taxes achieved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612. The table below indicates, for each of the companies concerned in this case, the legal ceiling of the penalty applicable to grievance no. 1.</w:t>
      </w:r>
    </w:p>
    <w:p>
      <w:r>
        <w:t>Table No. 5 – Legal ceiling of penalties</w:t>
        <w:br/>
        <w:t>Grievance No. 1</w:t>
        <w:br/>
        <w:t>(euros)</w:t>
        <w:br/>
        <w:t>OTND</w:t>
        <w:br/>
        <w:t>194,471,622</w:t>
        <w:br/>
        <w:t>jointly with ONET SA and Holding Reinier</w:t>
        <w:br/>
        <w:t>NUVIA</w:t>
        <w:br/>
        <w:t>6,167,500,000</w:t>
        <w:br/>
        <w:t>jointly with Soletanche Freyssinet and Vinci</w:t>
        <w:br/>
        <w:t>ENDEL</w:t>
        <w:br/>
        <w:t>9,386,500,000</w:t>
        <w:br/>
        <w:t>jointly with ENGIE</w:t>
        <w:br/>
        <w:t>BCEN</w:t>
        <w:br/>
        <w:t>4,432,200,000</w:t>
        <w:br/>
        <w:t>jointly with Bouygues Travaux Publics and Bouygues</w:t>
        <w:br/>
        <w:t>SNEF n.a.</w:t>
        <w:br/>
        <w:t>SPIE Nucléaire</w:t>
        <w:br/>
        <w:t>n.a.</w:t>
        <w:br/>
        <w:t>jointly with SPIE Opérations and SPIE SA</w:t>
      </w:r>
    </w:p>
    <w:p>
      <w:r>
        <w:t>Consideration of leniency</w:t>
      </w:r>
    </w:p>
    <w:p>
      <w:r>
        <w:t>613. § IV of Article L. 464-2 of the Commercial Code, in its version resulting from Ordinance No. 2017-303 of March 9, 2017, provides that "total or partial exemption from financial penalties may be granted to a company or organization that has, with others, implemented a practice prohibited by the provisions of Article L. 420-1 if it has contributed to establishing the reality of the prohibited practice and identifying its authors, by providing information that the Authority or the administration did not previously possess. Following the initiative of the company or organization, the Competition Authority, at the request of the general rapporteur or the minister responsible for the economy, adopts for this purpose a leniency notice, which specifies the conditions under which the contemplated exemption is subject, after the Government Commissioner and the company or organization concerned have presented their observations; this notice is transmitted to the company or organization and to the minister, and is not published. When making the decision under § I of this article, the Authority may, after hearing the Government Commissioner and the company or organization concerned without prior establishment of a report, and if the conditions specified in the leniency notice have been met, grant an exemption from financial penalties proportionate to the contribution made to establishing the infringement."</w:t>
      </w:r>
    </w:p>
    <w:p>
      <w:r>
        <w:t>614. Furthermore, in the procedural notice of April 3, 2015, relating to the French leniency program (hereinafter "the leniency notice"), the Authority outlines the conditions that a company must meet when making a first request for leniency in order to be granted a total exemption from financial penalties incurred in the event of violations of Articles L. 420-1 of the Commercial Code and, where applicable, Article 101 TFEU.</w:t>
      </w:r>
    </w:p>
    <w:p>
      <w:r>
        <w:t>615. The Authority may subject, on a case-by-case basis, that is to say in each case it has to consider and for each request for leniency made in this context, the granting of leniency to particular conditions. These conditions are included in the leniency notice, which is transmitted to the applicant. The exemption from penalties that may be granted at the end of the procedure therefore also depends on compliance with the conditions specified in the leniency notice.</w:t>
      </w:r>
    </w:p>
    <w:p>
      <w:r>
        <w:t>616. The Authority therefore makes the effective granting of the exemptions contemplated in its leniency notices conditional upon the applicant complying with the conditions set forth in these notices and, in particular, providing "genuine, complete, ongoing, and prompt cooperation from the submission of its request and throughout the investigation and instruction procedure."</w:t>
      </w:r>
    </w:p>
    <w:p>
      <w:r>
        <w:t>617. In this case, by leniency notice No. 19-AC-01 of January 31, 2019, the Authority granted ONET S.A. and its subsidiaries the conditional benefit of leniency with a total exemption from any penalties that may be incurred in France for the practices reported by them in the field of engineering services, maintenance, dismantling, and waste treatment for nuclear sites.</w:t>
      </w:r>
    </w:p>
    <w:p>
      <w:r>
        <w:t>618. Leniency notice No. 19-AC-01 specified that the benefit of leniency was granted subject to ONET S.A. and its subsidiaries "immediately ceasing their participation in the alleged cartel and at the latest from the notification of the Authority's leniency notice," the leniency notice specifying, however, that "to maintain the confidentiality of the approach and preserve the effectiveness of the investigation measures, the Authority allows ONET S.A. to continue participating in the practices until a possible inspection and seizure operation in the companies involved in the alleged infringement."</w:t>
      </w:r>
    </w:p>
    <w:p>
      <w:r>
        <w:t>619. The aforementioned leniency notice also granted the benefit of leniency under the following conditions: "The company ONET S.A. must provide the Authority with genuine, complete, ongoing, and prompt cooperation from the submission of its request and throughout the investigation and instruction procedure, which means in particular:</w:t>
        <w:br/>
        <w:t>− providing the Authority without delay with all information and evidence that may come into its possession or that it may have regarding the alleged cartel;</w:t>
        <w:br/>
        <w:t>− not disputing at any time before the Authority, and this until the end of the procedure, the factual elements it has revealed to the Authority in the context of the leniency procedure that underpin the leniency notice, the materiality of the facts it has reported, or the very existence of the practices;</w:t>
        <w:br/>
        <w:t>− being available to the Authority to respond promptly to any request from it aimed at contributing to establishing the facts in question;</w:t>
        <w:br/>
        <w:t>− making available to the Authority, for questioning, its legal representatives and current employees, as well as, to the extent possible, its former legal representatives and employees;</w:t>
        <w:br/>
        <w:t>− refraining from destroying, falsifying, or concealing information or evidence useful relating to the alleged cartel, and...</w:t>
      </w:r>
    </w:p>
    <w:p>
      <w:r>
        <w:rPr>
          <w:b/>
        </w:rPr>
        <w:t>[Pages 112–114]</w:t>
      </w:r>
    </w:p>
    <w:p>
      <w:r>
        <w:t>− refrain from disclosing the existence or content of its leniency application before the Authority has communicated its objections to the parties, unless the Authority gives its consent. The company ONET S.A. must not have destroyed or falsified evidence of the alleged agreement, nor disclosed its intention to submit an application or the content of such application, except to other competition authorities. The company ONET S.A. must not have taken measures to compel other companies to participate in the alleged infringements."</w:t>
      </w:r>
    </w:p>
    <w:p>
      <w:r>
        <w:t>620. It follows from all the elements of the file, as well as the course of the procedure, that the company ONET S.A. and its subsidiaries have not violated any of the conditions imposed on them to benefit from a total exemption from sanctions. They must therefore be exempted from any monetary sanction under grievance no. 1.</w:t>
      </w:r>
    </w:p>
    <w:p>
      <w:r>
        <w:t>3. GRIEVANCES NO. 2 TO 10</w:t>
      </w:r>
    </w:p>
    <w:p>
      <w:r>
        <w:t>621. The Authority may depart from the sanctions statement if it justifies this "after a global analysis of the particular circumstances of the case, particularly in light of the characteristics of the practices in question, the activities of the parties involved, and the economic and legal context of the case, or for reasons of public interest, decide to depart from it, providing reasons for this choice."</w:t>
      </w:r>
    </w:p>
    <w:p>
      <w:r>
        <w:t>622. In this case, the Authority considers that the method described in the sanctions statement, in section VII, is not suitable in this instance, given the notable disparities that exist between the various operators involved. Such disparities indeed exclude that the sanctions imposed under grievances no. 2 to 10 result from the application of a coefficient to the total French turnover of the parties involved.</w:t>
      </w:r>
    </w:p>
    <w:p>
      <w:r>
        <w:t>623. First, the practices in question are attributed both to well-established companies in the nuclear decommissioning and remediation sector, as well as to companies that are marginally active or entered this sector late. As recalled above, NUVIA and OTND are among the historical operators in remediation and nuclear decommissioning. BCSN, ENDEL, and SPIE DEN are also significant players in this sector, although they invested later. SNEF, for its part, has only briefly entered this market.</w:t>
      </w:r>
    </w:p>
    <w:p>
      <w:r>
        <w:t>624. Next, the disparity among these companies is due to the more or less significant subsidiary structure of their activities in this sector. Indeed, some groups claim an organizational system based on particularly strong decentralization, with subsidiaries dedicated to nuclear decommissioning and remediation activities, notably the Vinci, Bouygues, and ONET groups. In contrast, SNEF has not subsidiary its nuclear decommissioning and remediation activities.</w:t>
      </w:r>
    </w:p>
    <w:p>
      <w:r>
        <w:t>625. Finally, the disparity between the companies involved is due to the more or less significant role they played in the public contracts launched by the CEA, within the framework of which the identified practices were implemented. Thus, and in accordance with paragraph 407 above, NUVIA participated in the largest number of established practices (seven grievances), followed by ENDEL (five grievances), then OTND and SNEF (four grievances), and finally SPIE (one grievance).</w:t>
      </w:r>
    </w:p>
    <w:p>
      <w:r>
        <w:t>626. In light of these particular circumstances, the Authority is justified in departing from the method described in the sanctions statement and adopting a flat-rate method for determining the monetary sanctions imposed on OTND, ENDEL, SPIE DEN, SNEF, and NUVIA under grievances no. 2 to 10.</w:t>
      </w:r>
    </w:p>
    <w:p>
      <w:r>
        <w:t>627. According to the third paragraph of I of Article L. 464-2, the Authority may impose sanctions proportional to the severity of the alleged facts, the duration of the infringement, the situation of the company or group to which it belongs, and any recurrence of anti-competitive practices. The following will therefore be addressed in succession:</w:t>
        <w:br/>
        <w:t>− the severity of the practices;</w:t>
        <w:br/>
        <w:t>− the duration of the practices;</w:t>
        <w:br/>
        <w:t>− the situation of the companies;</w:t>
        <w:br/>
        <w:t>− the recurrence; and</w:t>
        <w:br/>
        <w:t>− the final adjustments.</w:t>
      </w:r>
    </w:p>
    <w:p>
      <w:r>
        <w:t>a) The severity of the practices</w:t>
      </w:r>
    </w:p>
    <w:p>
      <w:r>
        <w:t>628. As evidenced by the decision-making practice and the case law recalled in paragraphs 202 to 205 above, the practices targeted by grievances no. 2 to 10 present a certain severity.</w:t>
      </w:r>
    </w:p>
    <w:p>
      <w:r>
        <w:t>629. First, these practices are among the most serious infringements of competition rules, as they can only aim to confiscate, for the benefit of the perpetrators of the infringement, the benefits that consumers and public authorities are entitled to expect from a competitive functioning of the economy. Moreover, the identified practices are all the more serious as the exchanges of information in question concerned prices to enable almost systematically the submission of cover bids.</w:t>
      </w:r>
    </w:p>
    <w:p>
      <w:r>
        <w:t>630. Secondly, the sanctioned practices contributed to thwarting an effective competitive process for the provision of decommissioning and remediation services, the costs of which are borne by public finances. The costs incurred by these contracts are directly borne by the CEA and weigh on its budget more heavily than they should have if competition had been effective. This circumstance serves to reinforce the severity of the practices.</w:t>
      </w:r>
    </w:p>
    <w:p>
      <w:r>
        <w:t>631. Thirdly, since decommissioning and nuclear remediation services are subject to the initiation of public competitive procedures and the companies active in this sector are necessarily accustomed to responding to numerous calls for tenders, the severity of the practices is also, for this reason, heightened.</w:t>
      </w:r>
    </w:p>
    <w:p>
      <w:r>
        <w:t>632. All of these circumstances confirm the high degree of severity of the practices in question.</w:t>
      </w:r>
    </w:p>
    <w:p>
      <w:r>
        <w:t>b) The duration of the practices</w:t>
      </w:r>
    </w:p>
    <w:p>
      <w:r>
        <w:t>633. In this case, the following durations have been retained:</w:t>
        <w:br/>
        <w:t>− grievance no. 2: the infringement concerning the "pit 600" contracts was implemented by NUVIA and ENDEL from April 16 to May 27, 2014;</w:t>
        <w:br/>
        <w:t>− grievance no. 3: the infringement concerning the "Exit of the filtration pump Pool G" contract was implemented by NUVIA and ENDEL from November 12 to 17, 2014;</w:t>
        <w:br/>
        <w:t>− grievance no. 4: the infringement concerning the "AVM" contract was implemented by ENDEL, NUVIA, and OTND from February 26 to March 6, 2015;</w:t>
        <w:br/>
        <w:t>− grievance no. 5: the infringement concerning the "Various ATM Works" contract was implemented by ENDEL, NUVIA, and OTND from February 22 to April 7, 2017;</w:t>
        <w:br/>
        <w:t>− grievance no. 6: the infringement concerning the series of contracts related to the "Mar 400" was implemented by ENDEL and NUVIA from November 28, 2016, to May 5, 2017;</w:t>
        <w:br/>
        <w:t>− grievance no. 7: the infringement concerning the "Asbestos removal IZEN" contract was implemented by SNEF, SPIE DEN, and OTND from May 23 to June 12, 2017;</w:t>
        <w:br/>
        <w:t>− grievance no. 8: the infringement concerning the "Decontamination procedure test" contract was implemented by SNEF and OTND from September 19 to October 13, 2017;</w:t>
        <w:br/>
        <w:t>− grievance no. 9: the infringement concerning the "TQRP monitoring on the site of the North Zone CDS ditch clearing" contract was implemented by SNEF and NUVIA from July 28 to August 17, 2015;</w:t>
        <w:br/>
        <w:t>− grievance no. 10: the infringement concerning the "Reprise aqueux" contract was implemented by SNEF and NUVIA from April 4 to 13, 2016.</w:t>
      </w:r>
    </w:p>
    <w:p>
      <w:r>
        <w:t>634. The Authority notes that the occasional nature of these consultations does not mitigate the severity of the practices, given their effects that continued during the execution of the contracts in question.</w:t>
      </w:r>
    </w:p>
    <w:p>
      <w:r>
        <w:t>c) The situation of the companies</w:t>
      </w:r>
    </w:p>
    <w:p>
      <w:r>
        <w:t>635. The elements of the file do not reveal any factors that would adjust the individual base amounts of OTND, SPIE DEN, and SNEF, either upwards or downwards.</w:t>
      </w:r>
    </w:p>
    <w:p>
      <w:r>
        <w:t>636. However, the Authority will take into account the size of the Vinci group, to which NUVIA belongs, and the size of the ENGIE group, to which ENDEL belonged at the time of the implementation of the practices targeted under grievances no. 2 to 10, in determining the amounts of sanctions to be imposed on these two groups.</w:t>
      </w:r>
    </w:p>
    <w:p>
      <w:r>
        <w:t>d) The recurrence</w:t>
      </w:r>
    </w:p>
    <w:p>
      <w:r>
        <w:t>Reminder of applicable principles</w:t>
      </w:r>
    </w:p>
    <w:p>
      <w:r>
        <w:t>637. The Authority recalled in paragraphs 602 to 605 the modalities for taking recurrence into account in the calculation of fines.</w:t>
      </w:r>
    </w:p>
    <w:p>
      <w:r>
        <w:rPr>
          <w:b/>
        </w:rPr>
        <w:t>[Pages 115–117]</w:t>
      </w:r>
    </w:p>
    <w:p>
      <w:r>
        <w:t>638. In this case, it should be noted that the company Vinci was sanctioned by decision No. 06-D-07 of March 21, 2006, concerning practices implemented in the public works sector in the Île-de-France region.</w:t>
      </w:r>
    </w:p>
    <w:p>
      <w:r>
        <w:t>639. Therefore, in light of the developments presented in paragraphs 607 to 610, the Vinci group finds itself in a situation of reiteration justifying, under the circumstances of this case, an upward adjustment of the amount of its sanction.</w:t>
      </w:r>
    </w:p>
    <w:p>
      <w:r>
        <w:t>e) Final adjustments</w:t>
      </w:r>
    </w:p>
    <w:p>
      <w:r>
        <w:t>Verification of compliance with the legal maximum</w:t>
      </w:r>
    </w:p>
    <w:p>
      <w:r>
        <w:t>640. In accordance with I of Article L. 464-2 of the Commercial Code, the table below indicates, for each of the companies involved in this case, the legal ceiling of sanctions applicable to grievances No. 2 to 10.</w:t>
      </w:r>
    </w:p>
    <w:p>
      <w:r>
        <w:t>Table No. 6 – Legal ceiling of sanctions</w:t>
      </w:r>
    </w:p>
    <w:p>
      <w:r>
        <w:t>Grievances No. 2 to 10 (euros)</w:t>
      </w:r>
    </w:p>
    <w:p>
      <w:r>
        <w:t>OTND</w:t>
        <w:br/>
        <w:t>194,471,623</w:t>
        <w:br/>
        <w:t>jointly liable with ONET SA and Holding Reinier</w:t>
      </w:r>
    </w:p>
    <w:p>
      <w:r>
        <w:t>NUVIA</w:t>
        <w:br/>
        <w:t>6,167,500,000</w:t>
        <w:br/>
        <w:t>jointly liable with Soletanche Freyssinet and Vinci</w:t>
      </w:r>
    </w:p>
    <w:p>
      <w:r>
        <w:t>ENDEL</w:t>
        <w:br/>
        <w:t>9,386,500,000</w:t>
        <w:br/>
        <w:t>jointly liable with ENGIE</w:t>
      </w:r>
    </w:p>
    <w:p>
      <w:r>
        <w:t>BCEN</w:t>
        <w:br/>
        <w:t>n.a.</w:t>
        <w:br/>
        <w:t>jointly liable with Bouygues Travaux Publics and Bouygues</w:t>
      </w:r>
    </w:p>
    <w:p>
      <w:r>
        <w:t>SNEF</w:t>
        <w:br/>
        <w:t>148,619,900</w:t>
      </w:r>
    </w:p>
    <w:p>
      <w:r>
        <w:t>SPIE Nucléaire</w:t>
        <w:br/>
        <w:t>699,417,900</w:t>
        <w:br/>
        <w:t>jointly liable with SPIE Operations and SPIE SA</w:t>
      </w:r>
    </w:p>
    <w:p>
      <w:r>
        <w:t>337 On this occasion, it was indeed established that Vinci had implemented an agreement aimed at distributing public works contracts in Île-de-France.</w:t>
      </w:r>
    </w:p>
    <w:p>
      <w:r>
        <w:t>338 In particular, the aforementioned decision No. 06-D-07 became final with respect to the company Vinci on the date of the start of the practices attributed under grievances No. 2 to 10 (i.e., April 16, 2014) and a fortiori on the date of the first infringement noted under grievances No. 2 to 10 by the Authority in this decision. Likewise, the time elapsed between the finding of this previous infringement (i.e., March 21, 2006) and the start of the practices in question under grievances No. 2 to 10 is less than 15 years for all grievances No. 2 to 10.</w:t>
      </w:r>
    </w:p>
    <w:p>
      <w:r>
        <w:t>The consideration of leniency</w:t>
      </w:r>
    </w:p>
    <w:p>
      <w:r>
        <w:t>641. As indicated in the developments of paragraphs 615 to 621, the company ONET S.A. and its subsidiaries did not violate any of the conditions imposed on them to benefit from a total exemption from sanctions. They must therefore be exempted from any financial sanction under grievances No. 2 to 10.</w:t>
      </w:r>
    </w:p>
    <w:p>
      <w:r>
        <w:t>4. THE CONTRIBUTIVE CAPACITY OF EACH COMPANY</w:t>
      </w:r>
    </w:p>
    <w:p>
      <w:r>
        <w:t>642. Regarding the specific elements of the situation of each company or organization involved, the Authority has committed to assess the particular financial difficulties that may reduce the contributive capacity that the parties claim to exist, according to the practical modalities indicated in the sanctions communication.</w:t>
      </w:r>
    </w:p>
    <w:p>
      <w:r>
        <w:t>643. It is the responsibility of the company to justify the existence of such difficulties by relying on reliable, complete, and objective evidence attesting to the existence of real and current difficulties preventing the company in question from fulfilling, in whole or in part, the financial sanction that may be imposed on it.</w:t>
      </w:r>
    </w:p>
    <w:p>
      <w:r>
        <w:t>644. None of the companies involved mentioned the existence of particular financial difficulties that, according to them, would limit their contributive capacity.</w:t>
      </w:r>
    </w:p>
    <w:p>
      <w:r>
        <w:t>5. THE FINAL AMOUNT OF SANCTIONS</w:t>
      </w:r>
    </w:p>
    <w:p>
      <w:r>
        <w:t>645. The final amount of sanctions imposed on the companies involved is established as follows.</w:t>
      </w:r>
    </w:p>
    <w:p>
      <w:r>
        <w:t>Table No. 7 – Final amount of sanctions</w:t>
      </w:r>
    </w:p>
    <w:p>
      <w:r>
        <w:t>Grievance No. 1 Grievances No. 2 to 10</w:t>
        <w:br/>
        <w:t>(euros) (euros)</w:t>
      </w:r>
    </w:p>
    <w:p>
      <w:r>
        <w:t>OTND</w:t>
        <w:br/>
        <w:t>0 0</w:t>
        <w:br/>
        <w:t>jointly liable with ONET SA and Holding Reinier</w:t>
      </w:r>
    </w:p>
    <w:p>
      <w:r>
        <w:t>NUVIA</w:t>
        <w:br/>
        <w:t>12,752,000 1,159,000</w:t>
        <w:br/>
        <w:t>jointly liable with Soletanche Freyssinet and Vinci</w:t>
      </w:r>
    </w:p>
    <w:p>
      <w:r>
        <w:t>ENDEL</w:t>
        <w:br/>
        <w:t>10,800,000 256,000</w:t>
        <w:br/>
        <w:t>jointly liable with ENGIE</w:t>
      </w:r>
    </w:p>
    <w:p>
      <w:r>
        <w:t>BCEN</w:t>
        <w:br/>
        <w:t>6,242,000 n.a.</w:t>
        <w:br/>
        <w:t>jointly liable with Bouygues Travaux Publics and Bouygues</w:t>
      </w:r>
    </w:p>
    <w:p>
      <w:r>
        <w:t>SNEF</w:t>
        <w:br/>
        <w:t>n.a. 20,000</w:t>
      </w:r>
    </w:p>
    <w:p>
      <w:r>
        <w:t>SPIE Nucléaire</w:t>
        <w:br/>
        <w:t>n.a. 10,000</w:t>
        <w:br/>
        <w:t>jointly liable with SPIE Operations and SPIE SA</w:t>
      </w:r>
    </w:p>
    <w:p>
      <w:r>
        <w:t>F. ON THE PUBLICATION INJUNCTION</w:t>
      </w:r>
    </w:p>
    <w:p>
      <w:r>
        <w:t>646. Pursuant to I of Article L. 464-2 of the Commercial Code, "the Competition Authority may order the publication, dissemination, or display of its decision or an excerpt thereof according to the modalities it specifies (...) The costs are borne by the interested party."</w:t>
      </w:r>
    </w:p>
    <w:p>
      <w:r>
        <w:t>647. As ruled by the Court of Appeal of Paris, "the ability to impose a publication of its decision, granted to the Competition Council [now the Competition Authority] (...) adds to the exemplary nature of the sanction and contributes to the effectiveness of compliance with competition rules."</w:t>
      </w:r>
    </w:p>
    <w:p>
      <w:r>
        <w:t>648. In order to draw the attention of the public authorities and, more broadly, of operators of nuclear sites, it is necessary, given the facts established by this decision and the infringements noted, to order on the basis of I of Article L. 464-2 of the Commercial Code the publication, at the shared expense of the sanctioned entities and in proportion to their financial sanctions, in the paper edition and on the website of the publications "Le Moniteur," "Les Echos," and "Midi Libre" of the summary of this decision as follows:</w:t>
      </w:r>
    </w:p>
    <w:p>
      <w:r>
        <w:t>"The Competition Authority (hereinafter 'the Authority') has sanctioned, for a total amount of 31,239,000 euros, six companies active in the engineering services, maintenance, decommissioning, and waste treatment sector for nuclear sites in France, for anti-competitive collusion practices. The practices in question concern several collusions that occurred during calls for tenders issued by the Atomic Energy Commission and Alternative Energies (hereinafter 'the CEA') for its Marcoule site, in the Gard. A first series of collusions, in which four of the six companies involved participated, concerns, on the one hand, exchanges that took place between the bidders prior to the award by the CEA of a framework agreement that came into effect in March 2016 and, on the other hand, exchanges that occurred between the awardees of this framework agreement during its implementation, for the subsequent award of additional contracts, until February 2019. These contracts aimed to prevent the suspension of major decommissioning projects at the Marcoule site in the event of unexpected difficulties."</w:t>
      </w:r>
    </w:p>
    <w:p>
      <w:r>
        <w:rPr>
          <w:b/>
        </w:rPr>
        <w:t>[Pages 118–120]</w:t>
      </w:r>
    </w:p>
    <w:p>
      <w:r>
        <w:t>A second series of agreements, in which five of the six companies involved participated, concern consultations and exchanges of information that took place within the framework of specific calls for tenders, which were not covered by the aforementioned framework agreement, implemented sporadically between April 2014 and October 2017. The Authority considered that, given their nature and purpose and the context in which they occurred, these practices were, by their very object, anti-competitive. These practices were notably revealed through the leniency procedure, which allows companies that participated in an agreement to disclose its existence to the Authority and to obtain, under certain conditions, the benefit of a total or partial exemption from monetary sanctions.</w:t>
      </w:r>
    </w:p>
    <w:p>
      <w:r>
        <w:t>Indeed, the company ONET SA, as the parent company of ONET Technologies ND, requested the benefit of this procedure for the first time in September 2018. The search and seizure operations carried out in February 2019 allowed for the gathering of evidence that complemented that provided by it.</w:t>
      </w:r>
    </w:p>
    <w:p>
      <w:r>
        <w:t>In total, the Authority imposed the following monetary sanctions:</w:t>
        <w:br/>
        <w:t>Amount</w:t>
        <w:br/>
        <w:t>Company</w:t>
        <w:br/>
        <w:t>(euros)</w:t>
        <w:br/>
        <w:t>ONET Technologies ND, jointly with</w:t>
        <w:br/>
        <w:t>0</w:t>
        <w:br/>
        <w:t>ONET SA and Holding Reinier</w:t>
        <w:br/>
        <w:t>Nuvia Process, jointly with Soletanche</w:t>
        <w:br/>
        <w:t>13,911,000</w:t>
        <w:br/>
        <w:t>Freyssinet and Vinci</w:t>
        <w:br/>
        <w:t>ENDEL, jointly with ENGIE 11,056,000</w:t>
        <w:br/>
        <w:t>Bouygues Construction Expertises Nucléaires,</w:t>
        <w:br/>
        <w:t>jointly with Bouygues Travaux Publics and 6,242,000</w:t>
        <w:br/>
        <w:t>Bouygues</w:t>
        <w:br/>
        <w:t>SNEF 20,000</w:t>
        <w:br/>
        <w:t>SPIE Nucléaire, jointly with SPIE</w:t>
        <w:br/>
        <w:t>10,000</w:t>
        <w:br/>
        <w:t>Operations and SPIE SA</w:t>
        <w:br/>
        <w:t>The full text of the Authority's decision is available on the website www.autoritedelaconcurrence.fr</w:t>
      </w:r>
    </w:p>
    <w:p>
      <w:r>
        <w:t>DECISION</w:t>
        <w:br/>
        <w:t>Article 1: It is established that the practices referred to in grievance no. 1, relating to the awarding of the framework agreement, and implemented by:</w:t>
        <w:br/>
        <w:t>− Nuvia Process, as the author, and Soletanche Freyssinet and Vinci as the parent companies of Nuvia Process,</w:t>
        <w:br/>
        <w:t>− ONET Technologies ND, as the author, and ONET SA and Holding Reinier as the parent companies of ONET Technologies ND, and</w:t>
        <w:br/>
        <w:t>− ENDEL, as the author, and ENGIE as the parent company of ENDEL,</w:t>
        <w:br/>
        <w:t>as well as the practices referred to in grievance no. 1, relating to the execution of the framework agreement, and implemented by:</w:t>
        <w:br/>
        <w:t>− Nuvia Process, as the author, and Soletanche Freyssinet and Vinci as the parent companies of Nuvia Process,</w:t>
        <w:br/>
        <w:t>− ONET Technologies ND, as the author, and ONET SA and Holding Reinier as the parent companies of ONET Technologies ND,</w:t>
        <w:br/>
        <w:t>− ENDEL, as the author, and ENGIE, as the parent company of ENDEL, and</w:t>
        <w:br/>
        <w:t>− Bouygues Construction Expertises Nucléaires, as the author, and Bouygues Travaux Publics and Bouygues as the parent companies of Bouygues Construction Expertises Nucléaires,</w:t>
        <w:br/>
        <w:t>have violated the provisions of Articles L. 420-1 of the Commercial Code and 101 of the TFEU.</w:t>
      </w:r>
    </w:p>
    <w:p>
      <w:r>
        <w:t>Article 2: It is established that the practices referred to in grievance no. 2, and implemented by:</w:t>
        <w:br/>
        <w:t>− Nuvia Process, as the author, and Soletanche Freyssinet and Vinci as the parent companies of Nuvia Process, and</w:t>
        <w:br/>
        <w:t>− ENDEL, as the author, and ENGIE, as the parent company of ENDEL,</w:t>
        <w:br/>
        <w:t>have violated the provisions of Articles L. 420-1 of the Commercial Code and 101 of the TFEU.</w:t>
      </w:r>
    </w:p>
    <w:p>
      <w:r>
        <w:t>Article 3: It is established that the practices referred to in grievance no. 3, and implemented by:</w:t>
        <w:br/>
        <w:t>− Nuvia Process, as the author, and Soletanche Freyssinet and Vinci as the parent companies of Nuvia Process, and</w:t>
        <w:br/>
        <w:t>− ENDEL, as the author, and ENGIE, as the parent company of ENDEL,</w:t>
        <w:br/>
        <w:t>have violated the provisions of Articles L. 420-1 of the Commercial Code and 101 of the TFEU.</w:t>
      </w:r>
    </w:p>
    <w:p>
      <w:r>
        <w:t>Article 4: It is established that the practices referred to in grievance no. 4, and implemented by:</w:t>
        <w:br/>
        <w:t>− Nuvia Process, as the author, and Soletanche Freyssinet and Vinci as the parent companies of Nuvia Process,</w:t>
        <w:br/>
        <w:t>− ONET Technologies ND, as the author, and ONET SA and Holding Reinier as the parent companies of ONET Technologies ND, and</w:t>
        <w:br/>
        <w:t>− ENDEL, as the author, and ENGIE, as the parent company of ENDEL,</w:t>
        <w:br/>
        <w:t>have violated the provisions of Articles L. 420-1 of the Commercial Code and 101 of the TFEU.</w:t>
      </w:r>
    </w:p>
    <w:p>
      <w:r>
        <w:t>Article 5: It is established that the practices referred to in grievance no. 5, and implemented by:</w:t>
      </w:r>
    </w:p>
    <w:p>
      <w:r>
        <w:t>− Nuvia Process, as the author, and Soletanche Freyssinet and Vinci as the parent companies of Nuvia Process,</w:t>
        <w:br/>
        <w:t>− ONET Technologies ND, as the author, and ONET SA and Holding Reinier as the parent companies of ONET Technologies ND, and</w:t>
        <w:br/>
        <w:t>− ENDEL, as the author, and ENGIE, as the parent company of ENDEL,</w:t>
        <w:br/>
        <w:t>have violated the provisions of Articles L. 420-1 of the Commercial Code and 101 of the TFEU.</w:t>
      </w:r>
    </w:p>
    <w:p>
      <w:r>
        <w:t>Article 6: It is established that the practices referred to in grievance no. 6, and implemented by:</w:t>
        <w:br/>
        <w:t>− Nuvia Process, as the author, and Soletanche Freyssinet and Vinci as the parent companies of Nuvia Process, and</w:t>
        <w:br/>
        <w:t>− ENDEL, as the author, and ENGIE, as the parent company of ENDEL,</w:t>
        <w:br/>
        <w:t>have violated the provisions of Articles L. 420-1 of the Commercial Code and 101 of the TFEU.</w:t>
      </w:r>
    </w:p>
    <w:p>
      <w:r>
        <w:t>Article 7: It is established that the practices referred to in grievance no. 7, and implemented by:</w:t>
        <w:br/>
        <w:t>− ONET Technologies ND, as the author, and ONET SA and Holding Reinier as the parent companies of ONET Technologies ND,</w:t>
        <w:br/>
        <w:t>− SNEF, as the author, and</w:t>
        <w:br/>
        <w:t>− SPIE Nucléaire, as the author, and SPIE Operations and SPIE SA, as the parent companies of SPIE Nucléaire,</w:t>
        <w:br/>
        <w:t>have violated the provisions of Articles L. 420-1 of the Commercial Code and 101 of the TFEU.</w:t>
      </w:r>
    </w:p>
    <w:p>
      <w:r>
        <w:t>Article 8: It is established that the practices referred to in grievance no. 8, and implemented by:</w:t>
        <w:br/>
        <w:t>− ONET Technologies ND, as the author, and ONET SA and Holding Reinier as the parent companies of ONET Technologies ND, and</w:t>
        <w:br/>
        <w:t>− SNEF, as the author,</w:t>
        <w:br/>
        <w:t>have violated the provisions of Articles L. 420-1 of the Commercial Code and 101 of the TFEU.</w:t>
      </w:r>
    </w:p>
    <w:p>
      <w:r>
        <w:t>Article 9: It is established that the practices referred to in grievance no. 9, and implemented by:</w:t>
        <w:br/>
        <w:t>− Nuvia Process, as the author, and Soletanche Freyssinet and Vinci as the parent companies of Nuvia Process, and</w:t>
        <w:br/>
        <w:t>− SNEF, as the author,</w:t>
        <w:br/>
        <w:t>have violated the provisions of Articles L. 420-1 of the Commercial Code and 101 of the TFEU.</w:t>
      </w:r>
    </w:p>
    <w:p>
      <w:r>
        <w:t>Article 10: It is established that the practices referred to in grievance no. 10, and implemented by:</w:t>
        <w:br/>
        <w:t>− Nuvia Process, as the author, and Soletanche Freyssinet and Vinci as the parent companies of Nuvia Process, and</w:t>
        <w:br/>
        <w:t>− SNEF, as the author,</w:t>
        <w:br/>
        <w:t>have violated the provisions of Articles L. 420-1 of the Commercial Code and 101 of the TFEU.</w:t>
      </w:r>
    </w:p>
    <w:p>
      <w:r>
        <w:t>Article 11: For the infringement referred to in Article 1:</w:t>
        <w:br/>
        <w:t>− a monetary sanction of 12,752,000 euros is imposed jointly on the companies Nuvia Process, Soletanche Freyssinet, and Vinci.</w:t>
      </w:r>
    </w:p>
    <w:p>
      <w:r>
        <w:rPr>
          <w:b/>
        </w:rPr>
        <w:t>[Pages 121–121]</w:t>
      </w:r>
    </w:p>
    <w:p>
      <w:r>
        <w:t xml:space="preserve">− a joint monetary sanction of 10,800,000 euros is imposed on the companies ENDEL and ENGIE, and  </w:t>
        <w:br/>
        <w:t>− a joint monetary sanction of 6,242,000 euros is imposed on the companies Bouygues Construction Expertises Nucléaires, Bouygues Travaux Publics, and Bouygues.</w:t>
      </w:r>
    </w:p>
    <w:p>
      <w:r>
        <w:t xml:space="preserve">Article 12: For the offenses referred to in Articles 2 to 10:  </w:t>
        <w:br/>
        <w:t xml:space="preserve">− a joint monetary sanction of 1,159,000 euros is imposed on the companies Nuvia Process, Soletanche Freyssinet, and Vinci,  </w:t>
        <w:br/>
        <w:t xml:space="preserve">− a joint monetary sanction of 256,000 euros is imposed on the companies ENDEL and ENGIE,  </w:t>
        <w:br/>
        <w:t xml:space="preserve">− a monetary sanction of 20,000 euros is imposed on SNEF, and  </w:t>
        <w:br/>
        <w:t>− a joint monetary sanction of 10,000 euros is imposed on SPIE Nucléaire, SPIE Opérations, and SPIE SA.</w:t>
      </w:r>
    </w:p>
    <w:p>
      <w:r>
        <w:t>Article 13: The companies ONET Technologies ND, ONET SA, and Holding Reinier are exempt from monetary sanction pursuant to IV of Article L. 464-2 of the Commercial Code.</w:t>
      </w:r>
    </w:p>
    <w:p>
      <w:r>
        <w:t>Article 14: The sanctioned entities are ordered to insert, at their expense, the text appearing in paragraph 648 of this decision, respecting the formatting, in the paper edition and on the website of the publications "Le Moniteur," "Les Echos," and "Midi Libre." This publication shall appear in a box with black characters on a white background with a height of at least three millimeters under the following title, in bold characters of the same size: "Decision No. 23-D-08 of September 7, 2023, regarding practices implemented in the field of engineering, maintenance, decommissioning, and waste treatment services for nuclear sites." It may be followed by a mention that the decision has been appealed to the Court of Appeal of Paris if such an appeal is filed. They shall send, by registered mail, to the procedure and documentation service, a copy of this publication, within two months from the notification of the decision.</w:t>
      </w:r>
    </w:p>
    <w:p>
      <w:r>
        <w:t>Deliberated on the oral report of Mr. Alexis Brunelle, rapporteur, and the intervention of Ms. Laure Gauthier, deputy general rapporteur, by Mr. Benoît Cœuré, president, Ms. Irène Luc, Ms. Fabienne Siredey-Garnier, and Mr. Thibaud Vergé, vice-presidents, and Ms. Béatrice Bourgeois-Machureau, Mr. Alexandre Menais, Mr. Jérôme Pouyet, and Ms. Catherine Prieto, members.</w:t>
      </w:r>
    </w:p>
    <w:p>
      <w:r>
        <w:t xml:space="preserve">The session officer, The president,  </w:t>
        <w:br/>
        <w:t xml:space="preserve">Habiba Kaïd-Slimane 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