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https://www.autoritedelaconcurrence.fr/fr/decision/relative-des-pratiques-mises-en-oeuvre-dans-le-secteur-des-prestations-realisees-par-les</w:t>
      </w:r>
    </w:p>
    <w:p>
      <w:r>
        <w:t>Pages translated : 94</w:t>
      </w:r>
    </w:p>
    <w:p/>
    <w:p>
      <w:r>
        <w:rPr>
          <w:b/>
        </w:rPr>
        <w:t>[Pages 1–3]</w:t>
      </w:r>
    </w:p>
    <w:p>
      <w:r>
        <w:t xml:space="preserve">FRENCH REPUBLIC  </w:t>
        <w:br/>
        <w:t xml:space="preserve">Decision No. 16-D-20 of September 29, 2016  </w:t>
        <w:br/>
        <w:t xml:space="preserve">regarding practices implemented in the sector of  </w:t>
        <w:br/>
        <w:t xml:space="preserve">services provided by modeling agencies  </w:t>
        <w:br/>
        <w:t xml:space="preserve">The Competition Authority (Section III),  </w:t>
        <w:br/>
        <w:t xml:space="preserve">Having regard to Decision No. 11-SO-13 of July 26, 2011, registered under number 11/0063F, by which the Competition Authority initiated proceedings ex officio regarding practices implemented in the sector of services provided by modeling agencies;  </w:t>
        <w:br/>
        <w:t xml:space="preserve">Having regard to Book IV of the amended Commercial Code;  </w:t>
        <w:br/>
        <w:t xml:space="preserve">Having regard to the business secrecy decisions No. 13-DSA-181 of June 11, 2013, No. 13-DSA-183 of June 13, 2013, No. 13-DSA-188 of June 20, 2013, No. 13-DSA-190 of June 26, 2013, No. 13-DSA-194 of June 27, 2013, No. 13-DSA-196 of July 3, 2013, No. 13-DSA-197 of July 9, 2013, No. 13-DSA-198 of July 9, 2013, No. 13-DSA-206 of July 12, 2013, No. 13-DSA-223 of August 2, 2013, No. 14-DSA-191 of July 4, 2014, No. 14-DSA-194 of July 7, 2014, No. 14-DSA-222 of July 31, 2014, No. 15-DSA-166 of April 13, 2015, No. 16-DSA-02 of January 7, 2016, No. 16-DSA-34 of February 8, 2016, No. 16-DSA-35 of February 8, 2016, No. 16-DSA-36 of February 8, 2016, No. 16-DSA-42 of February 17, 2016, No. 16-DSA-44 of February 17, 2016, No. 16-DSA-45 of February 17, 2016, No. 16-DSA-46 of February 18, 2016, No. 16-DSA-47 of February 19, 2016, No. 16-DSA-48 of February 19, 2016, No. 16-DSA-49 of February 19, 2016, No. 16-DSA-50 of February 19, 2016, No. 16-DSA-51 of February 19, 2016, and No. 16-DSA-54 of February 23, 2016;  </w:t>
        <w:br/>
        <w:t xml:space="preserve">Having regard to the statement of objections dated April 8, 2014;  </w:t>
        <w:br/>
        <w:t xml:space="preserve">Having regard to the minutes of May 28, 2014, whereby the company Dynamite stated that it did not contest the objections notified to it and requested the benefit of the provisions of III of Article L. 464-2 of the Commercial Code;  </w:t>
        <w:br/>
        <w:t xml:space="preserve">Having regard to the minutes of June 19, 2014, whereby the company Agence People Coccinelle stated that it did not contest the objections notified to it and requested the benefit of the provisions of III of Article L. 464-2 of the Commercial Code;  </w:t>
        <w:br/>
        <w:t xml:space="preserve">Having regard to the minutes of June 24, 2014, whereby the company Ovation stated that it did not contest the objections notified to it and requested the benefit of the provisions of III of Article L. 464-2 of the Commercial Code;  </w:t>
        <w:br/>
        <w:t>Having regard to the other documents in the file;</w:t>
      </w:r>
    </w:p>
    <w:p>
      <w:r>
        <w:t xml:space="preserve">1.  </w:t>
        <w:br/>
        <w:t xml:space="preserve">Having regard to the observations presented by SYNAM, the companies Art et Mode (Kid et Feel), Bout’chou, Privilège Catlinka, Agence DI, Angels Models Management, Bananas Mambo, City Models, Crystal Model Agency’s, Cute Models, Elite Model Management, Enjoy Models Management, Exception, Ford (now Premium Models), Frimousse, Agence Happy, Hourra ! Models, International Management Group, International Publicity Service, Karin Models, L’Agence “Kwaheri Studio”, Major Models, Metropolitan Models, Rebecca, Marilyn Agency, Nathalie, New Madison, Next Management, Nouvelle Ere, Perfect Model Management, Profil, Smith &amp; Smith, Hinolisari-Success, VIP Models, Viva Model Management, Women Management, Zenith Models, and the Government Commissioner;  </w:t>
        <w:br/>
        <w:t xml:space="preserve">The rapporteurs, the deputy general rapporteur, and the representatives of SYNAM and the companies Art et Mode (Kid et Feel), Perfect Models, Privilège Catlinka, Agence DI, Angels Models Management, Bananas Mambo, City Models, Crystal Model Agency’s, Cute Models, Elite Model Management, Enjoy Models Management, Ford (now Premium Models), Frimousse, Agence Happy, Hourra ! Models, International Management Group, Karin Models, Metropolitan Models, Rebecca, Marilyn Agency, Nathalie, New Madison, Next Management, Nouvelle Ere, Profil, Smith &amp; Smith, Hinolisari-Success, VIP, Viva Model Management, and Women Management, heard during the session of the Competition Authority on June 14, 2016;  </w:t>
        <w:br/>
        <w:t xml:space="preserve">Adopts the following decision:  </w:t>
        <w:br/>
        <w:t>2</w:t>
      </w:r>
    </w:p>
    <w:p>
      <w:r>
        <w:t xml:space="preserve">1.  </w:t>
        <w:br/>
        <w:t xml:space="preserve">SUMMARY  </w:t>
        <w:br/>
        <w:t xml:space="preserve">I. Findings .................................................................................... 8  </w:t>
        <w:br/>
        <w:t xml:space="preserve">A. THE PROCEDURE ............................................................................................................................. 8  </w:t>
        <w:br/>
        <w:t xml:space="preserve">B. THE RELEVANT SECTOR ............................................................................................................ 9  </w:t>
        <w:br/>
        <w:t xml:space="preserve">1. THE CHARACTERISTICS OF THE SECTOR OF SERVICES PROVIDED BY MODELING AGENCIES ....................................................................................................................... 9  </w:t>
        <w:br/>
        <w:t xml:space="preserve">a) Characteristics of the supply ................................................................................ 10  </w:t>
        <w:br/>
        <w:t xml:space="preserve">b) Characteristics of the demand ....................................................................... 11  </w:t>
        <w:br/>
        <w:t xml:space="preserve">The client-users ........................................................................................ 11  </w:t>
        <w:br/>
        <w:t xml:space="preserve">The communication or advertising agencies ................................................ 11  </w:t>
        <w:br/>
        <w:t xml:space="preserve">2. THE LEGAL AND CONVENTIONAL FRAMEWORK ............................................................................. 12  </w:t>
        <w:br/>
        <w:t xml:space="preserve">a) The status of the model .................................................................................... 12  </w:t>
        <w:br/>
        <w:t xml:space="preserve">b) The remuneration of models ................................................................... 12  </w:t>
        <w:br/>
        <w:t xml:space="preserve">The conventional system of minimum gross salaries ...................................... 12  </w:t>
        <w:br/>
        <w:t xml:space="preserve">The rules regarding the minimum percentage of remuneration ...................... 14  </w:t>
        <w:br/>
        <w:t>The articulation of the various provisions regarding minimum remuneration</w:t>
        <w:br/>
        <w:t xml:space="preserve">............................................................................................................................. 14  </w:t>
        <w:br/>
        <w:t xml:space="preserve">Remuneration of image rights .................................................................... 14  </w:t>
        <w:br/>
        <w:t xml:space="preserve">c) Evolution of the legal framework governing the rates for the provision of models .................................................................................... 15  </w:t>
        <w:br/>
        <w:t xml:space="preserve">The regime of administered prices for modeling agency services ....... 15  </w:t>
        <w:br/>
        <w:t xml:space="preserve">The end of the administered price system ........................................................ 15  </w:t>
        <w:br/>
        <w:t xml:space="preserve">3. THE TERMS OF COMMERCIAL NEGOTIATION BETWEEN MODELING AGENCIES AND CLIENT-USERS ..................................................................... 16  </w:t>
        <w:br/>
        <w:t xml:space="preserve">a) The general terms of price negotiation in the sector ............. 16  </w:t>
        <w:br/>
        <w:t xml:space="preserve">b) The specificities of "Fashion Week" ........................................................... 17  </w:t>
        <w:br/>
        <w:t xml:space="preserve">C. THE COMPANIES AND ORGANIZATIONS INVOLVED .......................................................... 17  </w:t>
        <w:br/>
        <w:t xml:space="preserve">1. THE UNIONS OF MODELING AGENCIES .......................................................................................... 17  </w:t>
        <w:br/>
        <w:t xml:space="preserve">a) The union of modeling agencies (SAM) ............................................. 17  </w:t>
        <w:br/>
        <w:t xml:space="preserve">b) The National Union of Modeling Agencies (UNAM) .............................. 18  </w:t>
        <w:br/>
        <w:t xml:space="preserve">c) The National Union of Modeling Agencies (SYNAM) ...................... 18  </w:t>
        <w:br/>
        <w:t xml:space="preserve">Creation of SYNAM ........................................................................................... 18  </w:t>
        <w:br/>
        <w:t xml:space="preserve">Organization of SYNAM ................................................................................... 18  </w:t>
        <w:br/>
        <w:t xml:space="preserve">Members of SYNAM .......................................................................................... 19  </w:t>
        <w:br/>
        <w:t xml:space="preserve">2. THE AGENCIES IN QUESTION .......................................................................................... 19  </w:t>
        <w:br/>
        <w:t xml:space="preserve">D. THE IDENTIFIED PRACTICES ..................................................................................................... 21  </w:t>
        <w:br/>
        <w:t>3</w:t>
      </w:r>
    </w:p>
    <w:p>
      <w:r>
        <w:rPr>
          <w:b/>
        </w:rPr>
        <w:t>[Pages 4–6]</w:t>
      </w:r>
    </w:p>
    <w:p>
      <w:r>
        <w:t xml:space="preserve">1.  </w:t>
        <w:br/>
        <w:t xml:space="preserve">1. THE DEVELOPMENT AND DISSEMINATION OF UNION PRICE SCHEDULES .................... 21  </w:t>
        <w:br/>
        <w:t xml:space="preserve">a) The history of union price schedules ................................................................... 21  </w:t>
        <w:br/>
        <w:t xml:space="preserve">b) The content of union price schedules ..................................................................... 22  </w:t>
        <w:br/>
        <w:t xml:space="preserve">c) The scope of union price schedules ........................................................................ 28  </w:t>
        <w:br/>
        <w:t xml:space="preserve">The annual nature of union price schedules ......................................................... 28  </w:t>
        <w:br/>
        <w:t xml:space="preserve">The impact of price schedules on the commercial policy of agencies ........ 28  </w:t>
        <w:br/>
        <w:t xml:space="preserve">d) The intervention of the DGCCRF and the abolition of price schedules by the  </w:t>
        <w:br/>
        <w:t xml:space="preserve">SYNAM .................................................................................................................. 31  </w:t>
        <w:br/>
        <w:t xml:space="preserve">2. THE INVOLVEMENT OF MEMBER AGENCIES IN PRACTICES RELATED TO PRICE  </w:t>
        <w:br/>
        <w:t xml:space="preserve">SCHEDULES ............................................................................................................................. 33  </w:t>
        <w:br/>
        <w:t xml:space="preserve">a) The involvement of agencies in the process of adopting price schedules  </w:t>
        <w:br/>
        <w:t xml:space="preserve">................................................................................................................................. 33  </w:t>
        <w:br/>
        <w:t xml:space="preserve">b) Elements related to the meetings of UNAM and SYNAM ............................ 33  </w:t>
        <w:br/>
        <w:t xml:space="preserve">The meetings of UNAM ................................................................................... 33  </w:t>
        <w:br/>
        <w:t xml:space="preserve">The meetings of SYNAM .................................................................................... 35  </w:t>
        <w:br/>
        <w:t xml:space="preserve">The meetings of specialized commissions of SYNAM ..................................... 38  </w:t>
        <w:br/>
        <w:t xml:space="preserve">E. NOTIFIED GRIEVANCES ............................................................................................................... 39  </w:t>
        <w:br/>
        <w:t xml:space="preserve">1. GRIEVANCE NO. 1: ON THE PRACTICE ATTRIBUTABLE TO SYNAM ................................................ 39  </w:t>
        <w:br/>
        <w:t xml:space="preserve">2. GRIEVANCE NO. 2: ON THE PRACTICE ATTRIBUTABLE TO MODELING AGENCIES ................ 39  </w:t>
        <w:br/>
        <w:t xml:space="preserve">F. IMPLEMENTATION OF III OF ARTICLE L. 464-2 OF THE COMMERCIAL CODE ....... 41  </w:t>
        <w:br/>
        <w:t xml:space="preserve">II. Discussion ..................................................................................... 42  </w:t>
        <w:br/>
        <w:t xml:space="preserve">A. ON THE CONDUCT OF THE PROCEDURE ..................................................................... 42  </w:t>
        <w:br/>
        <w:t xml:space="preserve">1. REGARDING THE INITIATION OF PROCEEDINGS ................................................................. 42  </w:t>
        <w:br/>
        <w:t xml:space="preserve">2. REGARDING THE IMPARTIALITY AND FAIRNESS OF THE INQUIRY ............................... 44  </w:t>
        <w:br/>
        <w:t xml:space="preserve">a) On the claim that the rapporteur allegedly only retained the incriminating passages  </w:t>
        <w:br/>
        <w:t xml:space="preserve">......................................................................................................................... 44  </w:t>
        <w:br/>
        <w:t xml:space="preserve">b) On the ability of the inquiry services to hear persons of their choice  </w:t>
        <w:br/>
        <w:t xml:space="preserve">........................................................................................................................ 44  </w:t>
        <w:br/>
        <w:t xml:space="preserve">c) On the claim that the inquiry services failed to specify that the administrative  </w:t>
        <w:br/>
        <w:t xml:space="preserve">investigation report excluded the involvement of modeling agencies  </w:t>
        <w:br/>
        <w:t xml:space="preserve">.................................................................................................................... 45  </w:t>
        <w:br/>
        <w:t xml:space="preserve">3. REGARDING THE SITUATION OF THE SOCIÉTÉ NOUVELLE ERE .......................... 45  </w:t>
        <w:br/>
        <w:t xml:space="preserve">4. REGARDING THE PRECISION OF GRIEVANCE NO. 2 AND THE ALLEGATION OF MODIFICATION  </w:t>
        <w:br/>
        <w:t xml:space="preserve">OF GRIEVANCE NO. 2 AT THE REPORT STAGE ................................................................. 46  </w:t>
        <w:br/>
        <w:t xml:space="preserve">5. REGARDING THE ALLEGATION OF DISCRIMINATORY TREATMENT BETWEEN MODELING  </w:t>
        <w:br/>
        <w:t xml:space="preserve">AGENCIES ............................................................................................................................ 47  </w:t>
        <w:br/>
        <w:t xml:space="preserve">B. ON THE DELIMITATION OF THE RELEVANT MARKET .......................................................... 48  </w:t>
        <w:br/>
        <w:t xml:space="preserve">1. THE MARKET FOR PRODUCTS AND SERVICES ...................................................................... 48  </w:t>
        <w:br/>
        <w:t xml:space="preserve">2. THE GEOGRAPHICAL MARKET ............................................................................................. 48  </w:t>
        <w:br/>
        <w:t xml:space="preserve">C. ON THE MERITS OF THE GRIEVANCES .................................................................................. 49  </w:t>
        <w:br/>
        <w:t xml:space="preserve">1. ON GRIEVANCE NO. 1 .............................................................................................................. 49  </w:t>
        <w:br/>
        <w:t xml:space="preserve">a) Reminder of the principles .................................................................................. 49  </w:t>
        <w:br/>
        <w:t xml:space="preserve">On the involvement of a professional union ..................................................... 49  </w:t>
        <w:br/>
        <w:t xml:space="preserve">On the anticompetitive object of the development and dissemination by a  </w:t>
        <w:br/>
        <w:t xml:space="preserve">professional union of price schedules to its members .................................. 50  </w:t>
        <w:br/>
        <w:t xml:space="preserve">On the application of I, 1° of Article L. 420-4 of the Commercial Code .......... 51  </w:t>
        <w:br/>
        <w:t xml:space="preserve">b) Application to the case at hand ........................................................................... 52  </w:t>
        <w:br/>
        <w:t xml:space="preserve">On the proof of the development and dissemination of union price schedules  </w:t>
        <w:br/>
        <w:t xml:space="preserve">............................................................................................................................. 52  </w:t>
        <w:br/>
        <w:t xml:space="preserve">On the anticompetitive object of union price schedules ................................. 52  </w:t>
        <w:br/>
        <w:t xml:space="preserve">c) Duration and limitation of practices ................................................................. 56  </w:t>
        <w:br/>
        <w:t xml:space="preserve">Principles .............................................................................................................. 56  </w:t>
        <w:br/>
        <w:t xml:space="preserve">Application to the case at hand ......................................................................... 57  </w:t>
        <w:br/>
        <w:t xml:space="preserve">d) Conclusion ......................................................................................................... 58  </w:t>
        <w:br/>
        <w:t xml:space="preserve">2. ON GRIEVANCE NO. 2 .............................................................................................................. 58  </w:t>
        <w:br/>
        <w:t xml:space="preserve">a) On the consequences of the implementation of the procedure of non-contestation  </w:t>
        <w:br/>
        <w:t xml:space="preserve">of grievances ........................................................................................................... 58  </w:t>
        <w:br/>
        <w:t xml:space="preserve">Principles .............................................................................................................. 58  </w:t>
        <w:br/>
        <w:t xml:space="preserve">Application to the case at hand ......................................................................... 59  </w:t>
        <w:br/>
        <w:t xml:space="preserve">b) The agreement of intent .................................................................................... 59  </w:t>
        <w:br/>
        <w:t xml:space="preserve">The involvement of members of a professional organization under national law  </w:t>
        <w:br/>
        <w:t xml:space="preserve">........................................................................................................................... 59  </w:t>
        <w:br/>
        <w:t xml:space="preserve">The use of a bundle of evidence ....................................................................... 60  </w:t>
        <w:br/>
        <w:t xml:space="preserve">On the arguments of the parties involved regarding the agreement of intent .... 60  </w:t>
        <w:br/>
        <w:t xml:space="preserve">c) On the anticompetitive nature of the meetings of UNAM and SYNAM 62  </w:t>
        <w:br/>
        <w:t xml:space="preserve">Applicable principles .......................................................................................... 62  </w:t>
        <w:br/>
        <w:t xml:space="preserve">Application to the case at hand ......................................................................... 62  </w:t>
        <w:br/>
        <w:t xml:space="preserve">Conclusion .......................................................................................................... 68  </w:t>
        <w:br/>
        <w:t xml:space="preserve">d) On the individual participation of companies .................................................. 68  </w:t>
        <w:br/>
        <w:t xml:space="preserve">On the starting point of participation ................................................................. 68  </w:t>
        <w:br/>
        <w:t xml:space="preserve">On the continuity and end of participation ....................................................... 69  </w:t>
        <w:br/>
        <w:t xml:space="preserve">Summary of the individual participation of the parties involved ...................... 70  </w:t>
        <w:br/>
        <w:t xml:space="preserve">The companies excluded from the case .............................................................. 71  </w:t>
        <w:br/>
        <w:t xml:space="preserve">The companies that expressly agreed to the anticompetitive agreement during  </w:t>
        <w:br/>
        <w:t xml:space="preserve">the founding general assembly of SYNAM on February 6, 2009  </w:t>
        <w:br/>
        <w:t xml:space="preserve">............................................................................................................................. 71  </w:t>
        <w:br/>
        <w:t xml:space="preserve">The companies that did not participate in the founding general assembly of  </w:t>
        <w:br/>
        <w:t xml:space="preserve">SYNAM on February 6, 2009 and participated in the ordinary general assembly of  </w:t>
        <w:br/>
        <w:t xml:space="preserve">SYNAM on December 7, 2009, whose anticompetitive object could be  </w:t>
        <w:br/>
        <w:t xml:space="preserve">anticipated ................................................................................................................ 74  </w:t>
        <w:br/>
        <w:t xml:space="preserve">D. ON ATTRIBUTION ................................................................................................................ 75  </w:t>
        <w:br/>
        <w:t xml:space="preserve">1. PRINCIPLES ........................................................................................................................... 75  </w:t>
        <w:br/>
        <w:t xml:space="preserve">2. ASSESSMENT IN THE CASE AT HAND ................................................................................ 76  </w:t>
        <w:br/>
        <w:t xml:space="preserve">a) Regarding UNAM and SYNAM ......................................................................... 76  </w:t>
        <w:br/>
        <w:t xml:space="preserve">Arguments of the parties involved ..................................................................... 76  </w:t>
        <w:br/>
        <w:t xml:space="preserve">Response of the Authority .................................................................................. 76  </w:t>
        <w:br/>
        <w:t xml:space="preserve">b) Regarding the agencies involved ...................................................................... 77  </w:t>
        <w:br/>
        <w:t xml:space="preserve">Concerning Bout’chou ....................................................................................... 77  </w:t>
        <w:br/>
        <w:t xml:space="preserve">Concerning City ................................................................................................... 77  </w:t>
        <w:br/>
        <w:t xml:space="preserve">Concerning Crystal ............................................................................................ 77  </w:t>
        <w:br/>
        <w:t xml:space="preserve">Concerning Nathalie ........................................................................................... 78  </w:t>
        <w:br/>
        <w:t xml:space="preserve">Concerning People .............................................................................................. 78  </w:t>
        <w:br/>
        <w:t xml:space="preserve">III. On the sanctions .......................................................................... 78  </w:t>
        <w:br/>
        <w:t xml:space="preserve">A. PRINCIPLES ..................................................................................................................................... 78  </w:t>
        <w:br/>
        <w:t xml:space="preserve">B. ON THE FIRST GRIEVANCE ........................................................................................................... 79  </w:t>
        <w:br/>
        <w:t xml:space="preserve">1. ON THE METHOD OF DETERMINING THE SANCTION .......................................................... 79  </w:t>
        <w:br/>
        <w:t xml:space="preserve">2. ON THE GRAVITY OF THE FACTS .......................................................................................... 79  </w:t>
        <w:br/>
        <w:t xml:space="preserve">3. ON THE IMPORTANCE OF THE DAMAGE TO THE ECONOMY ............................................. 80  </w:t>
        <w:br/>
        <w:t xml:space="preserve">a) Principles ............................................................................................................. 80  </w:t>
        <w:br/>
        <w:t xml:space="preserve">b) On the extent of the infringement .................................................................... 81  </w:t>
        <w:br/>
        <w:t xml:space="preserve">c) On the objective economic characteristics of the sector in question .............. 81  </w:t>
        <w:br/>
        <w:t xml:space="preserve">Barriers to entry ................................................................................................... 81  </w:t>
        <w:br/>
        <w:t xml:space="preserve">Structure and degree of concentration of the modeling agency sector ............ 82  </w:t>
        <w:br/>
        <w:t xml:space="preserve">Price sensitivity of demand for modeling services ........................................... 82  </w:t>
        <w:br/>
        <w:t xml:space="preserve">Cross-border competition .................................................................................. 82  </w:t>
        <w:br/>
        <w:t xml:space="preserve">d) Conjunctural and structural consequences ....................................................... 83  </w:t>
        <w:br/>
        <w:t xml:space="preserve">4. ON THE AMOUNT OF THE SANCTION ................................................................................... 84  </w:t>
        <w:br/>
        <w:t xml:space="preserve">C. ON THE SECOND GRIEVANCE ..................................................................................................... 85  </w:t>
        <w:br/>
        <w:t xml:space="preserve">1. ON THE METHOD OF DETERMINING SANCTIONS ................................................................. 85  </w:t>
        <w:br/>
        <w:t xml:space="preserve">2. ON THE GRAVITY OF THE FACTS .......................................................................................... 85  </w:t>
        <w:br/>
        <w:t xml:space="preserve">3. ON THE IMPORTANCE OF THE DAMAGE TO THE ECONOMY ............................................. 85  </w:t>
        <w:br/>
        <w:t xml:space="preserve">4. ON THE AMOUNT OF THE SANCTION ................................................................................... 86  </w:t>
        <w:br/>
        <w:t>5. ON FINAL ADJUSTMENTS ....................................................................................................... 88</w:t>
      </w:r>
    </w:p>
    <w:p>
      <w:r>
        <w:rPr>
          <w:b/>
        </w:rPr>
        <w:t>[Pages 7–9]</w:t>
      </w:r>
    </w:p>
    <w:p>
      <w:r>
        <w:t>1.</w:t>
        <w:br/>
        <w:t xml:space="preserve">a) On the verification of the legal maximum ............................................................. 88  </w:t>
        <w:br/>
        <w:t xml:space="preserve">b) On the application of III of Article L. 464-2 of the Commercial Code ............. 88  </w:t>
        <w:br/>
        <w:t xml:space="preserve">c) On the contributory capacity of the companies involved ..................................... 89  </w:t>
        <w:br/>
        <w:t xml:space="preserve">D. ON THE OBLIGATION TO PUBLISH ................................................................................ 91  </w:t>
        <w:br/>
        <w:t>DECISION ......................................................................................................................... 92</w:t>
      </w:r>
    </w:p>
    <w:p>
      <w:r>
        <w:t xml:space="preserve">1.  </w:t>
        <w:br/>
        <w:t xml:space="preserve">I. Findings  </w:t>
        <w:br/>
        <w:t xml:space="preserve">A. THE PROCEDURE  </w:t>
        <w:br/>
        <w:t xml:space="preserve">1. After noting that the websites of the trade unions of modeling agencies displayed price lists, the DGCCRF tasked the interregional competition investigation brigade of Ile de France, Haute and Basse Normandie, La Réunion, and Saint-Pierre and Miquelon (hereinafter, the "BIEC") with an investigation in the sector of services provided by modeling agencies.  </w:t>
        <w:br/>
        <w:t xml:space="preserve">2. The investigation resulted in the establishment of an administrative report, which was transmitted to the general rapporteur of the Competition Authority (hereinafter, "the Authority") on June 27, 2011.  </w:t>
        <w:br/>
        <w:t xml:space="preserve">3. By decision No. 11-SO-13 of July 26, 2011, the Authority initiated proceedings ex officio regarding practices implemented in the sector of services provided by modeling agencies. This ex officio initiation was recorded under number 11/0063F.  </w:t>
        <w:br/>
        <w:t xml:space="preserve">4. On April 8, 2014, the general rapporteur of the Authority sent a notification of grievances for prohibited practices under Article L. 420-1 of the Commercial Code to the National Union of Modeling Agencies (hereinafter "SYNAM") and to the following companies:  </w:t>
        <w:br/>
        <w:t xml:space="preserve">- Agency DI (hereinafter, "DI");  </w:t>
        <w:br/>
        <w:t xml:space="preserve">- Angels Models Management (hereinafter, "Angels");  </w:t>
        <w:br/>
        <w:t xml:space="preserve">- Kid et Feel (hereinafter, "Art et Mode");  </w:t>
        <w:br/>
        <w:t xml:space="preserve">- Bananas Mambo;  </w:t>
        <w:br/>
        <w:t xml:space="preserve">- SARL Bout’Chou (hereinafter, "Bout’chou");  </w:t>
        <w:br/>
        <w:t xml:space="preserve">- City Models (hereinafter, "City");  </w:t>
        <w:br/>
        <w:t xml:space="preserve">- Crystal Model Agency’s (hereinafter, "Crystal");  </w:t>
        <w:br/>
        <w:t xml:space="preserve">- Regard’s (hereinafter, "Cute");  </w:t>
        <w:br/>
        <w:t xml:space="preserve">- Dynamite Agency (hereinafter, "Dynamite");  </w:t>
        <w:br/>
        <w:t xml:space="preserve">- Elite Model Management (hereinafter, "Elite");  </w:t>
        <w:br/>
        <w:t xml:space="preserve">- Enjoy Models Management (hereinafter, "Enjoy");  </w:t>
        <w:br/>
        <w:t xml:space="preserve">- Exception;  </w:t>
        <w:br/>
        <w:t xml:space="preserve">- Ford Models Europe, now Premium Models (hereinafter, "Ford");  </w:t>
        <w:br/>
        <w:t xml:space="preserve">- Frimousse SARL (hereinafter, "Frimousse");  </w:t>
        <w:br/>
        <w:t xml:space="preserve">- Happy Communication (hereinafter, "Happy");  </w:t>
        <w:br/>
        <w:t xml:space="preserve">- Hourra! Models SARL (hereinafter, "Hourra");  </w:t>
        <w:br/>
        <w:t xml:space="preserve">- Idole Model Management (hereinafter, "Idole");  </w:t>
        <w:br/>
        <w:t xml:space="preserve">- International Management Group (hereinafter, "IMG");  </w:t>
        <w:br/>
        <w:t xml:space="preserve">- International Publicity Service (hereinafter, "IPS");  </w:t>
        <w:br/>
        <w:t xml:space="preserve">- Karin Models (hereinafter, "Karin");  </w:t>
        <w:br/>
        <w:t xml:space="preserve">- The Agency "Kwaheri Studio" (hereinafter, "Kwaheri");  </w:t>
        <w:br/>
        <w:t xml:space="preserve">- Major Model Management Paris, now MP Paris (hereinafter, "Major");  </w:t>
        <w:br/>
        <w:t xml:space="preserve">- Metropolitan Models (hereinafter, "Metropolitan");  </w:t>
        <w:br/>
        <w:t xml:space="preserve">- Marilyn Agency (hereinafter, "Marilyn");  </w:t>
        <w:br/>
        <w:t xml:space="preserve">- Nathalie;  </w:t>
        <w:br/>
        <w:t xml:space="preserve">- Next Management (hereinafter, "Next");  </w:t>
        <w:br/>
        <w:t xml:space="preserve">- New Madison;  </w:t>
        <w:br/>
        <w:t xml:space="preserve">- Nouvelle Ere;  </w:t>
        <w:br/>
        <w:t xml:space="preserve">- Ovation;  </w:t>
        <w:br/>
        <w:t xml:space="preserve">- Agency People-Coccinelle (hereinafter, "People");  </w:t>
        <w:br/>
        <w:t xml:space="preserve">- Perfect Models SARL (hereinafter, "Perfect");  </w:t>
        <w:br/>
        <w:t xml:space="preserve">- Catlinka Privilege (hereinafter, "Privilège");  </w:t>
        <w:br/>
        <w:t xml:space="preserve">- Profil;  </w:t>
        <w:br/>
        <w:t xml:space="preserve">- Rebecca;  </w:t>
        <w:br/>
        <w:t xml:space="preserve">- Smith &amp; Smith Characters (hereinafter, "Smith &amp; Smith");  </w:t>
        <w:br/>
        <w:t xml:space="preserve">- Hinolisari-Success (hereinafter, "Success");  </w:t>
        <w:br/>
        <w:t xml:space="preserve">- V.I.P. Models (hereinafter, "VIP");  </w:t>
        <w:br/>
        <w:t xml:space="preserve">- Viva Model Management (hereinafter, "Viva");  </w:t>
        <w:br/>
        <w:t xml:space="preserve">- Women Management (hereinafter, "Women"); and  </w:t>
        <w:br/>
        <w:t xml:space="preserve">- Zenith Models (hereinafter, "Zenith").  </w:t>
        <w:br/>
        <w:t xml:space="preserve">5. The companies  </w:t>
        <w:br/>
        <w:t xml:space="preserve">- Dynamite;  </w:t>
        <w:br/>
        <w:t xml:space="preserve">- Ovation; and  </w:t>
        <w:br/>
        <w:t xml:space="preserve">- People  </w:t>
        <w:br/>
        <w:t xml:space="preserve">requested to benefit from the procedure of non-contestation of grievances, provided for in III of Article L. 464-2 of the Commercial Code.  </w:t>
        <w:br/>
        <w:t xml:space="preserve">B. THE RELEVANT SECTOR  </w:t>
        <w:br/>
        <w:t xml:space="preserve">1. THE CHARACTERISTICS OF THE SECTOR OF SERVICES PROVIDED BY MODELING AGENCIES  </w:t>
        <w:br/>
        <w:t xml:space="preserve">6. Modeling agencies provide, for a fee, a service of making models available to advertisers, advertising or communication agencies, haute couture houses, fashion designers, etc. (hereinafter, the "client-users").  </w:t>
        <w:br/>
        <w:t xml:space="preserve">7. Modeling agencies are responsible for recruiting models, training them, as well as promoting them (creating "books") to fashion magazines, advertising agencies, haute couture houses, and ready-to-wear. They find contracts for them and negotiate their services with the client-users. They can also manage and organize the model's schedule, transport, and accommodation.  </w:t>
        <w:br/>
        <w:t xml:space="preserve">8. In the context of a modeling service, the relationship between the interested parties is tripartite: as highlighted by the graph below, it links, on the one hand, the modeling agency and the client-user (through, where applicable, communication or advertising agencies) via a contract for making available and, on the other hand, the agency and the model through an employment contract.  </w:t>
        <w:br/>
        <w:t>9</w:t>
      </w:r>
    </w:p>
    <w:p>
      <w:r>
        <w:rPr>
          <w:b/>
        </w:rPr>
        <w:t>[Pages 10–12]</w:t>
      </w:r>
    </w:p>
    <w:p>
      <w:r>
        <w:t>1. 9. When the image rights of the model, that is to say the remuneration due in connection with the sale or exploitation of a recording by the employer or the user, are negotiated and managed by the agency on behalf of the model (general case), a representation mandate must also be concluded (prior to the employment contract) as well as a contract for the transfer of rights setting the proceeds of the said image rights.</w:t>
      </w:r>
    </w:p>
    <w:p>
      <w:r>
        <w:t>a) Characteristics of the offer</w:t>
        <w:br/>
        <w:t>10. The modeling sector and modeling agencies are regulated by Law No. 90-603 of July 12, 1990 "amending the Labor Code and relating to modeling agencies and the protection of children and adults engaged in modeling activities" (codified in Articles L. 7123-1 to L. 7123-32 of the Labor Code) and its implementing decree No. 92-962 of September 9, 1992 as amended (codified in Articles R. 7123-1 to R. 7123-22 of the Labor Code).</w:t>
      </w:r>
    </w:p>
    <w:p>
      <w:r>
        <w:t>11. According to this legislation, only agencies holding a license are authorized to engage in the placement of models for a fee. In 2011, the end date of the notified practices, 62 agencies held a license, out of a total of 93 establishments operating in the national territory (reference 9).</w:t>
      </w:r>
    </w:p>
    <w:p>
      <w:r>
        <w:t>12. There is a great diversity of agencies depending on their reputation, territorial coverage (international, national, or regional agencies), the type of model represented (exclusively men or women, mixed, children, actors) or the services offered (films or advertising shoots, multi-activity agencies, etc.).</w:t>
      </w:r>
    </w:p>
    <w:p>
      <w:r>
        <w:t>13. The sector is characterized by the presence of a few large agencies, which represent models of international renown and negotiate contracts on their behalf with the largest brands. They are located in the main fashion capitals, near major fashion houses (Paris, New York, Milan, London, Barcelona). These include agencies such as Elite, IMG, Marilyn, and Viva.</w:t>
      </w:r>
    </w:p>
    <w:p>
      <w:r>
        <w:t>14. There are also many smaller modeling agencies, mostly located in the provinces and to a lesser extent in the overseas departments.</w:t>
      </w:r>
    </w:p>
    <w:p>
      <w:r>
        <w:t>15. Furthermore, Law No. 2011-302 of March 22, 2011, containing various provisions adapting the legislation to European Union law, supplemented by Decree No. 2011-1001 of August 24, 2011, has opened the possibility for modeling agencies located in a state belonging to the European Economic Area to occasionally engage in this activity on national territory, subject to prior declaration of activity (Article L. 7123-11 of the Labor Code). Foreign agencies availing themselves of this free provision of services are not required to comply with the entire legal and conventional framework applicable to modeling agencies established on French territory (see in this regard the circular from the General Directorate of Labor of the Ministry of Labor, Employment, Vocational Training, and Social Dialogue, dated July 26, 2012).</w:t>
      </w:r>
    </w:p>
    <w:p>
      <w:r>
        <w:t>16. Regarding the total turnover of the sector, Ms. C…, General Secretary of SYNAM, stated in a hearing: "I do not know how much this market represents overall in terms of turnover. The total turnover of our members represented in 2008 142 million euros" (reference 14).</w:t>
      </w:r>
    </w:p>
    <w:p>
      <w:r>
        <w:t>b) Characteristics of the demand</w:t>
        <w:br/>
        <w:t>17. Modeling agencies are in direct contact either with client-users (advertisers and fashion designers) or through intermediaries (communication or advertising agencies).</w:t>
      </w:r>
    </w:p>
    <w:p>
      <w:r>
        <w:t>The client-users</w:t>
        <w:br/>
        <w:t>18. Advertisers are companies from various sectors (automotive, retail, textiles, telecommunications, hygiene-beauty, etc.), which call upon the services of models, particularly for photo shoots and/or advertising films. They generally go through communication or advertising agencies and are therefore not in direct contact with modeling agencies. In France, the main advertisers in terms of spending in 2014 were Renault, Peugeot, Orange, Citroën, and Leclerc (source: UDA, key figures of advertisers 2015).</w:t>
      </w:r>
    </w:p>
    <w:p>
      <w:r>
        <w:t>19. Fashion designers also call upon the services of models, particularly for fashion shows. These include haute couture houses (such as Versace, Christian Dior, Chanel, etc.), tailors, and ready-to-wear designers.</w:t>
      </w:r>
    </w:p>
    <w:p>
      <w:r>
        <w:t>The communication or advertising agencies</w:t>
        <w:br/>
        <w:t>20. Communication or advertising agencies are tasked with assisting their clients in their communication and designing and producing advertising campaigns (press, TV, outdoor, radio, cinema, and Internet). They are the ones who contract with modeling agencies in the context of providing a service on behalf of the client-user.</w:t>
      </w:r>
    </w:p>
    <w:p>
      <w:r>
        <w:t>2. THE LEGAL AND CONVENTIONAL FRAMEWORK</w:t>
        <w:br/>
        <w:t>a) The status of the model</w:t>
        <w:br/>
        <w:t>21. The activity of modeling is governed by Law No. 90-603 of July 12, 1990, codified in Article L. 7123-2 of the Labor Code. This article states that "any person who is responsible for presenting to the public, directly or indirectly through the reproduction of their image on any visual or audiovisual medium, a product, service, or advertising message, or who poses as a model, with or without subsequent use of their image, is considered to be exercising a modeling activity, even if this activity is only exercised occasionally."</w:t>
      </w:r>
    </w:p>
    <w:p>
      <w:r>
        <w:t>22. Consequently, the qualification of model is independent of the degree of notoriety of the person, their age (minor or adult), as well as the professional or occasional nature of the activity or the exercise of another activity as a primary occupation.</w:t>
      </w:r>
    </w:p>
    <w:p>
      <w:r>
        <w:t>23. According to Article L. 7123-3 of the Labor Code, "any contract by which a person secures, for remuneration, the assistance of a model is presumed to be an employment contract." This presumption of an employment contract persists regardless of the amount and mode of remuneration and notwithstanding the qualification given to the contract by the parties (Article L. 7123-4 of the Labor Code).</w:t>
      </w:r>
    </w:p>
    <w:p>
      <w:r>
        <w:t>b) The remuneration of models</w:t>
        <w:br/>
        <w:t>24. Regarding the remuneration of the model, Article L. 7123-6 of the Labor Code distinguishes between (i) the salary portion of the model's remuneration and (ii) the "rights to use their presentation" which are due in connection with the sale or exploitation of the recording of their presentation by the employer or any other user.</w:t>
      </w:r>
    </w:p>
    <w:p>
      <w:r>
        <w:t>25. The provisions of the Labor Code are supplemented by several collective agreements concerning the minimum remuneration of models, notably the national collective agreement for adult models and child models under 16 years employed by modeling agencies of June 22, 2004, extended by order of April 13, 2005, to the entire sector.</w:t>
      </w:r>
    </w:p>
    <w:p>
      <w:r>
        <w:t>The conventional system of minimum gross salaries</w:t>
        <w:br/>
        <w:t>26. The national agreement of February 15, 1991, and its amendment established "minimum gross union salaries for child models under 16 years and adult models employed by modeling agencies."</w:t>
      </w:r>
    </w:p>
    <w:p>
      <w:r>
        <w:t>27. These minimum gross salaries are based on the categorization of modeling services and the classification of models, both provided for by the collective agreement of June 22, 2004.</w:t>
      </w:r>
    </w:p>
    <w:p>
      <w:r>
        <w:t>28. Article 8 of the collective agreement of June 22, 2004 identifies six categories of modeling services: editorial press, advertising and advertising films, catalogs, fashion shows, fittings-rehearsals (references 3948 and 3949).</w:t>
      </w:r>
    </w:p>
    <w:p>
      <w:r>
        <w:t>29. For services performed for editorial press, Article 10 of the collective agreement of June 22, 2004 establishes a specific classification for editorial press, which identifies letter rates (A to G), applicable only to "promotional" press (A).</w:t>
      </w:r>
    </w:p>
    <w:p>
      <w:r>
        <w:rPr>
          <w:b/>
        </w:rPr>
        <w:t>[Pages 13–15]</w:t>
      </w:r>
    </w:p>
    <w:p>
      <w:r>
        <w:t xml:space="preserve">1. or negotiated according to the professional references of the models and the categories of newspapers (B to G) (reference 3950). By way of indication, for 2015, the gross minimum hourly wage ranges from 32.95 euros for a rate A to 83.55 euros for a rate G, as highlighted in the table below:  </w:t>
        <w:br/>
        <w:t>Source: Legifrance, Agreement of March 25, 2015 concerning minimum wages for the year 2015, Annexes</w:t>
      </w:r>
    </w:p>
    <w:p>
      <w:r>
        <w:t xml:space="preserve">30. For services other than photo shoots for editorial press (advertising and fashion shows), Article 9 of the collective agreement of June 22, 2004 establishes a classification of models according to a scale of notoriety ranging from "beginner model" (T7) to "out of category" model whose "qualities are recognized internationally" (&gt; T10). In between, the agreement distinguishes the model with "recent experience" (T8), the model with "recognized experience" having professional references through their "press book" (T9), and finally the higher-level model with "confirmed experience" (T10) (references 3949 and 3950). The conventional minimum wages are set in absolute value for each civil year (hourly rate or daily rate), based on the classifications retained for the models. For example, for 2015, the gross minimum hourly wage (excluding paid leave) for an adult model ranges from 91.80 euros for a T7 to 176.90 euros for a T10, as highlighted in the table below:  </w:t>
        <w:br/>
        <w:t>Source: Legifrance, Agreement of March 25, 2015 concerning minimum wages for the year 2015, Annexes</w:t>
      </w:r>
    </w:p>
    <w:p>
      <w:r>
        <w:t xml:space="preserve">31. For children, the gross minimum wages vary according to the categories of services performed. By way of illustration, the gross minimum hourly wages have been set for the year 2015 as follows:  </w:t>
        <w:br/>
        <w:t>Source: Legifrance, Agreement of March 25, 2015 concerning minimum wages for the year 2015, Annexes</w:t>
      </w:r>
    </w:p>
    <w:p>
      <w:r>
        <w:t>32. The conventional minimum wages are subject to an annual mandatory negotiation (hereinafter, the "AMN"), in accordance with Article L. 2241-1 of the Labor Code. This negotiation – which at the time of the practices generally took place at the end of the year for application at the beginning of the following civil year (reference 8506) – practically determines the percentage(s) of variation applicable to the conventional gross minimum wages resulting from the previous negotiation. Thus, for example, the agreement of March 25, 2015 provides for a 2% increase in the minimum gross hourly wages of adult models classified in categories 7 to 10 and A to G.</w:t>
      </w:r>
    </w:p>
    <w:p>
      <w:r>
        <w:t xml:space="preserve">The rules regarding the minimum percentage of remuneration  </w:t>
        <w:br/>
        <w:t>33. In addition to the provisions regarding the minimum wages of models, Article L. 7123-7 of the Labor Code states that "the salary received by a model for a given service cannot be less than a minimum percentage of the amounts paid on that occasion by the user to the modeling agency."</w:t>
      </w:r>
    </w:p>
    <w:p>
      <w:r>
        <w:t>34. Article 5 of the collective agreement of June 22, 2004 thus specifies differentiated minimum ratios according to the major categories of services for adult models: (i) minimum percentage of 33% for services intended for the press and (ii) minimum percentage of 36% for advertising. Regarding child models under 16 years of age, Article 5 provides for a uniform rate of 31% (reference 3947).</w:t>
      </w:r>
    </w:p>
    <w:p>
      <w:r>
        <w:t xml:space="preserve">The articulation of the different provisions regarding minimum remuneration  </w:t>
        <w:br/>
        <w:t>35. The rules regarding gross minimum wages and those concerning minimum percentages of remuneration are cumulative. Thus, the application of the floor salary – determined based on a percentage of the amounts paid by the client-user to the modeling agency – cannot be retained if the floor salary is less favorable than the conventional gross minimum wage, as provided by the last paragraph of Article 5 of the collective agreement of June 22, 2004 (reference 3947).</w:t>
      </w:r>
    </w:p>
    <w:p>
      <w:r>
        <w:t>36. Modeling agencies are therefore required to apply the rule most favorable to the employee. In practice, it is generally the hourly rate resulting from the application of the minimum percentage that is most favorable to the model (reference 2379).</w:t>
      </w:r>
    </w:p>
    <w:p>
      <w:r>
        <w:t xml:space="preserve">Remuneration for image rights  </w:t>
        <w:br/>
        <w:t>37. The remuneration due to the model for the transfer of their rights for the exploitation of the recording of their presentation is distinguished from the remuneration for their initial service and is subject to a separate rights transfer contract from the employment contract.</w:t>
      </w:r>
    </w:p>
    <w:p>
      <w:r>
        <w:t>38. However, in accordance with Article 16-4 of the collective agreement of June 22, 2004, the model's presentation service includes the right to use their image in France for 12 months solely in the press and in mail-order catalogs (hereinafter, "MOC"), regardless of the nature of the medium, provided that this use does not involve any additional sale within the meaning of Article L. 7123-6 of the Labor Code (reference 3955).</w:t>
      </w:r>
    </w:p>
    <w:p>
      <w:r>
        <w:t>39. For other uses and transfers of image rights, models usually entrust the defense, negotiation, and management of their rights to the modeling agency – by means of a representation mandate – with the understanding that the execution of the representation mandate results in a commission for the agency whose amount is determined by Article 16-6 of the collective agreement (reference 3956). The model then receives, in respect of image rights, an amount corresponding to the rights billed to the client, net of the commissions remunerating the agency's representative activity.</w:t>
      </w:r>
    </w:p>
    <w:p>
      <w:r>
        <w:t xml:space="preserve">c) Evolution of the legal framework governing the rates for the provision of models  </w:t>
        <w:br/>
        <w:t xml:space="preserve">The regime of administered prices for modeling agency services  </w:t>
        <w:br/>
        <w:t>40. Until 1986, the regulation "required a convention concerning the 'rates for services related to models'" to which agencies had to adhere (reference 237). The said convention was validated by prefectural order in application of the amended ministerial order No. 25626 of November 29, 1968 concerning the prices of all products and services (references 9736 and 9737).</w:t>
      </w:r>
    </w:p>
    <w:p>
      <w:r>
        <w:t>41. This regime of administered prices for services related to models was established under the authority of Ordinance No. 45-1483 of June 30, 1945 concerning prices and Ordinance No. 45-1484 concerning the ascertainment, prosecution, and repression of violations of economic regulation.</w:t>
      </w:r>
    </w:p>
    <w:p>
      <w:r>
        <w:t>42. In this context of administered prices, and as specified by the general secretary of SYNAM in a letter addressed to the DGCCRF on April 27, 2011, "it was necessary each year to communicate the rates that were to apply at the time to all agencies" (reference 237).</w:t>
      </w:r>
    </w:p>
    <w:p>
      <w:r>
        <w:t xml:space="preserve">The end of the administered price system  </w:t>
        <w:br/>
        <w:t>43. The two aforementioned ordinances were repealed – respectively on January 1, 1987, and December 9, 1986 – by Ordinance No. 86-1243 of December 1, 1986 concerning price and competition freedom, ending the regime of administered prices.</w:t>
      </w:r>
    </w:p>
    <w:p>
      <w:r>
        <w:t>44. From that date, the pricing of modeling agency services has been governed by the principle of price freedom referred to in Article L. 410-2 of the Commercial Code, which states in its first paragraph: "unless otherwise provided by law, the prices of goods, products, and services previously subject to Ordinance No. 45-1483 of June 30, 1945 are freely determined by the play of competition."</w:t>
      </w:r>
    </w:p>
    <w:p>
      <w:r>
        <w:rPr>
          <w:b/>
        </w:rPr>
        <w:t>[Pages 16–18]</w:t>
      </w:r>
    </w:p>
    <w:p>
      <w:r>
        <w:t xml:space="preserve">1.  </w:t>
        <w:br/>
        <w:t xml:space="preserve">3. THE TERMS OF COMMERCIAL NEGOTIATION BETWEEN MODEL AGENCIES AND CLIENT-USERS  </w:t>
        <w:br/>
        <w:t xml:space="preserve">a) General terms of price negotiation in the sector  </w:t>
        <w:br/>
        <w:t xml:space="preserve">45. The concrete terms of price negotiation have been outlined by several heads of modeling agencies:  </w:t>
        <w:br/>
        <w:t xml:space="preserve">- According to the head of the Success agency, "Clients put us in competition among agencies. The client has a budget and the negotiation takes place during the selection of the model (...). If our proposal does not fit within the budget (...), the negotiation can concern the rights that will be set but also the working day, and additional expenses. The client can either request a specific model (...) or more broadly a certain type of model corresponding to a T7, T8 rate (...). The negotiation can also take place by agreeing to downgrade the model's qualification and move from a T9 to a T8, for example" (reference 2364);  </w:t>
        <w:br/>
        <w:t xml:space="preserve">- The financial director of the IMG agency provides details regarding the course of commercial negotiation depending on the type of client: "Either the client submits a budget to us, which is often already assessed based on grids that are specific to them (advertising agencies) and which include a T7, T8 rate, ... and the amount of image rights possibly. In this case, we propose models for the rate they request or they have an idea of the model they want and that is where the negotiation begins (...). Either the clients are mainly French designers and they impose a rate (...)" (references 3192 and 3193);  </w:t>
        <w:br/>
        <w:t xml:space="preserve">- The president of the Viva agency considers that it sometimes happens that "the client wishes to have a particular model and it is possible at that moment to apply the rate corresponding to their qualification" (reference 3386);  </w:t>
        <w:br/>
        <w:t xml:space="preserve">- The president of the Nathalie agency confirms the conditions of commercial negotiation: "Client users often have a budget and we propose models that correspond to their budget (...). The pricing of models T7, T8, etc. is not a fixed pricing. A model can be billed T7 one day and then T10 the next day before going back down to a T8" (references 11423 and 3923);  </w:t>
        <w:br/>
        <w:t xml:space="preserve">- Finally, the head of the Marilyn agency and former president of SAM and then SYNAM believes that negotiation based on the client's budget is predominant while emphasizing the theoretical nature of the model classification: "In most cases, it is more of a negotiation, the client proposing a budget, defining criteria, and we look for the model that corresponds to the budget and the provided criteria (...). The qualification of the model as defined by the texts (T7, T8, etc.) is very theoretical since the same model can accept different qualification rates depending on the nature of the work, the client, the exposure" (references 430 and 431).  </w:t>
        <w:br/>
        <w:t xml:space="preserve">46. It follows from these converging statements that price negotiation is most often constrained by the client's budget. Depending on this budget, the agency directs the client towards a certain category of models. However, the negotiation can also concern – in agreement with the model and depending on their performance – a possible downgrading or upgrading compared to their actual category (for example, a T9 class model may agree to be paid based on a T7), it being understood that the last paragraph of Article 9 of the collective agreement of June 22, 2004 allows for negotiation between the agency and the client-user based on a change in the model's classification:  </w:t>
        <w:br/>
        <w:t xml:space="preserve">1. "The agency may propose to the model a service corresponding to a classification lower or higher than that which they previously attained, provided that the remuneration corresponds to the minimum gross remuneration as defined by Articles 6 and 9 of this agreement, as well as by Annex 1. The model will remain free to accept it" (reference 3950).  </w:t>
        <w:br/>
        <w:t xml:space="preserve">b) Specificities of "Fashion Week"  </w:t>
        <w:br/>
        <w:t xml:space="preserve">47. There is a specific period in the field of modeling, namely "Fashion Week." The Paris "Fashion Week" is one of the four main international fashion show weeks, along with those in London, Milan, and New York.  </w:t>
        <w:br/>
        <w:t xml:space="preserve">48. In Paris, the biggest fashion brands present up to six collections a year. Therefore, there are several "weeks" throughout the year, mainly two reserved for haute couture (January and July), two for men's fashion (January and June), and two others for ready-to-wear (March and September), with the dates determined by the French Federation of Couture. During these periods, the "bookings" of models for the shows are made within very tight deadlines, sometimes just a few hours.  </w:t>
        <w:br/>
        <w:t xml:space="preserve">49. Thus, as noted by a "booker" at Elite Model Management, "For fashion weeks, it is very rare to know well in advance for whom the models will be walking. It is often two days before, or even on the same day!" (reference 30284). Similarly, in an interview with the newspaper Le Parisien, the casting director of Jean-Paul Gaultier states that "The finalization of the casting takes place just 24 hours before the show" (reference 30285).  </w:t>
        <w:br/>
        <w:t xml:space="preserve">C. THE COMPANIES AND ORGANIZATIONS CONCERNED  </w:t>
        <w:br/>
        <w:t xml:space="preserve">1. THE UNIONS OF MODEL AGENCIES  </w:t>
        <w:br/>
        <w:t xml:space="preserve">a) The Union of Model Agencies (SAM)  </w:t>
        <w:br/>
        <w:t xml:space="preserve">50. Without being able to provide a precise date for the creation of this union, the general secretary of SYNAM stated that the Union of Model Agencies (hereinafter "SAM") would have been created "in the 70s, late 70s or early 80s" (reference 8503).  </w:t>
        <w:br/>
        <w:t xml:space="preserve">51. The documents submitted to the file attest with certainty to the existence of SAM at least since 1986:  </w:t>
        <w:br/>
        <w:t xml:space="preserve">- Publication of a tariff grid from SAM for the year 1986 (reference 9744);  </w:t>
        <w:br/>
        <w:t xml:space="preserve">- Publication of a report on models and modeling agencies from January 1987 for which SAM was consulted (reference 9743).  </w:t>
        <w:br/>
        <w:t xml:space="preserve">52. SAM legally ceased to exist upon its merger with UNAM on February 6, 2009.  </w:t>
        <w:br/>
        <w:t xml:space="preserve">53. In February 2009, SAM consisted of the following agencies: Bananas Mambo, City, Elite, Ford, Karin, Marilyn, Metropolitan, Nathalie, Next, Success, Viva, and Women (references 10201 and 10202).  </w:t>
        <w:br/>
        <w:t xml:space="preserve">b) The National Union of Model Agencies (UNAM)  </w:t>
        <w:br/>
        <w:t xml:space="preserve">54. The National Union of Model Agencies (hereinafter "UNAM") is a union of modeling agencies founded in December 1992 and legally ceased to exist upon its merger with SAM on February 6, 2009.  </w:t>
        <w:br/>
        <w:t xml:space="preserve">55. Its website indicated that it was overwhelmingly the majority in the profession among agencies holding a state license (two-thirds of these agencies) and that it was the only union in the profession recognized as representative by employee unions. It brought together "equally, Parisian agencies, agencies from major provincial cities and overseas territories, as well as almost all child agencies."  </w:t>
        <w:br/>
        <w:t xml:space="preserve">56. In February 2009, UNAM consisted of the following agencies:  </w:t>
        <w:br/>
        <w:t xml:space="preserve">- Seventeen Parisian agencies: Bout'chou, People, Crystal, Cute, DI, Dynamite, Frimousse, Happy, Idole, IMG, New Madison, Nouvelle Ere, Ovation, Profil, Rebecca, Smith &amp; Smith, and Women;  </w:t>
        <w:br/>
        <w:t xml:space="preserve">- Twelve provincial agencies: Art et Mode, Clas'Mode, Enjoy, Exception, Hourra, IPS, Kalao, Kwahéri, Perfect, Privilege, Sindy Bop, and Zenith (reference 10200).  </w:t>
        <w:br/>
        <w:t xml:space="preserve">c) The National Union of Model Agencies (SYNAM)  </w:t>
        <w:br/>
        <w:t xml:space="preserve">Creation of SYNAM  </w:t>
        <w:br/>
        <w:t xml:space="preserve">57. SYNAM is, according to the presentation made on its website, "a professional union that brings together about fifty modeling agencies located in metropolitan France and overseas, representing the vast majority of the profession both in terms of market share generated and the notoriety of the French and international models represented."  </w:t>
        <w:br/>
        <w:t xml:space="preserve">58. Created in February 2009, SYNAM results from the merger of UNAM and SAM (reference 121). The preamble of SYNAM's statutes specifies the reasons for this merger, invoking the uniqueness of the profession despite the diversity of agencies (profile, size, location): "The creation of a unified union entity, respecting the specificities of the members, appears necessary to defend the collective and individual interests of modeling agencies. To this end, it was appropriate to establish an organization that brings together resources, strengthens and perpetuates means of action, and allows all members to find support suited to their needs" (reference 104).  </w:t>
        <w:br/>
        <w:t xml:space="preserve">Organization of SYNAM  </w:t>
        <w:br/>
        <w:t xml:space="preserve">59. The SYNAM website clarifies the missions of the union: "Our union aims to federate modeling agencies in order to present a single interlocutor to clients and the administration. Our objective is (...) to inform professionals in communication and fashion about the terms of availability of models represented by our members."  </w:t>
        <w:br/>
        <w:t>60. According to Article 17 of the statutes, the union consists of a board of directors, elected by the general assembly, an executive bureau designated from within by the board of directors (composed notably of a president and a general secretary), and four commissions corresponding to the different sectors of activity of the member agencies (multi-activity and/or international agencies, advertising films, children, and other generalist agencies) (reference 109).</w:t>
      </w:r>
    </w:p>
    <w:p>
      <w:r>
        <w:rPr>
          <w:b/>
        </w:rPr>
        <w:t>[Pages 19–21]</w:t>
      </w:r>
    </w:p>
    <w:p>
      <w:r>
        <w:t xml:space="preserve">1.  </w:t>
        <w:br/>
        <w:t xml:space="preserve">61. Article 29 of the statutes specifies that the general assembly – which is composed of all members in good standing with their contributions – is "the sovereign body of the union." According to Article 30, the general assembly "deliberates on all matters listed on the agenda either by the board or by the assembly itself by a two-thirds majority" (reference 115).  </w:t>
        <w:br/>
        <w:t xml:space="preserve">Members of SYNAM  </w:t>
        <w:br/>
        <w:t xml:space="preserve">62. At the time of its creation, the members of SAM and UNAM automatically became members of SYNAM, as provided for in Article 37 of the statutes of SYNAM adopted at the founding assembly on February 6, 2009: "the principle of global membership of all members currently belonging to SAM and UNAM (was adopted) provided that each agency is up to date with the payment of its contributions to its initial union" (reference 118).  </w:t>
        <w:br/>
        <w:t xml:space="preserve">63. In December 2008, UNAM estimated that the new union represented 80% of the profession's turnover, 90% of models working in agencies, and 100% of international models working in France (reference 10193).  </w:t>
        <w:br/>
        <w:t xml:space="preserve">64. In 2010, SYNAM had 42 member agencies (reference 16810).  </w:t>
        <w:br/>
        <w:t xml:space="preserve">2. THE AGENCIES IN QUESTION  </w:t>
        <w:br/>
        <w:t xml:space="preserve">65. The following table presents the main data relating to the member modeling agencies of SYNAM that received the notification of grievances:  </w:t>
        <w:br/>
        <w:t xml:space="preserve">Membership  </w:t>
        <w:br/>
        <w:t xml:space="preserve">Date of Date  </w:t>
        <w:br/>
        <w:t xml:space="preserve">Agency RCS No. union before Agency's seat CA 2010  </w:t>
        <w:br/>
        <w:t xml:space="preserve">creation membership  </w:t>
        <w:br/>
        <w:t xml:space="preserve">SYNAM  </w:t>
        <w:br/>
        <w:t xml:space="preserve">17 rue des Petits  </w:t>
        <w:br/>
        <w:t xml:space="preserve">DI 722 034 899 1972 UNAM 1972 Champs 75 001 2 575 609  </w:t>
        <w:br/>
        <w:t xml:space="preserve">Paris  </w:t>
        <w:br/>
        <w:t xml:space="preserve">34 rue du Fg  </w:t>
        <w:br/>
        <w:t xml:space="preserve">Angels 500 526 256 2007 not specified Before 2010 Saint-Honoré 1 088 897  </w:t>
        <w:br/>
        <w:t xml:space="preserve">75 008 Paris  </w:t>
        <w:br/>
        <w:t xml:space="preserve">Parc d’activité La  </w:t>
        <w:br/>
        <w:t xml:space="preserve">Ravoire 74370  </w:t>
        <w:br/>
        <w:t xml:space="preserve">Art et Mode 451 427 108 2004 UNAM 2004 Metz-Tessy 293 121  </w:t>
        <w:br/>
        <w:t xml:space="preserve">9 rue Duphot  </w:t>
        <w:br/>
        <w:t xml:space="preserve">Bananas Mambo 345 251 565 1988 SAM 1988 3 540 892  </w:t>
        <w:br/>
        <w:t xml:space="preserve">75 001 Paris  </w:t>
        <w:br/>
        <w:t xml:space="preserve">22 rue Brey  </w:t>
        <w:br/>
        <w:t xml:space="preserve">Bout’Chou 389 783 564 1993 UNAM 1993 143 161  </w:t>
        <w:br/>
        <w:t xml:space="preserve">75 017 Paris  </w:t>
        <w:br/>
        <w:t xml:space="preserve">32 rue de  </w:t>
        <w:br/>
        <w:t xml:space="preserve">City 519 525 323 2010 None Not applicable Penthièvre 1 745 137  </w:t>
        <w:br/>
        <w:t xml:space="preserve">75 008 Paris  </w:t>
        <w:br/>
        <w:t xml:space="preserve">16 rue de la  </w:t>
        <w:br/>
        <w:t xml:space="preserve">Crystal 331 037 705 1984 UNAM 1984 Grange Batelière 3 917 660  </w:t>
        <w:br/>
        <w:t xml:space="preserve">75009 Paris  </w:t>
        <w:br/>
        <w:t xml:space="preserve">28 rue Cardinet  </w:t>
        <w:br/>
        <w:t xml:space="preserve">Cute 328 747 571 1984 UNAM 1999 860 950  </w:t>
        <w:br/>
        <w:t xml:space="preserve">75 017 Paris  </w:t>
        <w:br/>
        <w:t xml:space="preserve">41 rue Godot de  </w:t>
        <w:br/>
        <w:t xml:space="preserve">Dynamite 327 095 626 1983 UNAM 1983 Mauroy 75009 2 355 478  </w:t>
        <w:br/>
        <w:t xml:space="preserve">Paris  </w:t>
        <w:br/>
        <w:t xml:space="preserve">19  </w:t>
        <w:br/>
        <w:t xml:space="preserve">1.  </w:t>
        <w:br/>
        <w:t xml:space="preserve">19 av. George V  </w:t>
        <w:br/>
        <w:t xml:space="preserve">Elite 722 002 110 1972 SAM before 2010 10 028 598  </w:t>
        <w:br/>
        <w:t xml:space="preserve">75 008 Paris  </w:t>
        <w:br/>
        <w:t xml:space="preserve">445 083 421 27-29 av. Jean  </w:t>
        <w:br/>
        <w:t xml:space="preserve">Enjoy 2003 UNAM 2005 Médecin 06000 1 245 585  </w:t>
        <w:br/>
        <w:t xml:space="preserve">Nice  </w:t>
        <w:br/>
        <w:t xml:space="preserve">415 052 760 34-36 Place  </w:t>
        <w:br/>
        <w:t xml:space="preserve">Exception 1998 UNAM 2000 Général de Gaulle 581 189  </w:t>
        <w:br/>
        <w:t xml:space="preserve">59000 Lille  </w:t>
        <w:br/>
        <w:t xml:space="preserve">3 rue de Choiseul  </w:t>
        <w:br/>
        <w:t xml:space="preserve">Ford 399 789 056 1995 SAM 1995 6 600 565  </w:t>
        <w:br/>
        <w:t xml:space="preserve">75 008 Paris  </w:t>
        <w:br/>
        <w:t xml:space="preserve">8 rue de Ponthieu  </w:t>
        <w:br/>
        <w:t xml:space="preserve">Frimousse 323 802 322 1982 UNAM 1999 2 127 703  </w:t>
        <w:br/>
        <w:t xml:space="preserve">75 008 Paris  </w:t>
        <w:br/>
        <w:t xml:space="preserve">17 rue de Calais  </w:t>
        <w:br/>
        <w:t xml:space="preserve">Happy 447 548 272 2005 UNAM 2006 1 132 277  </w:t>
        <w:br/>
        <w:t xml:space="preserve">75 009 Paris  </w:t>
        <w:br/>
        <w:t xml:space="preserve">Cedex 209-  </w:t>
        <w:br/>
        <w:t xml:space="preserve">349 872 408 Chemin de la  </w:t>
        <w:br/>
        <w:t xml:space="preserve">Hourra 1989 UNAM not specified Charlotte 06330 1 145 998  </w:t>
        <w:br/>
        <w:t xml:space="preserve">Roquefort les  </w:t>
        <w:br/>
        <w:t xml:space="preserve">pins  </w:t>
        <w:br/>
        <w:t xml:space="preserve">3 rue du Cirque  </w:t>
        <w:br/>
        <w:t xml:space="preserve">Idole 395 139 744 1994 UNAM 2004 513 511  </w:t>
        <w:br/>
        <w:t xml:space="preserve">75 008 Paris  </w:t>
        <w:br/>
        <w:t xml:space="preserve">5 Bis Rue Mahias  </w:t>
        <w:br/>
        <w:t xml:space="preserve">92100 Boulogne-  </w:t>
        <w:br/>
        <w:t xml:space="preserve">Billancourt  </w:t>
        <w:br/>
        <w:t xml:space="preserve">(headquarters)  </w:t>
        <w:br/>
        <w:t xml:space="preserve">IMG Models 324 031 137 1995 UNAM 2001 28 899 682  </w:t>
        <w:br/>
        <w:t xml:space="preserve">8 rue Danielle  </w:t>
        <w:br/>
        <w:t xml:space="preserve">Casanova 75002  </w:t>
        <w:br/>
        <w:t xml:space="preserve">Paris (secondary  </w:t>
        <w:br/>
        <w:t xml:space="preserve">establishment)  </w:t>
        <w:br/>
        <w:t xml:space="preserve">IPS 1 À Chemin de  </w:t>
        <w:br/>
        <w:t xml:space="preserve">379 697 519 2003 UNAM not specified Tanneron 06530 89 923  </w:t>
        <w:br/>
        <w:t xml:space="preserve">Peymeinade  </w:t>
        <w:br/>
        <w:t xml:space="preserve">9 av. Hoche  </w:t>
        <w:br/>
        <w:t xml:space="preserve">Karin 309 421 576 1977 SAM not specified 8 312 604  </w:t>
        <w:br/>
        <w:t xml:space="preserve">75 008 Paris  </w:t>
        <w:br/>
        <w:t xml:space="preserve">95 rue Jules  </w:t>
        <w:br/>
        <w:t xml:space="preserve">Auber 97400  </w:t>
        <w:br/>
        <w:t xml:space="preserve">Kwaheri 418 251 906 1998 UNAM 2000 122 422  </w:t>
        <w:br/>
        <w:t xml:space="preserve">Saint-Denis de La  </w:t>
        <w:br/>
        <w:t xml:space="preserve">Réunion  </w:t>
        <w:br/>
        <w:t xml:space="preserve">14 rue Favart  </w:t>
        <w:br/>
        <w:t xml:space="preserve">Major 452 221 500 2004 none Not applicable 2 509 095  </w:t>
        <w:br/>
        <w:t xml:space="preserve">75 002 Paris  </w:t>
        <w:br/>
        <w:t xml:space="preserve">37 bis av. d’Iena  </w:t>
        <w:br/>
        <w:t xml:space="preserve">Metropolitan 337 929 277 1986 SAM not specified 6 658 265  </w:t>
        <w:br/>
        <w:t xml:space="preserve">75 016 Paris  </w:t>
        <w:br/>
        <w:t xml:space="preserve">4 rue de la Paix  </w:t>
        <w:br/>
        <w:t xml:space="preserve">Marilyn 332 442 383 1985 SAM not specified 15 955 070  </w:t>
        <w:br/>
        <w:t xml:space="preserve">75 002 Paris  </w:t>
        <w:br/>
        <w:t xml:space="preserve">Nathalie 6 rue de Braque  </w:t>
        <w:br/>
        <w:t xml:space="preserve">401 846 803 1995 SAM 1995 4 585 561  </w:t>
        <w:br/>
        <w:t xml:space="preserve">75 003 Paris  </w:t>
        <w:br/>
        <w:t xml:space="preserve">10 rue aux Ours  </w:t>
        <w:br/>
        <w:t xml:space="preserve">New Madison 452 626 617 2004 UNAM 2008-2009 4 133 855  </w:t>
        <w:br/>
        <w:t xml:space="preserve">75003 Paris  </w:t>
        <w:br/>
        <w:t xml:space="preserve">11 rue Bichat  </w:t>
        <w:br/>
        <w:t xml:space="preserve">Nouvelle Ere 449 766 690 2003 UNAM 2004 2 131 432  </w:t>
        <w:br/>
        <w:t xml:space="preserve">75 010 Paris  </w:t>
        <w:br/>
        <w:t xml:space="preserve">9 Bd de la  </w:t>
        <w:br/>
        <w:t xml:space="preserve">Next 408 231 785 1996 UNAM 1996-2007 Madeleine 75 001 2 897 415  </w:t>
        <w:br/>
        <w:t xml:space="preserve">Paris  </w:t>
        <w:br/>
        <w:t xml:space="preserve">37 rue des  </w:t>
        <w:br/>
        <w:t xml:space="preserve">Ovation 378 336 580 1990 UNAM not specified Mathurins 869 048  </w:t>
        <w:br/>
        <w:t xml:space="preserve">75 008 Paris  </w:t>
        <w:br/>
        <w:t xml:space="preserve">34 bis rue Vignon  </w:t>
        <w:br/>
        <w:t xml:space="preserve">People 329 951 271 1983 UNAM not specified 1 219 670  </w:t>
        <w:br/>
        <w:t xml:space="preserve">75 009 Paris  </w:t>
        <w:br/>
        <w:t xml:space="preserve">20  </w:t>
        <w:br/>
        <w:t xml:space="preserve">1.  </w:t>
        <w:br/>
        <w:t xml:space="preserve">51 Bd de la  </w:t>
        <w:br/>
        <w:t xml:space="preserve">Perfect 401 130 935 1995 UNAM 1998 Liberté 59 000 1 356 641  </w:t>
        <w:br/>
        <w:t xml:space="preserve">Lille  </w:t>
        <w:br/>
        <w:t xml:space="preserve">Villa Maria Plain  </w:t>
        <w:br/>
        <w:t xml:space="preserve">102 Bd. De la  </w:t>
        <w:br/>
        <w:t xml:space="preserve">Privilege 495 232 357 before 2007 UNAM 2009 Croisette 213 760  </w:t>
        <w:br/>
        <w:t xml:space="preserve">06400 Cannes  </w:t>
        <w:br/>
        <w:t xml:space="preserve">11 Rue des  </w:t>
        <w:br/>
        <w:t xml:space="preserve">Profil 398 063 719 1994 UNAM 2005 Arquebusiers 1 536 937  </w:t>
        <w:br/>
        <w:t xml:space="preserve">75 003 Paris  </w:t>
        <w:br/>
        <w:t xml:space="preserve">9 av. Hoche  </w:t>
        <w:br/>
        <w:t xml:space="preserve">Rebecca 349 832 733 1989 UNAM 1999 3 720 896  </w:t>
        <w:br/>
        <w:t xml:space="preserve">75 008 Paris  </w:t>
        <w:br/>
        <w:t xml:space="preserve">24 rue des  </w:t>
        <w:br/>
        <w:t xml:space="preserve">Smith and Smith 423 364 546 1999 UNAM 2000 Amandiers 526 869  </w:t>
        <w:br/>
        <w:t xml:space="preserve">75 020 Paris  </w:t>
        <w:br/>
        <w:t xml:space="preserve">11 Rue des  </w:t>
        <w:br/>
        <w:t xml:space="preserve">Success 342 502 390 1987 SAM 1990 Arquebusiers 5 262 624  </w:t>
        <w:br/>
        <w:t xml:space="preserve">75 003 Paris  </w:t>
        <w:br/>
        <w:t xml:space="preserve">1 rue Saint  </w:t>
        <w:br/>
        <w:t xml:space="preserve">VIP 480 104 132 2005 none Not applicable Antoine 75 004 2 240 775  </w:t>
        <w:br/>
        <w:t xml:space="preserve">Paris  </w:t>
        <w:br/>
        <w:t xml:space="preserve">15 rue Duphot  </w:t>
        <w:br/>
        <w:t xml:space="preserve">Viva 327 203 923 1983 SAM 1988 13 698 929  </w:t>
        <w:br/>
        <w:t xml:space="preserve">75 001 Paris  </w:t>
        <w:br/>
        <w:t xml:space="preserve">SAM 2003-2009 3 rue Meyerbeer  </w:t>
        <w:br/>
        <w:t xml:space="preserve">Women 423 649 607 1999 8 414 685  </w:t>
        <w:br/>
        <w:t xml:space="preserve">UNAM 2000-2008 75 009 Paris  </w:t>
        <w:br/>
        <w:t xml:space="preserve">6 rue du Stade  </w:t>
        <w:br/>
        <w:t xml:space="preserve">Zenith 411 589 575 1997 UNAM not specified 67 207 117 797  </w:t>
        <w:br/>
        <w:t xml:space="preserve">Niederhausbergen  </w:t>
        <w:br/>
        <w:t xml:space="preserve">Total CA 2010 155 370 286  </w:t>
        <w:br/>
        <w:t xml:space="preserve">D. THE PRACTICES IDENTIFIED  </w:t>
        <w:br/>
        <w:t xml:space="preserve">1. THE DEVELOPMENT AND DISSEMINATION OF UNION TARIFF SCHEDULES  </w:t>
        <w:br/>
        <w:t xml:space="preserve">66. It appears from the elements present in the file that SYNAM and its predecessors (UNAM and SAM) continued to develop and disseminate, after the disappearance of the administered price system in 1987, annual schedules of the rates for modeling agency services.  </w:t>
        <w:br/>
        <w:t xml:space="preserve">a) The history of union schedules  </w:t>
        <w:br/>
        <w:t xml:space="preserve">67. According to the statements of the president and the general secretary of SYNAM, the tariff schedules corresponded to the "customs and practices of the profession since at least the 1980s" and constituted the continuation of the rates filed with the prefecture under the price control regime (references 8504 to 8505).  </w:t>
        <w:br/>
        <w:t>68. Notwithstanding the disappearance of the administered price system, the general secretary of SYNAM indicated that the "concerned professions (Advertisers, Communication Agencies, production companies, etc.) have become accustomed, since that distant period, to consult these schedules to establish their budget forecasts by incorporating the average cost of services of the model(s) planned in their budget" (reference 237). The persistence of the development</w:t>
      </w:r>
    </w:p>
    <w:p>
      <w:r>
        <w:rPr>
          <w:b/>
        </w:rPr>
        <w:t>[Pages 22–24]</w:t>
      </w:r>
    </w:p>
    <w:p>
      <w:r>
        <w:t xml:space="preserve">1. and the communication of the grids by successive unions would, according to SYNAM, respond to a constant demand from clients.  </w:t>
        <w:br/>
        <w:t xml:space="preserve">b) The content of the union grids  </w:t>
        <w:br/>
        <w:t xml:space="preserve">69. The pricing grids disseminated by SAM, UNAM, and then SYNAM reflect the categorization of modeling services into two distinct grids: one related to "photo shoots and advertising runway" and the other "editorial." They also include the classification of models into classes, ranging from T7 to T50, as well as the "letter" classification from A to G, as provided by the collective agreement of June 22, 2004. Additionally, there is a specific grid for children, detailed according to the nature of the service and the age group (children or juniors) (reference 11230).  </w:t>
        <w:br/>
        <w:t xml:space="preserve">70. The rates are broken down for each category of services according to the conventional classification of models and based on the number of hours of services.  </w:t>
        <w:br/>
        <w:t xml:space="preserve">71. The following annual pricing grids are present in the file:  </w:t>
        <w:br/>
        <w:t xml:space="preserve">- for SAM: the years 1986 to 1995, 1997, 1998, 2003, and 2005 (references 9843 to 9867);  </w:t>
        <w:br/>
        <w:t xml:space="preserve">- for UNAM (established in 1992): the years 1998 and 2000 to 2009 (references 9822 to 9841, references 11231 and 11232, and reference 25);  </w:t>
        <w:br/>
        <w:t xml:space="preserve">- for SYNAM: the years 2010 and 2011 (references 171 and 172, reference 11230).  </w:t>
        <w:br/>
        <w:t xml:space="preserve">72. By way of illustration, the pricing grid of SYNAM for the year 2010 is reproduced below (references 171 and 172):  </w:t>
        <w:br/>
        <w:t xml:space="preserve">73. The presentation comment of the grid specifies the basis for calculating the rates as well as the costs taken into account: "these rates are understood to be exclusive of taxes and include all charges and the agency commission. They are calculated based on the salaries provided for by the collective agreement concluded on June 22, 2004, between the social partners, SAM, and UNAM (provisions taken over since February 6, 2009, by SYNAM in place of SAM and UNAM) and the average percentage applied within the meaning of Article L. 7123-7 of the Labor Code" (reference 171).  </w:t>
        <w:br/>
        <w:t xml:space="preserve">74. For the grid related to runway shows as well as photo shoots or advertising filming, the rates "include the transfer of rights for the Press or mail-order catalogs for one year in France" (reference 171).  </w:t>
        <w:br/>
        <w:t xml:space="preserve">75. The grids disseminated by SAM and UNAM are similar, with the main differentiation concerning the extent of the classification of models, which is limited to 4 classes by SAM (7 to 10) and has been expanded beyond class 10 by UNAM (and then by SYNAM), as evidenced by the grids reproduced below:  </w:t>
        <w:br/>
        <w:t xml:space="preserve">- SAM grid for the year 2005 (reference 9867):  </w:t>
        <w:br/>
        <w:t>- UNAM grid for the year 2005 (references 9832 and 9833):</w:t>
      </w:r>
    </w:p>
    <w:p>
      <w:r>
        <w:rPr>
          <w:b/>
        </w:rPr>
        <w:t>[Pages 25–27]</w:t>
      </w:r>
    </w:p>
    <w:p>
      <w:r>
        <w:t>1.</w:t>
        <w:br/>
        <w:t>76. During a hearing by the DGCCRF on October 14, 2010, the general secretary of SYNAM specified that the rates of the union grids "are composed of the gross salary of the models set by the collective agreement, plus paid leave, employer contributions, plus the agency commission (maximum 20%). The agency's gross margin is approximately 30%" (reference 99).</w:t>
      </w:r>
    </w:p>
    <w:p>
      <w:r>
        <w:t>77. Several documents in the file allow us to observe that the unions have thus developed and communicated to their members distinct pricing grids from the minimum remuneration tables for models:</w:t>
        <w:br/>
        <w:t>Minimum Grids Pricing Grids</w:t>
        <w:br/>
        <w:t>Document</w:t>
        <w:br/>
        <w:t>social minima</w:t>
        <w:br/>
        <w:t>"9 NAO Meeting (Mandatory</w:t>
        <w:br/>
        <w:t>Annual Negotiation) of</w:t>
        <w:br/>
        <w:t>12/11/2006 for the</w:t>
        <w:br/>
        <w:t>Minimum remuneration 2007:</w:t>
        <w:br/>
        <w:t>Minutes of the board "10. Selling prices of</w:t>
        <w:br/>
        <w:t>of directors of UNAM services 2007: (...) they are</w:t>
        <w:br/>
        <w:t>This meeting decided on an</w:t>
        <w:br/>
        <w:t>increase of 2.2% for</w:t>
        <w:br/>
        <w:t>2007. The resulting table</w:t>
        <w:br/>
        <w:t>is attached to this</w:t>
        <w:br/>
        <w:t>report"</w:t>
        <w:br/>
        <w:t>Minutes of the AGO of</w:t>
        <w:br/>
        <w:t>UNAM of "tables of remuneration "communication of the</w:t>
        <w:br/>
        <w:t>February 15, 2008 (reference minima models 2008" 2008 sales prices"</w:t>
        <w:br/>
        <w:t>25</w:t>
      </w:r>
    </w:p>
    <w:p>
      <w:r>
        <w:t>1.</w:t>
        <w:br/>
        <w:t>Minimum Grids Pricing Grids</w:t>
        <w:br/>
        <w:t>Document</w:t>
        <w:br/>
        <w:t>social minima</w:t>
        <w:br/>
        <w:t>"some practical information "some practical information</w:t>
        <w:br/>
        <w:t>you will receive. you will receive.</w:t>
        <w:br/>
        <w:t>Activity report of</w:t>
        <w:br/>
        <w:t>Before Christmas: Before Christmas:</w:t>
        <w:br/>
        <w:t>SYNAM since its creation on</w:t>
        <w:br/>
        <w:t>The tables of selling price The tables of selling price of</w:t>
        <w:br/>
        <w:t>December 1, 2009 (reference</w:t>
        <w:br/>
        <w:t>10291)</w:t>
        <w:br/>
        <w:t>the minimum remuneration The minimum remuneration</w:t>
        <w:br/>
        <w:t>tables for adults and children" tables for adults and children"</w:t>
        <w:br/>
        <w:t>Email titled</w:t>
        <w:br/>
        <w:t>"minimum remuneration NAO</w:t>
        <w:br/>
        <w:t>2011"</w:t>
        <w:br/>
        <w:t>"Good evening, during the meeting of</w:t>
        <w:br/>
        <w:t>the NAO (Mandatory Annual</w:t>
        <w:br/>
        <w:t>Email titled "PRICES</w:t>
        <w:br/>
        <w:t>Negotiation) today, January 17,</w:t>
        <w:br/>
        <w:t>SERVICES"</w:t>
        <w:br/>
        <w:t>2011, the social partners of the</w:t>
        <w:br/>
        <w:t>Collective Agreement No. 2397 accepted</w:t>
        <w:br/>
        <w:t>"Good evening, in accordance with what</w:t>
        <w:br/>
        <w:t>the increases in the</w:t>
        <w:br/>
        <w:t>you were informed in the email</w:t>
        <w:br/>
        <w:t>minimum remuneration as</w:t>
        <w:br/>
        <w:t>sent on December 13,</w:t>
        <w:br/>
        <w:t>proposed and decided by</w:t>
        <w:br/>
        <w:t>last year, the selling prices of the</w:t>
        <w:br/>
        <w:t>the Board of Directors of</w:t>
        <w:br/>
        <w:t>services, models members (references SYNAM on December 8, 2010,</w:t>
        <w:br/>
        <w:t>9929 to 9932 and reference 9925 to 9927) are the increases in</w:t>
        <w:br/>
        <w:t>the minimum remuneration that were</w:t>
        <w:br/>
        <w:t>negotiated today. They are</w:t>
        <w:br/>
        <w:t>namely: T 7 +0.5% - T 8 to T10</w:t>
        <w:br/>
        <w:t>+1.5% - Press Rates</w:t>
        <w:br/>
        <w:t>editorial A to G +1.5%.</w:t>
        <w:br/>
        <w:t>Furthermore, the</w:t>
        <w:br/>
        <w:t>recommendation of the</w:t>
        <w:br/>
        <w:t>children's commission for a</w:t>
        <w:br/>
        <w:t>2% increase has been</w:t>
        <w:br/>
        <w:t>validated. Please find attached</w:t>
        <w:br/>
        <w:t>annexes 1 and 2"</w:t>
        <w:br/>
        <w:t>"The dissemination of the indicative rates "The dissemination of the indicative rates</w:t>
        <w:br/>
        <w:t>Minutes of the hearing of the</w:t>
        <w:br/>
        <w:t>ceased at the beginning of 2011. ceased at the beginning of 2011.</w:t>
        <w:br/>
        <w:t>general secretary of SYNAM</w:t>
        <w:br/>
        <w:t>We no longer communicate only We no longer communicate only</w:t>
        <w:br/>
        <w:t>on the NAO." on the NAO."</w:t>
        <w:br/>
        <w:t>78. The union grids for the services "runway, photo shoots, and advertising filming"</w:t>
        <w:br/>
        <w:t>T7 to T10 can indeed be compared to those resulting from the conventional social minima for the period 2004 to 2011:</w:t>
        <w:br/>
        <w:t>26</w:t>
      </w:r>
    </w:p>
    <w:p>
      <w:r>
        <w:t>1.</w:t>
        <w:br/>
        <w:t>79. The comparison of these two tables reveals that the union grids did not merely replicate the conventional wage minima but proposed a service rate approximately three times higher. Furthermore, the evolution of the union rates did not systematically follow that of the wages resulting from the NAO.</w:t>
      </w:r>
    </w:p>
    <w:p>
      <w:r>
        <w:t>80. By way of example, for the year 2010, the minimum gross salary for a classification T7 was 173 euros for 2 hours, while the union rate was set at 527 euros, which is more than 3 times the minimum gross salary.</w:t>
      </w:r>
    </w:p>
    <w:p>
      <w:r>
        <w:t>81. It follows from these observations that the rates developed and disseminated by the SAM, UNAM, and then SYNAM did not constitute a simple replication of the applicable wage rules to the</w:t>
      </w:r>
    </w:p>
    <w:p>
      <w:r>
        <w:rPr>
          <w:b/>
        </w:rPr>
        <w:t>[Pages 28–30]</w:t>
      </w:r>
    </w:p>
    <w:p>
      <w:r>
        <w:t xml:space="preserve">1. modeling services, but collectively established the total price charged to the client, including not only the model's remuneration but also the agency's margin.  </w:t>
        <w:br/>
        <w:t xml:space="preserve">c) The scope of the union scales  </w:t>
        <w:br/>
        <w:t xml:space="preserve">The annual nature of the union scales  </w:t>
        <w:br/>
        <w:t xml:space="preserve">82. The scales published by the SAM, the UNAM, and then the SYNAM had an annual scope. They were disseminated by the unions by mail, by email, and via their website (references 9925 to 9927, reference 2845, reference 10099, reference 3984, reference 8717, reference 11215).  </w:t>
        <w:br/>
        <w:t xml:space="preserve">83. The first scales disseminated by the SAM specified the application dates of the rates from January 1 to December 31 of each year (for example, for the 1987 scale: "applicable from January 1, 1987, until December 31, 1987" (reference 9843)). However, this mention was removed from the SAM scales starting in 1992. The scales disseminated by the UNAM and then the SYNAM only specified the year of application ("Rates 2000" (reference 9823), "Rates for adult services France 2006" (reference 9836), etc.).  </w:t>
        <w:br/>
        <w:t xml:space="preserve">84. The minutes of the board of directors of the UNAM dated December 15, 2006, specified in this regard that the rates are "as every year made available online starting January 2, 2007" (reference 10099).  </w:t>
        <w:br/>
        <w:t xml:space="preserve">The impact of the pricing scales on the commercial policy of the agencies  </w:t>
        <w:br/>
        <w:t xml:space="preserve">Rates presented as indicative  </w:t>
        <w:br/>
        <w:t xml:space="preserve">85. Regarding the pricing scales disseminated by the SAM, the rates were presented until 1991 as the "applicable" and "recommended" rates (references 8817 and 9843 to 9851). From 1992 onwards, the title of the scale disseminated by the SAM referred to "average and indicative prices practiced by modeling agencies" and "recommended rate" (references 9852 to 9867).  </w:t>
        <w:br/>
        <w:t xml:space="preserve">86. Regarding the pricing scales disseminated by the UNAM for the years 1998 and 2000, the rates were presented as "indicative," with the 1998 scale containing the following mention: "each agency being free to set its own rates" (references 9822 and 9823). From the year 2001, the mention of the indicative nature of the rates disappeared (references 9824 to 9841).  </w:t>
        <w:br/>
        <w:t xml:space="preserve">87. Like the last scales of the UNAM, the pricing scales disseminated by the SYNAM did not specify either the nature or the level of obligation of the rates, with the following mention: "these rates are understood exclusive of taxes and include all charges and the agency commission."  </w:t>
        <w:br/>
        <w:t xml:space="preserve">88. When questioned about the scope of these rates by the investigators of the DGCCRF, the general secretary of the SYNAM confirmed that the pricing scales were "average rates" and that they were disseminated "for informational purposes" to meet client demand "to be able to establish their budget." She nevertheless specified that the union wished "for all agencies to apply them, [because] this would mean that models would be fairly compensated and would allow them to maintain a minimum remuneration" (reference 99). Similarly, during her hearing by the investigative services on April 18, 2013, the general secretary of the SYNAM confirmed that "the dissemination was carried out, for informational purposes, to the members of the unions (SAM, UNAM, SYNAM) who used it as a negotiation basis with their clients to establish their budget" (reference 8505).  </w:t>
        <w:br/>
        <w:t xml:space="preserve">89. The majority of the agencies questioned confirmed – in response to a questionnaire sent by the investigative services regarding the scope of the disseminated scales – that they considered the rates listed on the union scales as indicative.  </w:t>
        <w:br/>
        <w:t xml:space="preserve">The ambiguity maintained regarding the official nature of the pricing scale  </w:t>
        <w:br/>
        <w:t xml:space="preserve">90. Despite their indicative nature, the rates derived from the scales were presented as ensuring compliance by the agencies and client-users with legal or contractual provisions regarding the minimum remuneration of models: "these rates (...) are calculated based on the salaries provided for by the collective agreement concluded on June 22, 2004, between the social partners, the SAM and the UNAM (provisions taken over by the SYNAM in place of the SAM and the UNAM) and the average percentage practiced within the meaning of Article L. 7123-7 of the Labor Code" (references 171 and 172).  </w:t>
        <w:br/>
        <w:t xml:space="preserve">91. Similarly, the minutes of the board of directors dated December 15, 2006, of the UNAM stated that "these selling prices therefore correspond to the salary levels that must appear on employment and assignment contracts" (reference 10099).  </w:t>
        <w:br/>
        <w:t xml:space="preserve">92. During the board of directors of the SYNAM on December 8, 2010, it was also indicated that "the rates for billing the services of models to clients are now re-evaluated each year after and based on the annual negotiation of minimum wages with the social partners" (reference 2395).  </w:t>
        <w:br/>
        <w:t xml:space="preserve">93. This confusion between minimum wages and pricing scales is also found in the statements of modeling agencies.  </w:t>
        <w:br/>
        <w:t xml:space="preserve">94. The agency Nouvelle Ere indicated to the investigative services that it considered the union rates as corresponding to the minimum gross salaries that must be respected in light of labor legislation and the collective agreement (reference 10567).  </w:t>
        <w:br/>
        <w:t xml:space="preserve">95. The agency Next made a similar statement indicating: "We consider the rates listed on the union scale as prices corresponding to the minimum gross salaries and prices to be respected in light of labor legislation and the collective agreement" (reference 9114).  </w:t>
        <w:br/>
        <w:t xml:space="preserve">96. As indicated by the financial director of the Ford agency, "there is currently confusion between the minimum salary rates by qualification (T7, T8, etc.) of models, defined by the collective agreement and renegotiated every year, and the rates currently existing, disseminated by the SYNAM, which are agency rates" (reference 1814).  </w:t>
        <w:br/>
        <w:t xml:space="preserve">97. Furthermore, the annual nature of the pricing scales, whose dissemination coincided with the results of the NAO, may have favored confusion between the evolution of minimum wages and that of union rates.  </w:t>
        <w:br/>
        <w:t xml:space="preserve">98. Thus, according to the testimony of various agency managers, the annual evolution of minimum wages resulting from the annual wage negotiation constituted the determining factor for the evolution of union rates. The CEO of the Success agency stated that "the annual increase in SYNAM rates is, it seems to me, based on the annual increase in model salaries" (reference 2363). Similarly, the president of the Marilyn agency indicated, regarding the SYNAM rates: "Every year, SYNAM meets with the employee unions for model salary increases for the following year. Based on this negotiation, SYNAM calculates the minimum indicative amount that the client must pay to be able to respect the minimum that must be paid to the model" (reference 430).  </w:t>
        <w:br/>
        <w:t xml:space="preserve">The use of the union scale by the agencies  </w:t>
        <w:br/>
        <w:t xml:space="preserve">99. Several agencies stated that they used the pricing scales disseminated by the SAM and the UNAM, then the SYNAM, as a reference basis for negotiations with clients. Thus, in response to the question posed by the investigative services "Did you use the scale as a reference basis?", the following agencies responded positively: Nathalie (reference 11215), Idole (reference 13558), Zenith (reference 11148), Nouvelle Ere (reference 10567), Profil (reference 9417, "as a negotiation basis"), Privilege (reference 8780), Hourra (reference 9388), Bout’Chou (reference 9152), Bananas Mambo (reference 8800), DI (reference 8898), and Happy (reference 8920).  </w:t>
        <w:br/>
        <w:t xml:space="preserve">100. Furthermore, it appears from the case files that some agencies that are members of the union have appropriated the union scale by adopting – under the guise of their own scale – the pricing levels of the union. Several agencies indicating that they have their own pricing scales have indeed communicated to the investigative services a scale identical to that of the SYNAM but established in the name of the agency or in a distinct format.  </w:t>
        <w:br/>
        <w:t xml:space="preserve">101. The table below lists the agencies that adopted pricing similar to the union scales from 2007 to 2010:  </w:t>
        <w:br/>
        <w:t xml:space="preserve">Agency | Appropriation of the union scale | References  </w:t>
        <w:br/>
        <w:t xml:space="preserve">Art et Mode | Scale 2009 No. 8951 |  </w:t>
        <w:br/>
        <w:t xml:space="preserve">Elite | Scale 2009 No. 9377 |  </w:t>
        <w:br/>
        <w:t xml:space="preserve">Ford | Scale 2009 No. 13639 |  </w:t>
        <w:br/>
        <w:t xml:space="preserve">Next | Scale 2010 No. 7205-7207 |  </w:t>
        <w:br/>
        <w:t xml:space="preserve">Profil | Scale 2010 No. 9422-9423 |  </w:t>
        <w:br/>
        <w:t xml:space="preserve">Success | Scale 2010 No. 9403-9404 |  </w:t>
        <w:br/>
        <w:t xml:space="preserve">VIP | Scale 2010 No. 1367 |  </w:t>
        <w:br/>
        <w:t xml:space="preserve">Women | Scale 2007 No. 9143 |  </w:t>
        <w:br/>
        <w:t xml:space="preserve">| Scale 2008 No. 9144 |  </w:t>
        <w:br/>
        <w:t xml:space="preserve">| Scale 2009 No. 9145 |  </w:t>
        <w:br/>
        <w:t xml:space="preserve">| Scale 2010 No. 9146 |  </w:t>
        <w:br/>
        <w:t xml:space="preserve">102. These scales reproduce the pricing levels listed on the scales disseminated by the UNAM and/or the SYNAM. However, they may formally distinguish themselves by mentioning, for example, in addition to the selling price, the minimum salary of models imposed by legislation (see in particular references 1367 or 9422 and 9423). Others adopt a merged presentation of the scale, regardless of the type of service, while the SYNAM disseminates a scale for each of the main types of services (see in particular references 7205 to 7207).  </w:t>
        <w:br/>
        <w:t xml:space="preserve">103. Finally, in the context of "Fashion Weeks" – where negotiations between modeling agencies and their clients are heavily constrained since fashion houses need to employ a very large number of models within very short deadlines – the use of union scales is almost systematic and the rates are little or not negotiated.  </w:t>
        <w:br/>
        <w:t xml:space="preserve">104. In this regard, the Ford (references 26936 to 26938) and Viva (references 27055 to 27059) agencies provided in their observations several examples indicating that union rates were used almost systematically during "Fashion Week" periods.  </w:t>
        <w:br/>
        <w:t>105. Thus, the union pricing scales have structured the pricing policy of the agencies, regardless of the type of negotiation leading to the effective price.</w:t>
      </w:r>
    </w:p>
    <w:p>
      <w:r>
        <w:rPr>
          <w:b/>
        </w:rPr>
        <w:t>[Pages 31–33]</w:t>
      </w:r>
    </w:p>
    <w:p>
      <w:r>
        <w:t>1. The habit of client-users referring to the union scales to determine their projected budgets</w:t>
        <w:br/>
        <w:t>106. As indicated in paragraph 88, client-users referred to the union scales to determine their projected budgets, inserting the average cost of the model's service anticipated in their project. This habit dates back to the period when "it was necessary each year to communicate [to the administration] the rates that were to apply at that time to all agencies" (reference 237).</w:t>
        <w:br/>
        <w:t>107. These rates were considered by client-users as "floor rates" (reference 266) or as "rate recommendations" (reference 241).</w:t>
        <w:br/>
        <w:t>108. Thus, the withdrawal by SYNAM of its rate scale for the year 2011 was lamented by some client-users, who complained to SYNAM (references 240 to 267). For instance, the company Zorba Production wrote in March 2011 to SYNAM: "In preparing my quotes, I used to rely on your model service rate scale, which is no longer on your site. Is there an update of these floor rates? Could you provide me with a basic scale?" (reference 266).</w:t>
        <w:br/>
        <w:t>109. This was indeed anticipated by the general secretary of SYNAM when she informed the DGCCRF that the union had removed the rate scales from its website in February 2011: "However, we will not hesitate to inform you, for your information and the preparation of your report on our activity, of the requests from clients who will undoubtedly contact us following the removal of this indicative data that allowed them to establish their projected budgets" (reference 37).</w:t>
        <w:br/>
        <w:t>110. Similarly, the attempt by the Ford agency to dissociate itself from the 2011 scale by increasing its rates beyond the variation recommended by the union in January 2011 led it, under pressure from some of its clients, to align with the recommended rate increase.</w:t>
        <w:br/>
        <w:t>111. The client Vente-privée.com indeed contested with SYNAM the right of the Ford and Bananas Mambo agencies to implement a price increase deemed excessive: "all [the agencies] follow your new rate recommendations, except Ford and Bananas who are significantly increasing their rates (T7 to €1247 and T8 to €1477). Are they within their rights?" (reference 241) and opposed to the Ford agency the moderation of rates of other agencies that would be in line with the evolution of the "official scale that you 'recommend' SYNAM" (reference 1828).</w:t>
        <w:br/>
        <w:t>112. The financial director of Ford specified in a minutes of February 7, 2011, that the agency's attempt "to raise prices in January [2011], without waiting for the dissemination of SYNAM (...) caused problems in terms of competition with clients" concluding that, following complaints from clients "about not finding the same rates as in other agencies. We were therefore forced to align with the SYNAM scale" (reference 1814).</w:t>
        <w:br/>
        <w:t>113. It is thus noted that the union scales, which were sometimes directly appropriated by the agencies, served as a starting point for commercial negotiation with clients and could lead to leveling rates among agencies.</w:t>
        <w:br/>
        <w:t>d) The intervention of the DGCCRF and the removal of the rate scales by SYNAM</w:t>
        <w:br/>
        <w:t>114. SYNAM ended the practice of developing and disseminating rate scales following the intervention of the DGCCRF.</w:t>
      </w:r>
    </w:p>
    <w:p>
      <w:r>
        <w:t xml:space="preserve">1. </w:t>
        <w:br/>
        <w:t>115. Indeed, by letter dated October 27, 2010, the general secretary of SYNAM informed its members that she had been interviewed by investigators from the DGCCRF, specifying that "in order to comply with competition legislation, we will ensure that no discussions regarding prices take place during our assemblies and meetings" (references 9890 and 9891). Similarly, during the board meeting of SYNAM on December 8, 2010, the issue of the consequences of the DGCCRF intervention was discussed: "Practical consequence: Full compliance with the legislation must now be in effect at SYNAM, under penalty of procedures that could also affect the member agencies of the union. No further mention of rates and other financial data during meetings" (references 2394 and 2395).</w:t>
        <w:br/>
        <w:t>116. Nevertheless, according to SYNAM's interpretation, "To date, the DGCCRF has not said to stop displaying scales for services" (reference 2395), which is why the union transmitted to its members, in an email dated January 17, 2011, the new sales rates for 2011 (references 9925 to 9927).</w:t>
        <w:br/>
        <w:t>117. By an email dated February 9, 2011, SYNAM informed its members of its decision to remove the union rate scale: "with reference to the letter that was sent to you by email on October 27, and following checks that took place in many agencies, SYNAM had to remove all pricing indications from the 'services' page of the website" (references 9935 and 9936). SYNAM confirmed this removal to the DGCCRF by email dated February 11, 2011: "the Bureau of SYNAM followed your recommendation and erased the recommended pricing data present on our union's website" (reference 37).</w:t>
        <w:br/>
        <w:t>118. Thus, and as also emerges from the statements of the general secretary of SYNAM during her hearing by the investigative services on April 18, 2013, "the dissemination of indicative rates ceased at the beginning of 2011. We no longer communicate anything but the NAO" (reference 8508).</w:t>
        <w:br/>
        <w:t>119. The various follow-ups from agency clients regarding the new rates, between February and April 2011, confirm the end of the dissemination of the scales during the first quarter of 2011 (references 240 to 267).</w:t>
        <w:br/>
        <w:t>120. The point in the minutes of the general assembly of SYNAM on March 22, 2012, dedicated to "sales rate scales for model services and minimum remuneration" recalls that "since 2011 each agency must issue its own sales rates for its models" and that "there are no longer any rates recommended by SYNAM" (reference 10433).</w:t>
        <w:br/>
        <w:t>121. Similarly, the minutes of the board meeting of SYNAM on February 13, 2012, confirms, regarding the "sales rates of agencies," "that now (since the convocation of SYNAM by the DGCCRF in October 2010) each agency issues its own sales rate scale T7, T8, T9, and T10, etc." (reference 10408).</w:t>
        <w:br/>
        <w:t>122. It is thus noted that the annual development and dissemination of rate scales related to the services of modeling agencies by SAM, UNAM, and then SYNAM ended during the first quarter of 2011.</w:t>
      </w:r>
    </w:p>
    <w:p>
      <w:r>
        <w:t xml:space="preserve">1. </w:t>
        <w:br/>
        <w:t>2. THE INVOLVEMENT OF MEMBER AGENCIES IN PRACTICES RELATING TO RATE SCALES</w:t>
        <w:br/>
        <w:t>123. The elements present in the file allow us to observe the involvement, during several meetings, of modeling agencies in the process of adopting and disseminating the union rate scales.</w:t>
        <w:br/>
        <w:t>a) The involvement of agencies in the process of adopting rate scales</w:t>
        <w:br/>
        <w:t>124. According to SYNAM, "there is no internal process for adopting the rate scale, but it depends on the NAO which should ideally be negotiated in the 4th quarter of the previous year for an extension to the 1st quarter of the following year" (reference 8506).</w:t>
        <w:br/>
        <w:t>125. However, this assertion is contradicted by several converging statements from agencies. Thus, in response to the question "Was the updating of the union scale rates (SYNAM, SAM, or UNAM) adopted in the general assembly?":</w:t>
        <w:br/>
        <w:t>- the agency DI specified that the updating of the scale was adopted "once a year in the general assembly" (reference 8897);</w:t>
        <w:br/>
        <w:t>- the agency Zenith indicated that the updating of rates was carried out "every year during the AG" (reference 11147);</w:t>
        <w:br/>
        <w:t>- the agency Nathalie stated that "The updating of the rates of the SAM and SYNAM scales was discussed in the General Assembly, once a year" (reference 11215);</w:t>
        <w:br/>
        <w:t>- the agencies Idole, Nouvelle Ere, Privilège, and Bananas Mambo also confirmed the updating of rates in the general assembly (references 13557, 10566, 8779, and 8799);</w:t>
        <w:br/>
        <w:t>- the agency Rebecca, which specified that it does not participate in all general assemblies, nevertheless admitted the principle of adopting the rate scale in the annual general assembly (reference 8878).</w:t>
        <w:br/>
        <w:t>126. Conversely, a few agencies indicated that the rates were simply presented in the general assembly. The agency Dynamite thus stated: "We discussed each year the erosion of rates but we did not adopt, if I remember correctly, the rates in the AG. We discussed them not to agree but as feedback" (reference 9220).</w:t>
        <w:br/>
        <w:t>127. However, the elements present in the file contradict this assertion and show, on the contrary, that the rate scales were indeed subject to a vote in the general assembly. A vote took place during the general assembly of SYNAM on December 7, 2009, as demonstrated by an email dated December 9, 2009, sent by SYNAM to its members regarding the increase applicable to the 2010 rates: "following the decision to increase the sales prices of adult and child services by 2%, a decision voted at the general assembly last Monday, please find attached the three rate tables" (reference 3984).</w:t>
        <w:br/>
        <w:t>b) Elements relating to the meetings of UNAM and SYNAM</w:t>
        <w:br/>
        <w:t>The meetings of UNAM</w:t>
        <w:br/>
        <w:t>The general assembly of UNAM on February 4, 2005</w:t>
        <w:br/>
        <w:t>128. The minutes of this assembly indicate: "[the president] addresses the subject of the sales rates for 2005, which are listed on the UNAM website. The increase has been moderate, the rates</w:t>
      </w:r>
    </w:p>
    <w:p>
      <w:r>
        <w:rPr>
          <w:b/>
        </w:rPr>
        <w:t>[Pages 34–36]</w:t>
      </w:r>
    </w:p>
    <w:p>
      <w:r>
        <w:t>1. press, 7 and 8 having been increased by 2%, rate 9 by 2.5%, and T10 by 3%. The concern was not to raise the lowest rates too much" (reference 10055).</w:t>
      </w:r>
    </w:p>
    <w:p>
      <w:r>
        <w:t>129. Furthermore, some discussions regarding the children's grids took place and concerned a few agencies specialized in this market segment (references 10055 and 10056).</w:t>
      </w:r>
    </w:p>
    <w:p>
      <w:r>
        <w:t>130. The minutes of the general assembly of UNAM attest to the participation in this meeting of the following agencies: Aldebaran, People, Crystal, Cute, DI, DMA, Dynamite, Figures Libres, Frimousse, Gladys, IMG, MAS, Ovation, Smith &amp; Smith, Art et Mode, Clas’Mode, Perfect, Sindy Bop, Zenith, Rebecca, Profil, Women, IPS, Kalao, Exception, Kwahéri, MIA, and Bout’Chou (reference 10044).</w:t>
      </w:r>
    </w:p>
    <w:p>
      <w:r>
        <w:t>The board of directors of UNAM on December 15, 2006</w:t>
      </w:r>
    </w:p>
    <w:p>
      <w:r>
        <w:t>131. Items 10 and 11 of the agenda for this meeting provide for the discussion, on the one hand, of the NAO for minimum wages 2007 and, on the other hand, of the sales prices 2007 (reference 10105).</w:t>
      </w:r>
    </w:p>
    <w:p>
      <w:r>
        <w:t>132. The minutes of this board of directors therefore mention the results of the NAO: "this meeting decided on an increase of 2.2% for 2007. The resulting table is attached to this report" (reference 10099).</w:t>
      </w:r>
    </w:p>
    <w:p>
      <w:r>
        <w:t>133. The item regarding "sales prices of services 2007" informs about the availability of the union tariff grids: "as last year, these sales prices corresponding to the levels set by the collective agreement have been jointly published by SAM and UNAM. They are, as every year, made available online starting January 2, 2007 […]" (reference 10099).</w:t>
      </w:r>
    </w:p>
    <w:p>
      <w:r>
        <w:t>134. Four member agencies of UNAM were present: Crystal, Clas’Mode, IMG, and Figures Libres (reference 10104).</w:t>
      </w:r>
    </w:p>
    <w:p>
      <w:r>
        <w:t>The ordinary and extraordinary general assemblies of UNAM on February 6, 2009</w:t>
      </w:r>
    </w:p>
    <w:p>
      <w:r>
        <w:t>135. By registered mail dated January 19, 2009, the board of directors convened the members of UNAM to the ordinary general assembly on February 6, 2009 (reference 10204). Item 7 of the agenda attached to the notice is titled "unfair competition between agencies of the union – proposals" (reference 10206).</w:t>
      </w:r>
    </w:p>
    <w:p>
      <w:r>
        <w:t>136. The minutes of the ordinary general assembly of February 6, 2009, dated February 24, 2009, recount the words of the general secretary of SYNAM against "unacceptable competition" between agencies, notably pointing out the "wild" competition that would be rampant "across the entire west of France and in Pas-de-Calais" (reference 10214).</w:t>
      </w:r>
    </w:p>
    <w:p>
      <w:r>
        <w:t>137. On the same day, UNAM, meeting in extraordinary general assembly, adopted the merger project with SAM. The minutes explicitly justify the creation of SYNAM by the fact that "such a rapprochement would facilitate consultation between agencies" (reference 10220). SAM had expressed its support for this merger prior to UNAM (reference 10221).</w:t>
      </w:r>
    </w:p>
    <w:p>
      <w:r>
        <w:t>138. Twenty-three members of UNAM were present or represented that day: Crystal, DI, Dynamite, Frimousse, IMG, Nouvelle Ere, Ovation, Smith &amp; Smith, Art et Mode, Clas’Mode, Perfect, Privilege, Sindy Bop, Zenith, Cute, Rebecca, Exception, Bout’Chou, People, Enjoy, IPS, Kalao, and Kwahéri (references 10207 to 10211).</w:t>
      </w:r>
    </w:p>
    <w:p>
      <w:r>
        <w:t>1. The meetings of SYNAM</w:t>
      </w:r>
    </w:p>
    <w:p>
      <w:r>
        <w:t>The founding assembly of SYNAM on February 6, 2009</w:t>
      </w:r>
    </w:p>
    <w:p>
      <w:r>
        <w:t>139. By registered mail dated January 19, 2009, the boards of directors of SAM and UNAM convened their members to the founding general assembly of SYNAM on February 6, 2009. The agenda attached to the notice provided for the approval of the statutes (reference 10224).</w:t>
      </w:r>
    </w:p>
    <w:p>
      <w:r>
        <w:t>140. Motion No. 1 of the founding assembly states that "the participants in the Founding General Assembly of SYNAM approve the statutes that have been submitted to them" (reference 10227).</w:t>
      </w:r>
    </w:p>
    <w:p>
      <w:r>
        <w:t>141. On the occasion of this founding general assembly, the members of SAM and UNAM therefore unanimously voted for the adoption of the statutes that had been submitted to them (reference 10230) to which an internal regulation dated the same day was attached (references 2880 and 2881).</w:t>
      </w:r>
    </w:p>
    <w:p>
      <w:r>
        <w:t>142. Article 8 of the internal regulation attached to the statutes of SYNAM prohibits any dissemination of a specific rate by a member agency of the union. It indeed states that: "In accordance with the collective agreement, members may not advertise in writing by disseminating tariff scales or categories of models that would be personal to them" (reference 2881).</w:t>
      </w:r>
    </w:p>
    <w:p>
      <w:r>
        <w:t>143. Despite the reference to the collective agreement of June 22, 2004, Article 8 of the internal regulation does not strictly reflect the conventional provisions, which do not prohibit modeling agencies from disseminating their own tariff grids. Indeed, Article 9 of this agreement simply states that "modeling agencies may not disseminate or promote to their clients service rates that do not show the classifications defined in this article" (reference 3950).</w:t>
      </w:r>
    </w:p>
    <w:p>
      <w:r>
        <w:t>144. Thus, the collective agreement prohibits agencies from establishing price scales that do not include the classifications it defines. However, it does not prohibit agencies from disseminating their own tariff scales, provided that they comply with the conventional minima and are organized according to the aforementioned classifications.</w:t>
      </w:r>
    </w:p>
    <w:p>
      <w:r>
        <w:t>145. By email dated February 26, 2009, the general secretariat of SYNAM sent its members the minutes of the founding assembly in which it is specified that "the participants unanimously confirm their approval on the following points: • The statutes that have been submitted to them (…) " (references 10229 and 10230).</w:t>
      </w:r>
    </w:p>
    <w:p>
      <w:r>
        <w:t>146. It should be noted that, once adopted, the internal regulation of SYNAM is an integral part of the obligations of the members of the union, as specified by Article 11 of the statutes: "Every admitted member agrees to respect the statutes, the internal regulation, and the decisions of the union" (reference 2868). Consequently, from the establishment of SYNAM, member agencies committed to respecting the prohibition on disseminating a specific rate set by Article 8 of the aforementioned internal regulation.</w:t>
      </w:r>
    </w:p>
    <w:p>
      <w:r>
        <w:t>147. It appears from the documents in the file that the following agencies were present or represented at this assembly:</w:t>
        <w:br/>
        <w:t>- for SAM: the agencies Bananas Mambo, City, Elite, Ford, Karin, Marilyn, Metropolitan, Nathalie, Next, Success, and Viva (references 10225 and 10226); and</w:t>
        <w:br/>
        <w:t>- for UNAM: the agencies Bout’chou, People, Crystal, Cute, DI, Dynamite, Frimousse, IMG, Nouvelle Ere, Ovation, Rebecca, Smith &amp; Smith, Art et Mode, Clas’Mode, Enjoy, Exception, IPS, Kalao, Kwahéri, Perfect, Privilege, Sindy Bop, and Zenith). The general assembly of UNAM approving the merger having been held on the same day, a single attendance sheet was drawn up (references 10207 to 10210 and 10220).</w:t>
      </w:r>
    </w:p>
    <w:p>
      <w:r>
        <w:t>The ordinary general assembly of SYNAM on December 7, 2009</w:t>
      </w:r>
    </w:p>
    <w:p>
      <w:r>
        <w:t>148. By registered mail dated November 20, 2009, the board of directors of SYNAM convened its members to the ordinary general assembly on December 7, 2009 (reference 10282). The agenda attached to the notice contains item 8 titled: "2010 sales price policy (Chantal Sellati)" (reference 10283).</w:t>
      </w:r>
    </w:p>
    <w:p>
      <w:r>
        <w:t>149. SYNAM indicated to the DGCCRF that no minutes of this general assembly had been drawn up (reference 231).</w:t>
      </w:r>
    </w:p>
    <w:p>
      <w:r>
        <w:t>150. However, and firstly, it appears from an email from the general secretariat of SYNAM dated December 9, 2009, addressed to the members of the union that the assembly voted for a 2% increase in the rates for adult and children's services for the year 2010 (reference 3984):</w:t>
        <w:br/>
        <w:t>D…</w:t>
        <w:br/>
        <w:t>C…</w:t>
      </w:r>
    </w:p>
    <w:p>
      <w:r>
        <w:t>151. This email – which acknowledges the vote by the general assembly of the annual rate modification – attaches three tariff grids to the members and informs them of their online availability on the SYNAM website.</w:t>
      </w:r>
    </w:p>
    <w:p>
      <w:r>
        <w:t>152. Secondly, a "report on the union's activities since its creation as of December 1, 2009" was sent to the member agencies of the union, attached to the agenda of the aforementioned meeting of December 7, 2009 (references 10289 to 10291). It is indicated in this document that "on November 19, the NAO for 2010 remuneration took place. Chantal will indicate the negotiated percentage in a moment. I can already announce that you will have the table of adult and less</w:t>
      </w:r>
    </w:p>
    <w:p>
      <w:r>
        <w:rPr>
          <w:b/>
        </w:rPr>
        <w:t>[Pages 37–39]</w:t>
      </w:r>
    </w:p>
    <w:p>
      <w:r>
        <w:t>1. of 16 years under your Christmas trees!" (reference 10289). It is also mentioned that several documents will be sent, including pricing tables (reference 10291):</w:t>
      </w:r>
    </w:p>
    <w:p>
      <w:r>
        <w:t>153. Thirdly, in an email from SYNAM sent to its members on December 10, 2009, the union sent the adult sales rates for 2010 (reference 3979):</w:t>
      </w:r>
    </w:p>
    <w:p>
      <w:r>
        <w:t>D…</w:t>
      </w:r>
    </w:p>
    <w:p>
      <w:r>
        <w:t>154. Lastly, the attendance sheet confirms the participation of all SYNAM members, present or represented, at the general assembly, with the exception of the agencies Next and Smith &amp; Smith (references 10284 to 10288).</w:t>
      </w:r>
    </w:p>
    <w:p>
      <w:r>
        <w:t>The board of directors of SYNAM on December 8, 2010</w:t>
      </w:r>
    </w:p>
    <w:p>
      <w:r>
        <w:t>155. The agenda sent to the members of the board of directors included item 9: "9/ Follow-up to the notice to the DGCCRF (October 4, 2010) - Documents that have been sent at their request. Consequences (annual salary negotiation and application of the corresponding price re-evaluation)" (reference 9913).</w:t>
      </w:r>
    </w:p>
    <w:p>
      <w:r>
        <w:t>156. The related minutes, sent to SYNAM members on December 15, 2010, considered as a practical consequence of the hearing of the general secretary by the DGCCRF "a total compliance with the legislation [which] must now be in force at SYNAM, under penalty of proceedings that could affect the member agencies of the union." However, notwithstanding the instruction not to mention "rates and other financial data during meetings," it recommended the use of the 2010 grids "in commercial negotiations until the third week of January 2011" (references 9919 and 9920). This instruction had already been communicated by email two days earlier to SYNAM members (references 9910 to 9911):</w:t>
      </w:r>
    </w:p>
    <w:p>
      <w:r>
        <w:t>157. The minutes of the board of directors confirm the participation of the following six agencies: Viva, IMG, DI, Crystal, Sindy Bop, and Perfect (reference 9915).</w:t>
      </w:r>
    </w:p>
    <w:p>
      <w:r>
        <w:t>The specialized commission meetings of SYNAM</w:t>
      </w:r>
    </w:p>
    <w:p>
      <w:r>
        <w:t>The "Films-Pub" Commission of SYNAM on April 20, 2009</w:t>
      </w:r>
    </w:p>
    <w:p>
      <w:r>
        <w:t>158. A meeting of the "Films-Pub" Commission of SYNAM was held on April 20, 2009. The case documents do not reveal the existence of an agenda that would have been sent to SYNAM members in advance.</w:t>
      </w:r>
    </w:p>
    <w:p>
      <w:r>
        <w:t>159. The minutes of this meeting confirm – in item 9 of its agenda titled "daily rate" – discussions among participants regarding the terms of price negotiations (concerning TV shooting services): "Unity is strength, and even if agencies cannot and should not 'agree' among themselves, which would be contrary to the spirit of free competition, it is necessary to propose at least the T10 for a TV shoot and negotiate it on an hourly basis if the day is time-limited. The T7, T8, and T9 should become exceptions, even if unfortunately, they are too common at present" (reference 157).</w:t>
      </w:r>
    </w:p>
    <w:p>
      <w:r>
        <w:t>160. The agencies DI, Crystal, Dynamite, Elite, Ford, Bananas Mambo, Frimousse, Happy, Nathalie, Nouvelle Ere, Rebecca, Viva, Women, and Zenith were represented at this meeting (reference 151).</w:t>
      </w:r>
    </w:p>
    <w:p>
      <w:r>
        <w:t>The "Children" Commission of SYNAM on October 15, 2009</w:t>
      </w:r>
    </w:p>
    <w:p>
      <w:r>
        <w:t>161. A meeting of the "Children" Commission of SYNAM was held on October 15, 2009. The case documents do not reveal the existence of an agenda that would have been sent to SYNAM members in advance.</w:t>
      </w:r>
    </w:p>
    <w:p>
      <w:r>
        <w:t>162. The minutes of this meeting confirm – in item 6 of its agenda titled "The very low rates imposed by clients on children's agencies – Remedies" – discussions among participants on the degraded pricing situation in the market and on solutions to remedy it: "the modeling agencies present agree that it is necessary to find a solution that would prevent the loss of important clients in the textile industry while opting for moderate negotiation from all agencies in order to gradually raise the collapsed rates imposed to date" (reference 161).</w:t>
      </w:r>
    </w:p>
    <w:p>
      <w:r>
        <w:t>163. The agencies Cute, DI, Frimousse, Nouvelle Ere, Perfect, and Success (Success Kids branch) were represented at this meeting (reference 159).</w:t>
      </w:r>
    </w:p>
    <w:p>
      <w:r>
        <w:t>The meeting of provincial agencies of SYNAM on June 29, 2010</w:t>
      </w:r>
    </w:p>
    <w:p>
      <w:r>
        <w:t>164. A meeting between the agencies located in the provinces was held on June 29, 2010. The case documents do not reveal the existence of an agenda that would have been sent to SYNAM members in advance.</w:t>
      </w:r>
    </w:p>
    <w:p>
      <w:r>
        <w:t>165. During this meeting, it was decided by majority to request the SYNAM Bureau to organize a meeting with the employee unions signatory to the collective agreement "to either request an amendment to Article 12 [of the agreement] or the creation of a new rate lower than T7 (T6)" (reference 3338).</w:t>
      </w:r>
    </w:p>
    <w:p>
      <w:r>
        <w:t>166. However, this request was not followed up. Indeed, in its activity report for the period from September 1 to October 27, 2010, SYNAM recalled that following the hearing of its general secretary by the DGCCRF on October 4, 2010, "it is now important to respect certain rules" and that consequently, "the request made by the agencies located in the provinces (...) can no longer be relevant as any market adaptation approach is considered an offense" (reference 2401). Similarly, during their hearing by the investigation services, SYNAM representatives indicated "that there is no special regime for the province (T6)" (reference 8508).</w:t>
      </w:r>
    </w:p>
    <w:p>
      <w:r>
        <w:t>167. The following agencies were present at this meeting: Art et Mode, Clas’Mode, Exception, Hourra, Perfect, Privilege, and Sindy Bop (reference 3338).</w:t>
      </w:r>
    </w:p>
    <w:p>
      <w:r>
        <w:t>E. NOTIFIED GRIEVANCES</w:t>
      </w:r>
    </w:p>
    <w:p>
      <w:r>
        <w:t>168. In light of these findings, the general rapporteur sent a notification of grievances on April 8, 2014, for practices prohibited by Article L. 420-1 of the Commercial Code:</w:t>
      </w:r>
    </w:p>
    <w:p>
      <w:r>
        <w:t>1. GRIEVANCE NO. 1: ON THE PRACTICE ATTRIBUTABLE TO SYNAM</w:t>
        <w:br/>
        <w:t>"It is alleged against the National Union of Modeling Agencies (SYNAM) and the unions that merged within it, the Union of Modeling Agencies (SAM) and the National Union of Modeling Agencies (UNAM), that outside the scope of their statutory mission, between January 1, 1987, and the first quarter of 2011, they distorted the competition by annually disseminating pricing grids for modeling agency services. This continuous practice aimed to and may have had the effect of limiting the pricing freedom of modeling agencies and, more generally, reducing competition in the market for modeling agency services intended for client-users. It constitutes a prohibited anticompetitive agreement under Article L. 420-1 of the Commercial Code."</w:t>
      </w:r>
    </w:p>
    <w:p>
      <w:r>
        <w:t>2. GRIEVANCE NO. 2: ON THE PRACTICE ATTRIBUTABLE TO MODELING AGENCIES</w:t>
        <w:br/>
        <w:t>"It is alleged against the following companies:</w:t>
        <w:br/>
        <w:t>- Agence Di (RCS No. 722 034 899) for the period from 02/04/05 to 12/31/2010,</w:t>
        <w:br/>
        <w:t>- Angels Models Management (RCS No. 500 526 256) for the period from 12/07/09 to 12/31/2010,</w:t>
      </w:r>
    </w:p>
    <w:p>
      <w:r>
        <w:rPr>
          <w:b/>
        </w:rPr>
        <w:t>[Pages 40–42]</w:t>
      </w:r>
    </w:p>
    <w:p>
      <w:r>
        <w:t xml:space="preserve">1. - Kid and Feel "Art et Mode" (RCS No. 451 427 108) for the period from 02/04/05 to 12/31/2010,  </w:t>
        <w:br/>
        <w:t xml:space="preserve">- Bananas Mambo (RCS No. 345 251 565) for the period from 02/06/09 to 12/31/2010,  </w:t>
        <w:br/>
        <w:t xml:space="preserve">- Bout’Chou (RCS No. 389 783 564) for the period from 02/04/05 to 12/31/2010,  </w:t>
        <w:br/>
        <w:t xml:space="preserve">- City Models (RCS No. 519 525 323) for the period from 02/06/09 to 12/31/10,  </w:t>
        <w:br/>
        <w:t xml:space="preserve">- Crystal Model Agency (RCS No. 331 037 705) for the period from 02/04/05 to 12/31/2010,  </w:t>
        <w:br/>
        <w:t xml:space="preserve">- Regard’s "Cute Models" (RCS No. 328 747 571) for the period from 02/05/05 to 12/31/2010,  </w:t>
        <w:br/>
        <w:t xml:space="preserve">- Dynamite Agency (RCS No. 327 095 626) for the period from 02/04/05 to 12/31/2010,  </w:t>
        <w:br/>
        <w:t xml:space="preserve">- Elite Model Management (RCS No. 722 002 110) for the period from 02/06/09 to 12/31/2010,  </w:t>
        <w:br/>
        <w:t xml:space="preserve">- Enjoy Models Management (RCS No. 445 083 421) for the period from 02/06/09 to 12/31/2010,  </w:t>
        <w:br/>
        <w:t xml:space="preserve">- Exception (RCS No. 415 052 760) for the period from 02/04/05 to 12/31/2010,  </w:t>
        <w:br/>
        <w:t xml:space="preserve">- Ford Models Europe (RCS No. 399 789 056) for the period from 02/06/09 to 12/31/2010,  </w:t>
        <w:br/>
        <w:t xml:space="preserve">- Frimousse (RCS No. 323 802 322) for the period from 02/04/05 to 12/31/2010,  </w:t>
        <w:br/>
        <w:t xml:space="preserve">- Happy Communication "Agence Happy" (RCS No. 447 548 272) for the period from 04/20/09 to 12/31/2010,  </w:t>
        <w:br/>
        <w:t xml:space="preserve">- Hourra! Models (RCS No. 349 872 408) for the period from 12/07/09 to 12/31/2010,  </w:t>
        <w:br/>
        <w:t xml:space="preserve">- Idole Model Management (RCS No. 395.139.744) for the period from 12/07/09 to 12/31/10,  </w:t>
        <w:br/>
        <w:t xml:space="preserve">- International Management Group "IMG Models" (RCS No. 324 031 137) for the period from 02/04/05 to 12/31/2010,  </w:t>
        <w:br/>
        <w:t xml:space="preserve">- International Publicity Services "IPS Models" (RCS No. 379 697 519) for the period from 02/04/05 to 12/31/2010,  </w:t>
        <w:br/>
        <w:t xml:space="preserve">- Karin Models (RCS No. 309 421 576) for the period from 02/06/09 to 12/31/2010,  </w:t>
        <w:br/>
        <w:t xml:space="preserve">- L’Agence "Kwahéri Studio" (RCS No. 418 251 906) for the period from 02/04/05 to 12/31/2010,  </w:t>
        <w:br/>
        <w:t xml:space="preserve">- Major Model Management Paris (RCS No. 452 221 500) for the period from 12/07/09 to 12/31/2010,  </w:t>
        <w:br/>
        <w:t xml:space="preserve">- Metropolitan Models (RCS No. 337 929 277) for the period from 02/06/09 to 12/31/2010,  </w:t>
        <w:br/>
        <w:t xml:space="preserve">- Marilyn Agency (RCS No. 332 442 383) for the period from 02/06/09 to 12/31/2010,  </w:t>
        <w:br/>
        <w:t xml:space="preserve">- Nathalie (RCS No. 401 846 803) for the period from 02/06/09 to 12/31/2010,  </w:t>
        <w:br/>
        <w:t xml:space="preserve">1. - Next Management (RCS No. 408.231.785) for the period from 02/06/09 to 12/31/10,  </w:t>
        <w:br/>
        <w:t xml:space="preserve">- New Madison (RCS No. 452 626 617) for the period from 12/07/09 to 12/31/2010,  </w:t>
        <w:br/>
        <w:t xml:space="preserve">- Nouvelle Ere (RCS No. 449 766 690) for the period from 02/06/09 to 12/31/2010,  </w:t>
        <w:br/>
        <w:t xml:space="preserve">- Ovation (RCS No. 378 336 580) for the period from 02/04/05 to 12/31/2010,  </w:t>
        <w:br/>
        <w:t xml:space="preserve">- Agence People – Coccinelle (RCS No. 329 951 271) for the period from 02/04/05 to 12/31/2010,  </w:t>
        <w:br/>
        <w:t xml:space="preserve">- Perfect Models (RCS No. 401 130 935) for the period from 02/04/05 to 12/31/2010,  </w:t>
        <w:br/>
        <w:t xml:space="preserve">- Catlinka Privilege (RCS No. 495 232 357) for the period from 02/06/09 to 12/31/2010,  </w:t>
        <w:br/>
        <w:t xml:space="preserve">- Profil (RCS No. 398 063 719) for the period from 02/04/05 to 12/31/2010,  </w:t>
        <w:br/>
        <w:t xml:space="preserve">- Rebecca (RCS No. 349 832 733) for the period from 02/04/05 to 12/31/2010,  </w:t>
        <w:br/>
        <w:t xml:space="preserve">- Smith and Smith Characters (RCS No. 423 364 546) for the period from 02/04/05 to 12/31/2010,  </w:t>
        <w:br/>
        <w:t xml:space="preserve">- Hinolisari-Success "Success" (RCS No. 342 502 390) for the period from 02/06/09 to 12/31/2010,  </w:t>
        <w:br/>
        <w:t xml:space="preserve">- VIP Models (RCS No. 480.104.132) for the period from 12/07/09 to 12/31/10,  </w:t>
        <w:br/>
        <w:t xml:space="preserve">- Viva Model Management (RCS No. 327 203 923) for the period from 02/06/09 to 12/31/2010,  </w:t>
        <w:br/>
        <w:t xml:space="preserve">- Women Management (RCS No. 423 649 607) for the period from 02/04/05 to 12/31/2010,  </w:t>
        <w:br/>
        <w:t xml:space="preserve">- Zenith Models (RCS No. 411 589 575) for the period from 02/04/05 to 12/31/2010,  </w:t>
        <w:br/>
        <w:t xml:space="preserve">of having participated in the anticompetitive practice implemented by SAM, UNAM, and then by SYNAM and, where applicable, having applied, in whole or in part, the prices recommended by the union, without referring to their own operating costs, in a manner that restricted their own pricing freedom and aligned with the behavior of other agencies.  </w:t>
        <w:br/>
        <w:t xml:space="preserve">This had the purpose and may have had the effect of reducing competition in the market for modeling agency services intended for client-users.  </w:t>
        <w:br/>
        <w:t xml:space="preserve">This ongoing practice constitutes a prohibited anticompetitive agreement under Article L. 420-1 of the Commercial Code."  </w:t>
        <w:br/>
        <w:t xml:space="preserve">F. IMPLEMENTATION OF III OF ARTICLE L. 464-2 OF THE COMMERCIAL CODE  </w:t>
        <w:br/>
        <w:t xml:space="preserve">169. The companies:  </w:t>
        <w:br/>
        <w:t xml:space="preserve">- Dynamite;  </w:t>
        <w:br/>
        <w:t xml:space="preserve">- Ovation;  </w:t>
        <w:br/>
        <w:t xml:space="preserve">- People;  </w:t>
        <w:br/>
        <w:t xml:space="preserve">recipients of the notification of grievances, have requested the benefit of the provisions of III of Article L. 464-2 of the Commercial Code, which states that "when an organization or company does not contest the reality of the grievances notified to it, the general rapporteur may propose to the Competition Authority, which hears the parties and the Government Commissioner without prior establishment of a report, to impose the monetary sanction provided for in I, taking into account the absence of contestation. In this case, the maximum amount of the sanction incurred is reduced by half. When the company or organization also commits to modifying its behavior for the future, the general rapporteur may propose to the Competition Authority to take this into account as well in determining the amount of the sanction."  </w:t>
        <w:br/>
        <w:t xml:space="preserve">170. The implementation of these provisions led to the establishment of three minutes signed on May 28, 2014 (Dynamite), June 19, 2014 (People), and June 24, 2014 (Ovation), by which the interested companies declared that they did not contest the notified grievances.  </w:t>
        <w:br/>
        <w:t xml:space="preserve">171. To take into account the non-contestation of the grievances, the deputy general rapporteur committed to proposing to the board that the monetary sanction incurred, if applicable, by the concerned companies be reduced by 10% from the amount that would normally have been imposed on them.  </w:t>
        <w:br/>
        <w:t xml:space="preserve">II. Discussion  </w:t>
        <w:br/>
        <w:t xml:space="preserve">172. The following will be addressed successively:  </w:t>
        <w:br/>
        <w:t xml:space="preserve">- the procedure (A);  </w:t>
        <w:br/>
        <w:t xml:space="preserve">- the relevant market (B);  </w:t>
        <w:br/>
        <w:t xml:space="preserve">- the merits of the notified grievances (C);  </w:t>
        <w:br/>
        <w:t xml:space="preserve">- the attribution of the practices in question (D).  </w:t>
        <w:br/>
        <w:t xml:space="preserve">A. ON THE CONDUCT OF THE PROCEDURE  </w:t>
        <w:br/>
        <w:t xml:space="preserve">173. Several modeling agencies involved contest the regularity of the procedure on the following points:  </w:t>
        <w:br/>
        <w:t xml:space="preserve">- the regularity of the ex officio referral (1),  </w:t>
        <w:br/>
        <w:t xml:space="preserve">- the impartiality of the procedure (2),  </w:t>
        <w:br/>
        <w:t xml:space="preserve">- the regularity of the procedure against the company Nouvelle Ere (3),  </w:t>
        <w:br/>
        <w:t xml:space="preserve">- the alleged modification of grievance No. 2 during the procedure (4), and  </w:t>
        <w:br/>
        <w:t xml:space="preserve">- the equality of treatment among modeling agencies (5).  </w:t>
        <w:br/>
        <w:t xml:space="preserve">1. REGARDING THE EX OFFICIO REFERRAL  </w:t>
        <w:br/>
        <w:t>174. The companies Elite, Success, Nathalie, New Madison, Profil, and Women argue that the procedure before the Authority would be tainted by irregularity, on the grounds that:</w:t>
      </w:r>
    </w:p>
    <w:p>
      <w:r>
        <w:rPr>
          <w:b/>
        </w:rPr>
        <w:t>[Pages 43–45]</w:t>
      </w:r>
    </w:p>
    <w:p>
      <w:r>
        <w:t xml:space="preserve">1. - the absence from the file of the proposal for referral from the general rapporteur would not allow for verification of the compliance of the decision for referral n° 11-SO-13 of July 26, 2011, by which the Authority took up practices implemented in the sector of services provided by modeling agencies, under Article L. 462-5 of the Commercial Code;  </w:t>
        <w:br/>
        <w:t xml:space="preserve">- the letter of designation in this file of Mr. X…, rapporteur, whose oral report is referenced in decision n° 11-SO-13, is also not included in the file;  </w:t>
        <w:br/>
        <w:t xml:space="preserve">which would infringe upon the rights of the defense (see for example references 28331 to 28337).  </w:t>
        <w:br/>
        <w:t xml:space="preserve">175. Firstly, the Court of Cassation, seized of a plea concerning the irregularity of the referral in light of Article 6, paragraph 1, of the European Convention on Human Rights, ruled that "the decision by which the Competition Council decides to take up a case on its own initiative is not an act of prosecution" (Court of Cassation, June 23, 2004, appeal n° 01-17.896).  </w:t>
        <w:br/>
        <w:t xml:space="preserve">176. Therefore, the Authority's decision for referral on its own initiative not being an act of accusation or prosecution within the meaning of Article 6, paragraph 1, of the European Convention on Human Rights, it cannot constitute a violation of this provision.  </w:t>
        <w:br/>
        <w:t xml:space="preserve">177. Secondly, Article L. 462-5 of the Commercial Code, as amended by Ordinance n° 2008-1161 of November 13, 2008, provides that "the general rapporteur may propose to the Competition Authority to take up practices mentioned in I and II [notably Article L. 420-1 of the Commercial Code]."  </w:t>
        <w:br/>
        <w:t xml:space="preserve">178. This provision – which has moreover been recognized as compliant with the Constitution (Decision n° 2012-280 QPC of October 12, 2012, "Société Groupe Canal Plus") – does not impose any formal conditions to which the referral and the proposal of the general rapporteur must conform. In particular, Article L. 462-5 of the Commercial Code does not require that the proposal of the general rapporteur be made in writing and attached to the file.  </w:t>
        <w:br/>
        <w:t xml:space="preserve">179. The formal designation of a rapporteur to investigate a case, in accordance with Article L. 450-6 of the Commercial Code which states that "the general rapporteur designates, for the examination of each case, one or more agents from the investigation services to act as rapporteur," is only provided for the examination of substantive cases following the referral to the Authority. It was therefore permissible for the general rapporteur to designate orally and without formality a rapporteur specifically tasked with making an oral report on the referral before the panel responsible for ruling on this referral, this informal designation being, in any case, devoid of any impact on the subsequent investigation and not causing harm to the parties (decision n° 06-D-07 of March 21, 2006, concerning practices implemented in the public works sector in the Île-de-France region, paragraph 449, confirmed by the judgment of the Paris Court of Appeal of June 24, 2008, page 13).  </w:t>
        <w:br/>
        <w:t xml:space="preserve">180. Consequently, since the aforementioned referral decision was made on the proposal of the general rapporteur, the fact that it was made orally during the session – and could therefore not be attached to the file – does not infringe upon any principle of constitutional value nor the rights protected by Article 6, paragraph 1, of the European Convention on Human Rights.  </w:t>
        <w:br/>
        <w:t xml:space="preserve">181. Similarly, the absence from the file of the designation of Mr. X… as rapporteur does not in any way taint the procedure with irregularity.  </w:t>
        <w:br/>
        <w:t>182. The arguments of the respondents will therefore be dismissed.</w:t>
      </w:r>
    </w:p>
    <w:p>
      <w:r>
        <w:t xml:space="preserve">1.  </w:t>
        <w:br/>
        <w:t xml:space="preserve">2. CONCERNING THE IMPARTIALITY AND FAIRNESS OF THE INVESTIGATION  </w:t>
        <w:br/>
        <w:t xml:space="preserve">183. SYNAM and the agencies Viva, Premium, Major, Cute, and New Madison assert that the rapporteur lacked impartiality and fairness in conducting the investigation (see for example references 28653 to 28658) on the grounds that he:  </w:t>
        <w:br/>
        <w:t xml:space="preserve">- allegedly conducted a partial analysis of the documents in the file and omitted many statements from agencies to retain only the incriminating passages (a),  </w:t>
        <w:br/>
        <w:t xml:space="preserve">- did not heed the requests of the agencies by interviewing clients even though this is an essential element for understanding the practice (b), and  </w:t>
        <w:br/>
        <w:t xml:space="preserve">- failed to specify that the administrative investigation report excluded the involvement of modeling agencies in the alleged collusion (c).  </w:t>
        <w:br/>
        <w:t xml:space="preserve">a) On the claim that the rapporteur allegedly retained only the incriminating passages  </w:t>
        <w:br/>
        <w:t xml:space="preserve">184. The rapporteur has discretion regarding the conduct of his investigations (Court of Cassation, June 15, 1999, Lilly France). He bases the notification of grievances on the facts that he deems capable of establishing their validity and is not required to respond to all arguments presented by the parties (Paris Court of Appeal, January 24, 2006, Order of Lawyers at the Marseille Bar, page 3). The decision-making practice consistently confirms that the fact that the notification of grievances does not cite all the facts that were not retained as evidence of anticompetitive practices cannot harm the companies, provided that they had access to the entire procedure (see in particular decisions n° 07-D-49 of December 19, 2007, concerning practices implemented by the companies Biotronik, Ela Medical, Guidant, Medtronic, and Saint Jude Medical during a call for tenders launched by the CHU of Montpellier, paragraph 166; decision n° 07-D-50 of December 20, 2007, concerning practices implemented in the toy distribution sector, paragraph 426; decision n° 09-D-06 of February 5, 2009, concerning practices implemented by SNCF and Expedia Inc. in the online travel sales sector, paragraph 79).  </w:t>
        <w:br/>
        <w:t xml:space="preserve">185. In this case, it is undisputed that the parties had access to all the documents in the file, which could be discussed by the companies involved during the procedure. The latter thus had every opportunity to provide useful elements for their defense. Therefore, the investigation services cannot be reproached for infringing upon the principle of impartiality.  </w:t>
        <w:br/>
        <w:t xml:space="preserve">186. The argument will therefore be dismissed.  </w:t>
        <w:br/>
        <w:t xml:space="preserve">b) On the ability of the investigation services to interview individuals of their choice  </w:t>
        <w:br/>
        <w:t>187. It is a consistent decision-making practice and case law that "the hearing of interested persons is a discretion left to the appreciation of the rapporteur or the Council, given the content of the file" (Judgment of the Paris Court of Appeal of January 29, 2008, n° 2006/07820, page 12. See also the decision of the Competition Council n° 07-D-27 of July 31, 2007, concerning practices implemented in the sector of continuing professional training for job seekers in the Picardy region, paragraph 84).</w:t>
      </w:r>
    </w:p>
    <w:p>
      <w:r>
        <w:t xml:space="preserve">1.  </w:t>
        <w:br/>
        <w:t xml:space="preserve">188. In this case, the fact that the rapporteur did not interview the client-users in any way infringed upon the rights of the defense of the respondents and the principle of adversarial proceedings.  </w:t>
        <w:br/>
        <w:t xml:space="preserve">189. It should be noted in this regard that many elements of the file, particularly the statements of modeling agencies and several documents obtained during the investigation, allowed the investigation services to understand the behavior of client-users in the market. Furthermore, the notification of grievances devoted significant developments to the negotiation modalities between the agencies and their clients (paragraphs 170 to 189).  </w:t>
        <w:br/>
        <w:t xml:space="preserve">190. The argument will therefore be dismissed.  </w:t>
        <w:br/>
        <w:t xml:space="preserve">c) On the claim that the investigation services omitted to specify that the administrative investigation report excluded the involvement of modeling agencies  </w:t>
        <w:br/>
        <w:t xml:space="preserve">191. The administrative investigation report constitutes a summary document to which no legislative or regulatory provision attaches any particular probative force or legal effect (Court of Cassation, October 10, 2000, n° 98-12393; decision n° 07-D-48 of December 18, 2007, concerning practices implemented in the national and international moving sector, paragraph 216).  </w:t>
        <w:br/>
        <w:t xml:space="preserve">192. Thus, the conclusions of the investigation report not considering the involvement of modeling agencies do not prejudge either the analysis of the rapporteur, subject to adversarial debate, nor, a fortiori, the decision of the Authority.  </w:t>
        <w:br/>
        <w:t xml:space="preserve">193. Therefore, the investigation services could, without disregarding the principle of impartiality, retain in the notification of grievances an analysis of imputability different from that suggested by the administrative investigation report, provided that in any case this report is included in the file and has been discussed by the parties during the procedure.  </w:t>
        <w:br/>
        <w:t xml:space="preserve">194. The argument must therefore be dismissed.  </w:t>
        <w:br/>
        <w:t xml:space="preserve">3. CONCERNING THE SITUATION OF THE COMPANY NOUVELLE ERE  </w:t>
        <w:br/>
        <w:t xml:space="preserve">195. The company Nouvelle Ere contests the regularity of the procedure against it on the grounds that the notification of grievances and the report were not notified to the company as such but to its manager in her capacity (references 25778 and 25779).  </w:t>
        <w:br/>
        <w:t xml:space="preserve">196. In this case, the letter sending the notification of grievances is addressed to "Madame E…, manager of the company Nouvelle Ere, 11, rue Bichat, 75 010 Paris" (references 14974 and 14976). Similarly, the list of recipients of the notification of grievances indicates: "Madame E…, manager of the company Nouvelle Ere RCS: 449 766 690, 11, rue Bichat, 75 010 Paris" (reference 14818). The same applies to the notification of the report to the company Nouvelle Ere (references 25396, 25581, and 25583).  </w:t>
        <w:br/>
        <w:t>197. The name of Madame E… is mentioned only in her capacity as manager of the company Nouvelle Ere, which is the only entity targeted by the grievance. Grievance n° 2 indeed unambiguously targets the company "Nouvelle Ere (RCS n° 449 766 690) for the period from 6/02/09 to 31/12/2010" (reference n° 14812). The notification of grievances does not reproach the manager of the company Nouvelle Ere for behavior autonomous from that of the company of which she is the legal representative.</w:t>
      </w:r>
    </w:p>
    <w:p>
      <w:r>
        <w:rPr>
          <w:b/>
        </w:rPr>
        <w:t>[Pages 46–48]</w:t>
      </w:r>
    </w:p>
    <w:p>
      <w:r>
        <w:t>1.</w:t>
        <w:br/>
        <w:t>198. Under these conditions, the Authority was justified, without disregarding any provision or principle, in sending the notification of grievances and the report by registered letter to the manager of the company Nouvelle Ere.</w:t>
        <w:br/>
        <w:t>199. Furthermore, it should be noted that the company Nouvelle Ere was able to present observations in response to the notification of grievances as well as to the report.</w:t>
        <w:br/>
        <w:t>200. The argument will therefore be dismissed.</w:t>
        <w:br/>
        <w:t>4. REGARDING THE PRECISION OF GRIEVANCE NO. 2 AND THE ALLEGATION OF MODIFICATION OF GRIEVANCE NO. 2 AT THE REPORT STAGE</w:t>
        <w:br/>
        <w:t>201. According to the company New Madison, the investigating services modified grievance no. 2 during the proceedings. It argues that the grievance notified to the modeling agencies concerned participation in an annual practice of disseminating union grids and not their development, whereas at the report stage, the investigating services indicated that "the practice attributed to [the agencies] concerned both the development and dissemination of grids" (references 28659 and 28660).</w:t>
        <w:br/>
        <w:t>202. The companies Elite, Success, Nathalie, Profil, and Women further argue that the wording of grievance no. 2 in the notification of grievances does not include the participation of the agencies in the development of the pricing grids, a practice that would be solely attributable to the union (see for example references 28339 and 28340). Similarly, the companies Karin, Metropolitan, and Rebecca assert that the practice attributed to the modeling agencies in the first part of grievance no. 2 – the participation of the agencies in the practices implemented by the unions denounced in grievance no. 1 (materialized by participation in statutory meetings) – would not be distinct from this first grievance (see for example reference 29288).</w:t>
        <w:br/>
        <w:t>203. As recalled by the Competition Council, "the notification of grievances is a synthetic document that contains a precise description of the facts alleged, their date, their attribution, and their qualification, and then summarizes, in a concise formula, the wording of the grievances themselves. It constitutes the indictment and must therefore be precise (Paris Court of Appeal, March 29, 2005, Filmdis Cinésogar), this requirement does not preclude the appellate and cassation judges from seeking, within the body of the notification of grievances itself, the scope of the latter (Court of Cassation, April 6, 1999, ODA)" (decision of the Competition Council No. 09-D-06 of February 5, 2009, regarding practices implemented by SNCF and Expedia Inc. in the online travel sales sector, paragraph 73).</w:t>
        <w:br/>
        <w:t>204. Consequently, "as long as the report does not address practices different from those mentioned in the notification of grievances and does not modify their qualification, it is possible to refine the competitive analysis, to support or clarify one of the notified grievances" (decision No. 06-D-18 of June 28, 2006, regarding practices implemented in the film advertising sector, paragraph 111).</w:t>
        <w:br/>
        <w:t>205. In this case, grievance no. 2 notified to the agencies is worded as follows: "the companies (...) are accused of having participated in the anticompetitive practice implemented by SAM, UNAM, and then by SYNAM and, where applicable, having applied, in whole or in part, the prices recommended by the union, without referring to their own operating costs, (...)". Therefore, it is in light of the content of grievance no. 1, notified to SYNAM, that the scope of grievance no. 2 must be understood.</w:t>
        <w:br/>
        <w:t>46</w:t>
      </w:r>
    </w:p>
    <w:p>
      <w:r>
        <w:t>1.</w:t>
        <w:br/>
        <w:t>206. Now, while the wording of grievance no. 1 accuses SYNAM and its predecessors SAM and UNAM of "having, outside the framework of their statutory mission (...) distorted the competitive process by annually disseminating pricing grids for modeling agency services," it is clear from the developments in the notification of grievances that the practice attributed to SYNAM – and consequently, to the modeling agencies that are members of it – concerned both the development and dissemination of pricing grids, as evidenced by the following paragraphs of the notification of grievances (emphasis added):</w:t>
        <w:br/>
        <w:t>- "It is therefore established that the annual development and dissemination by the union of pricing grids related to modeling agency services, outside any oversight by the administration, covers a period of (...)" (paragraph 111);</w:t>
        <w:br/>
        <w:t>- "It is recalled that this case concerns the development and then the updating of a pricing grid for modeling agency services disseminated to the members of the union (...)" (paragraph 267);</w:t>
        <w:br/>
        <w:t>- "This case concerns a price-fixing agreement implemented (...) in the market for modeling agency services, in the form of the annual development and dissemination of a pricing grid for services provided by agencies" (paragraph 280);</w:t>
        <w:br/>
        <w:t>- "By developing and disseminating this annual grid, the unions have stepped outside their primary mission of providing information, advice, and defending the professional interests of their members" (paragraph 286).</w:t>
        <w:br/>
        <w:t>207. The report does not address practices different from those mentioned in the notification of grievances: it merely confirms the scope of grievance no. 2 by recalling the relevant developments from the notification of grievances (report, paragraph 69). These clarifications provided by the report have, moreover, been subject to contradiction since the parties were able to respond to them usefully both in their written observations and orally during the session.</w:t>
        <w:br/>
        <w:t>208. In light of these elements, the agencies could not have misunderstood the scope of grievance no. 2 that was notified to them. The argument will therefore be dismissed.</w:t>
        <w:br/>
        <w:t>5. REGARDING THE ALLEGATION OF DISCRIMINATION BETWEEN MODELING AGENCIES</w:t>
        <w:br/>
        <w:t>209. The agencies Karin, Metropolitan, and Rebecca complain of discrimination between the modeling agencies that are members of SYNAM and those that are not members of this union, on the grounds that a significant number of the latter would also have applied the union pricing grids without having been implicated in this case (see for example references 29287 and 18714).</w:t>
        <w:br/>
        <w:t>210. However, as previously indicated, the case law of the supervisory jurisdictions regularly reminds us that "the rapporteur bases the notification of grievances on the facts that appear to him to be capable of establishing its validity; he then has a discretionary power regarding the conduct of his investigations" (see for example Paris Court of Appeal, "Chevron" judgment, November 24, 2009, page 18).</w:t>
        <w:br/>
        <w:t>211. As emerges from the developments in paragraphs 123 and following above, the practice attributed to the modeling agencies is that they participated in the practices implemented by their union organization, in other words, they participated in the development and dissemination of pricing grids and, where applicable, used or even applied the prices of the union grids.</w:t>
        <w:br/>
        <w:t>212. However, the non-member agencies of SYNAM could not de facto participate in the union meetings during which the pricing grids were discussed. Therefore, the non-member agencies cannot be accused of having participated in the development and dissemination of pricing grids and, where applicable, of having applied the prices of the union grids.</w:t>
        <w:br/>
        <w:t>213. The argument will in any case be rejected.</w:t>
        <w:br/>
        <w:t>B. ON THE DELIMITATION OF THE RELEVANT MARKET</w:t>
        <w:br/>
        <w:t>214. It follows from the decision-making practice of the Authority and from case law that when the practices in question are examined under the prohibition of agreements or concerted practices, as is the case here, it is not necessary to define the market precisely, as in cases of abuse of dominant position, as long as the sector has been sufficiently characterized to allow for the qualification of the observed practices and to attribute them to the operators who implemented them (decision No. 11-D-17 of December 8, 2011, regarding practices implemented in the laundry sector, paragraph 365).</w:t>
        <w:br/>
        <w:t>1. THE MARKET FOR PRODUCTS AND SERVICES</w:t>
        <w:br/>
        <w:t>215. The services concerned by the practices are those referred to in the pricing grids that are the subject of the practices, namely adult and child modeling services provided by modeling agencies.</w:t>
        <w:br/>
        <w:t>216. The agency Frimousse, however, claims that the market for child modeling is specific and should be distinguished from adult modeling services. In particular, adult and child services would not be substitutable and the pricing conditions would be different (references 26057 to 26061).</w:t>
        <w:br/>
        <w:t>217. However, it should be recalled that, as indicated above, the union grids that are the subject of the pursued practices included a section relating to child modeling services (see in particular reference 3984). Consequently, the services of agencies specialized in this area are an integral part of the sector concerned by the practices.</w:t>
        <w:br/>
        <w:t>218. The argument will therefore be rejected.</w:t>
        <w:br/>
        <w:t>219. It is therefore appropriate to retain a market for products and services encompassing all modeling services rendered by modeling agencies.</w:t>
        <w:br/>
        <w:t>2. THE GEOGRAPHICAL MARKET</w:t>
        <w:br/>
        <w:t>220. The practices in question involved modeling agencies located throughout French territory, grouped within unions with national competence. Furthermore, the pricing grids that are the subject of the proceedings were situated within a legal and regulatory context specific to France. Therefore, it is appropriate to retain a geographical market encompassing the entire French territory.</w:t>
        <w:br/>
        <w:t>221. Several agencies located in the provinces (see in particular the observations of the agency Hourra, references 22418 to 22420) assert that the conditions of competition are different between,</w:t>
      </w:r>
    </w:p>
    <w:p>
      <w:r>
        <w:rPr>
          <w:b/>
        </w:rPr>
        <w:t>[Pages 49–51]</w:t>
      </w:r>
    </w:p>
    <w:p>
      <w:r>
        <w:t>1. on the one hand, the Parisian agencies, which respond to national or international demand, and, on the other hand, the provincial agencies, which respond to local demand, characterized by tighter budgets.</w:t>
      </w:r>
    </w:p>
    <w:p>
      <w:r>
        <w:t>222. However, these arguments appear insufficient to exclude provincial agencies from the scope of the sector concerned by the practices.</w:t>
      </w:r>
    </w:p>
    <w:p>
      <w:r>
        <w:t>223. First of all, the specific regulations applicable to modeling agencies as well as the rules regarding minimum wages cover the entire French territory and must be respected by both Parisian and provincial agencies.</w:t>
      </w:r>
    </w:p>
    <w:p>
      <w:r>
        <w:t>224. Furthermore, provincial agencies were, throughout the period of the practices, members of the same unions as the Parisian agencies and participated in the same statutory meetings, and thus in the pursued practices. Moreover, the Hourra agency itself indicated that it referred to the scales of UNAM and then SYNAM to determine the classification of the model based on the rate announced by the client (reference 9388).</w:t>
      </w:r>
    </w:p>
    <w:p>
      <w:r>
        <w:t>225. Finally, the fact that budgets are tighter in the provinces does not mean that the starting point of commercial negotiation was not distorted by the dissemination of pricing scales that did not reflect only the legal and conventional minima.</w:t>
      </w:r>
    </w:p>
    <w:p>
      <w:r>
        <w:t>226. The argument will therefore be rejected.</w:t>
      </w:r>
    </w:p>
    <w:p>
      <w:r>
        <w:t>227. It is therefore appropriate to retain a geographical market for modeling services provided by modeling agencies covering the entire French territory.</w:t>
      </w:r>
    </w:p>
    <w:p>
      <w:r>
        <w:t>C. ON THE MERITS OF THE COMPLAINTS</w:t>
      </w:r>
    </w:p>
    <w:p>
      <w:r>
        <w:t>228. The following will be addressed successively:</w:t>
        <w:br/>
        <w:t>- the analysis of the practices pursued under complaint No. 1 (1);</w:t>
        <w:br/>
        <w:t>- the analysis of the practices pursued under complaint No. 2 (2);</w:t>
        <w:br/>
        <w:t>- the attribution of the practices (3).</w:t>
      </w:r>
    </w:p>
    <w:p>
      <w:r>
        <w:t>1. ON COMPLAINT No. 1</w:t>
      </w:r>
    </w:p>
    <w:p>
      <w:r>
        <w:t>229. It is appropriate, in the first instance, to recall the principles that guide the questioning of a professional union (a), then in a second instance, to analyze their application to the case at hand (b), and finally, to determine the duration of this infringement (c).</w:t>
      </w:r>
    </w:p>
    <w:p>
      <w:r>
        <w:t>a) Reminder of the principles</w:t>
      </w:r>
    </w:p>
    <w:p>
      <w:r>
        <w:t>On the questioning of a professional union</w:t>
      </w:r>
    </w:p>
    <w:p>
      <w:r>
        <w:t>230. According to consistent decision-making practice and case law, unions and professional organizations are not exempt from the application of competition rules.</w:t>
      </w:r>
    </w:p>
    <w:p>
      <w:r>
        <w:t>231. The Competition Council thus considered, in its decision No. 04-D-07 of March 11, 2004, regarding practices in the bakery sector in the Marne department, that: "A trade union or professional order, when it goes beyond the mission of information, advice, and defense of professional interests entrusted to it by law and intervenes in a market, is, in the sense of competition law, an enterprise that may be sanctioned on the basis of Article L. 420-1 of the Commercial Code" (paragraph 94).</w:t>
      </w:r>
    </w:p>
    <w:p>
      <w:r>
        <w:t>232. In the same vein, the Paris Court of Appeal ruled, in a judgment of June 6, 2013, rendered on appeal against decision No. 12-D-02 of January 12, 2012, regarding practices implemented in the leisure, culture, and tourism engineering sector, that "while a professional organization may disseminate information intended to assist its members in the exercise of their activity, the assistance it provides cannot, however, have the object or effect of diverting them from a direct understanding of their commercial strategy and their own costs that allows them to establish their prices individually and independently" (judgment of the Paris Court of Appeal of June 6, 2013, Gefil, No. 2012/02945, page 8. See also the judgment of the Paris Court of Appeal of January 29, 2008, UFOP, No. 2007/04524, page 6).</w:t>
      </w:r>
    </w:p>
    <w:p>
      <w:r>
        <w:t>233. Indeed, both from the decision-making practice of the Authority and from consistent case law, it follows that an anticompetitive practice may result from various acts emanating from the bodies of a professional group, such as a professional regulation, an internal regulation, a scale, or a circular. Thus, "the preparation and dissemination, at the initiative of a professional union, of a document intended for all its members may indeed constitute an agreement, a concerted action contrary to Article L. 420-1 of the Commercial Code if they have the object or effect of preventing, restricting, or distorting the play of competition" (previously cited judgment of June 6, 2013, Gefil, page 8. See also decision No. 07-D-41 of November 28, 2007, regarding practices opposing the freedom of prices of services offered to health establishments during calls for tenders for anatomical-cytopathological examinations, paragraph 111).</w:t>
      </w:r>
    </w:p>
    <w:p>
      <w:r>
        <w:t>234. The preparation and dissemination, at the initiative of a union or professional organization, of a document intended for all its members may therefore constitute an agreement contrary to Article L. 420-1 of the Commercial Code if it has the object or effect of preventing, restricting, or distorting the play of competition.</w:t>
      </w:r>
    </w:p>
    <w:p>
      <w:r>
        <w:t>235. Consequently, a trade union, when it goes beyond the mission of information, advice, and defense of professional interests entrusted to it by law, by adopting behavior likely to directly or indirectly influence the competition among its members, violates Article L. 420-1 of the Commercial Code.</w:t>
      </w:r>
    </w:p>
    <w:p>
      <w:r>
        <w:t>On the anticompetitive object of the preparation and dissemination by a professional union of pricing scales to its members</w:t>
      </w:r>
    </w:p>
    <w:p>
      <w:r>
        <w:t>236. Article L. 420-1 of the Commercial Code expressly prohibits concerted actions, agreements, express or tacit understandings between enterprises when they have the object or may have the effect of preventing, restricting, or distorting the play of competition in a market, particularly when they tend to obstruct the setting of prices by the free play of the market by artificially favoring their increase or decrease or by limiting or controlling production.</w:t>
      </w:r>
    </w:p>
    <w:p>
      <w:r>
        <w:t>237. The decision-making practice of the Competition Council has thus considered several times that the preparation and dissemination by a professional union of elements concerning the determination of rates, even if they do not have an imperative character, constitute concerted practices with an anticompetitive object (decision of the Competition Council No. 97-D-45 of June 10, 1997, regarding practices implemented by the National Council of the Order of Architects, page 12).</w:t>
      </w:r>
    </w:p>
    <w:p>
      <w:r>
        <w:t>238. In its decision No. 07-D-21 of June 26, 2007, the Council thus considered that the dissemination by UFOP of a price revision formula "may have encouraged companies to apply it mechanically, without taking into account their own economic realities (...). It is therefore likely to undermine the autonomy of companies in setting their prices. This practice has an anticompetitive object." (decision of the Competition Council No. 07-D-21 of June 26, 2007, regarding practices implemented in the linen rental and maintenance sector, paragraph 84).</w:t>
      </w:r>
    </w:p>
    <w:p>
      <w:r>
        <w:t>239. In its decision No. 07-D-05 of February 21, 2007, the Council specified that "the fact that the price determination system is not applied by all professionals, or that it was designed with a view to simplification, is not sufficient to remove the anticompetitive nature of such a practice" (paragraph 63 of the decision).</w:t>
      </w:r>
    </w:p>
    <w:p>
      <w:r>
        <w:t>240. More recently, the Paris Court of Appeal ruled, in its aforementioned judgment of June 6, 2013 (page 8): "in particular, the practices of professional organizations that disseminate to their members under the guise of management assistance, prices or methods of calculating prices that do not take into account the actual costs of each company are prohibited by Article L. 420-1 of the Commercial Code; Indeed, the dissemination of such documents, even when they do not have an imperative character, insofar as they provide each company with an indication of the prices or rates of increase considered 'normal' in the profession, may have the effect of encouraging competitors to align their behavior with that of others, thereby hindering the freedom of each company to set its prices based on its own data."</w:t>
      </w:r>
    </w:p>
    <w:p>
      <w:r>
        <w:t>On the application of I, 1° of Article L. 420-4 of the Commercial Code</w:t>
      </w:r>
    </w:p>
    <w:p>
      <w:r>
        <w:t>241. Article L. 420-4, I, 1° of the Commercial Code provides that "the provisions of Articles L. 420-1 and L. 420-2 do not apply to practices resulting from the application of a legislative text or a regulatory text taken for its application."</w:t>
      </w:r>
    </w:p>
    <w:p>
      <w:r>
        <w:t>242. The Competition Council has considered that these provisions can only exempt practices that constitute an inevitable consequence of the application of legislative or regulatory texts (decision No. 96-D-18 of March 26, 1996, regarding practices implemented by the regional council of the order of architects of Auvergne and architecture firms in the context of a public contract, page 7) or if the invoked text leaves no possibility for the enterprise (decision No. 07-D-50 of December 20, 2007, regarding practices implemented in the toy distribution sector, paragraph 678).</w:t>
      </w:r>
    </w:p>
    <w:p>
      <w:r>
        <w:t>243. Finally, as the Competition Authority recalled in the "Banks" case, "In accordance with Community case law, the Competition Authority considers that the fact that anticompetitive practices have been approved or encouraged by public authorities is not sufficient to relieve the companies involved of their responsibility. Public intervention can only constitute such a cause of exemption if the legal framework it establishes is binding (see, in this sense, the decision of the Competition Council No. 05-D-10 of March 15, 2005, regarding practices implemented in the Brittany cauliflower market)" (decision of the Competition Authority No. 10-D-28 of September 20, 2010, regarding the rates and conditions applied by banks and financial institutions for the processing of checks submitted for collection, paragraph 299).</w:t>
      </w:r>
    </w:p>
    <w:p>
      <w:r>
        <w:rPr>
          <w:b/>
        </w:rPr>
        <w:t>[Pages 52–54]</w:t>
      </w:r>
    </w:p>
    <w:p>
      <w:r>
        <w:t>1. b) Application to the case</w:t>
        <w:br/>
        <w:t>On the evidence of the development and dissemination of union price grids</w:t>
        <w:br/>
        <w:t>244. The file contains annual price grids from SAM ("Photo shoots and advertising filming - fashion shows" and "Editorial") for the following years: between 1986 and 1995, in 1997 and 1998, then in 2003 and 2005 (references 9843 to 9867 and reference 9744).</w:t>
        <w:br/>
        <w:t>245. The file contains annual price grids from UNAM ("Photo shoots and advertising filming - fashion shows" and "Editorial"), continuously, for the years 2000 to 2009 (references 9822 to 9841 and 11 231 to 11 232, and reference 25).</w:t>
        <w:br/>
        <w:t>246. The file contains annual price grids from SYNAM ("Photo shoots and advertising filming - fashion shows" and "Editorial") concerning the years 2010 and 2011 (references 30, references 171 and 172, reference 11230).</w:t>
        <w:br/>
        <w:t>247. Furthermore, as evidenced by paragraphs 77 to 81, the documents in the file demonstrate that the annual price grids developed and disseminated by the unions were distinct from the minimum remuneration grids for models resulting from the NAO.</w:t>
        <w:br/>
        <w:t>248. According to various converging testimonies presented in paragraphs 124 to 127, the price grids were adopted and updated annually in the general assembly of the unions, taking into account the evolution of salaries induced by the NAO with social partners.</w:t>
        <w:br/>
        <w:t>249. They were then disseminated by the unions by mail, by email, and via their website (references 9925 to 9927, reference 2845, reference 10099, reference 3984, reference 8717, reference 11215).</w:t>
        <w:br/>
        <w:t>250. It appears from the elements of the file that SAM, UNAM, and SYNAM developed and disseminated to their members tables of sales prices for modeling agency services, distinct from the tables of minimum remuneration.</w:t>
        <w:br/>
        <w:t>On the anticompetitive nature of the union price grids</w:t>
        <w:br/>
        <w:t>Analysis by the Authority</w:t>
        <w:br/>
        <w:t>251. It appears from the elements of the file that, while the union price grids took into account the rules imposed by the collective agreement and the Labor Code regarding the remuneration of models, the prices did not strictly replicate these minimum wages but also included the commercial margin of the agencies.</w:t>
        <w:br/>
        <w:t>252. Firstly, the preamble of the union price grids stated: "these prices are understood exclusive of taxes and include all charges and the agency commission" (emphasis added, reference 171 (SYNAM), reference 9841 (UNAM), reference 9867 (SAM)).</w:t>
        <w:br/>
        <w:t>253. Secondly, the comparison made in paragraphs 78 to 79 between the minimum wage tables and those reflecting the union prices shows a real autonomy between these grids. The union prices are clearly disconnected from the social minima, with differences that can reach up to three times these minima. Moreover, this same comparison attests to the absence of correspondence between the evolution of the union price grids and that of the minima resulting from the NAO.</w:t>
        <w:br/>
        <w:t>254. Thirdly, the inclusion of a commercial margin in the union price grids is evidenced by several statements, in particular:</w:t>
        <w:br/>
        <w:t>- those of Ms. C…, during her hearing before the DGCCRF: "They [the prices] consist of the gross salary of the models set by the collective agreement plus paid leave, employer charges, plus the client agency commission (maximum 20%). The agency's gross margin is about 30%" (emphasis added, reference 99);</w:t>
        <w:br/>
        <w:t>- those of the executive director of Next: "We believe that the SYNAM tables are developed based on the collective agreement and that they take into account, in addition to the provisions of the Labor Code, the practices implemented in the profession and the clients in terms of commission percentages" (emphasis added, reference 7204);</w:t>
        <w:br/>
        <w:t>- those of the former president of UNAM: "These prices also include social charges and the agency's margin" (emphasis added, reference 270).</w:t>
        <w:br/>
        <w:t>255. Fourthly and finally, the elements of the file demonstrate that the prices listed on the union grids could be negotiated downwards (see in particular reference 8847) or applied strictly (as in the case of Fashion Week, for example), which would be impossible if they were minimum wages that had to be paid to the models by the agencies.</w:t>
        <w:br/>
        <w:t>256. Therefore, the union grids contained elements for determining the prices of modeling agency services that, in principle, fell under their own commercial policy and should be determined based on their own costs or their commercial strategy. They thus had an anticompetitive object.</w:t>
        <w:br/>
        <w:t>Arguments of the defendants</w:t>
        <w:br/>
        <w:t>♦ On the legislative and contractual framework</w:t>
        <w:br/>
        <w:t>257. SYNAM, as well as several agencies (DI, Crystal, IMG, Enjoy, City, Exception, Marilyn, New Madison, Smith &amp; Smith, and Perfect), recall that the legislative and contractual framework imposes the respect of a double floor for the salary of models, one of which is calculated based on the prices of modeling agencies, and the other based on the revaluation of minimum wages. In this context, the representative unions of the profession would have acted solely to inform their members of the annual revaluations following the NAO. The Major agency claims that the price grids correspond to the pricing structure set by the collective agreement and that the agreements concluded between social partners would not fall within the scope of Article L. 420-1 of the Commercial Code.</w:t>
        <w:br/>
        <w:t>258. However, as indicated above (paragraphs 77 to 81), the prices developed and disseminated by SAM, UNAM, and then SYNAM did not constitute a simple replication of the salary rules applicable to modeling services, but collectively established the total price charged to the client, including not only the remuneration of the model but also the agency's margin.</w:t>
        <w:br/>
        <w:t>259. While it is true that the price grids take into account the provisions imposed by the collective agreement and the Labor Code, it has been demonstrated that they contain elements for determining the prices of modeling agency services that, in principle, fall under their own commercial policy and go beyond the requirements imposed by legal and contractual provisions.</w:t>
        <w:br/>
        <w:t>260. The fact that the union price grids are based on social minima does not, contrary to what the agencies argue, deprive them of their anticompetitive object.</w:t>
        <w:br/>
        <w:t>261. Similarly, the practice of developing and disseminating union grids cannot benefit from the exemption of Article L.420-4 I 1° of the Commercial Code, insofar as these grids do not strictly reflect the applicable legislative framework.</w:t>
        <w:br/>
        <w:t>♦ On the repeal of the former regime of administered prices in the sector</w:t>
        <w:br/>
        <w:t>262. The company Hourra claims that it has not been demonstrated that the decrees regulating prices in the modeling agency sector have been repealed (references 22416 and 22430 to 22432).</w:t>
        <w:br/>
        <w:t>263. However, as indicated in paragraphs 40 to 44, the regime of administered prices for services related to models was established under Ordinance No. 45-1483 of June 30, 1945, relating to prices, and Ordinance No. 45-1484 relating to the ascertainment, prosecution, and repression of violations of economic regulations, both of which were repealed by Ordinance No. 86-1243 of December 1, 1986, relating to price freedom and competition.</w:t>
        <w:br/>
        <w:t>264. Consequently, administered prices in this sector effectively disappeared as of January 1, 1987.</w:t>
        <w:br/>
        <w:t>265. Nevertheless, the practices of SAM and UNAM and then SYNAM persisted even as prices in the sector became free.</w:t>
        <w:br/>
        <w:t>266. Moreover, the fact that the development and dissemination of price grids are part of the continuity of an old authorized practice of administered prices does not remove the anticompetitive nature of this practice, as it persisted while prices in the sector were no longer regulated.</w:t>
        <w:br/>
        <w:t>267. The argument will therefore be dismissed.</w:t>
        <w:br/>
        <w:t>♦ On the knowledge of the union price grids by public authorities</w:t>
        <w:br/>
        <w:t>268. SYNAM argues that public authorities were aware of these grids, as they were necessary for obtaining the license allowing them to operate as modeling agencies in France, in a context of continuity of an old authorized practice of administered prices (see for example references 25986 and 25987).</w:t>
        <w:br/>
        <w:t>269. Firstly, it is recalled that the fact that public authorities were aware of anticompetitive practices does not exempt the companies involved from their responsibility.</w:t>
        <w:br/>
        <w:t>270. Secondly, it is not within the competence of the authorities responsible for issuing state licenses to modeling agencies to verify the compliance of union price grids with competition law, but to ensure the economic viability of the project based on a budget forecast and a market study provided by the candidates for the state license.</w:t>
        <w:br/>
        <w:t>271. It was therefore up to the modeling agencies to present a budget based on their own costs and the estimated margins by each and not to rely on union prices to obtain the state license.</w:t>
        <w:br/>
        <w:t>272. The argument will therefore be dismissed.</w:t>
        <w:br/>
        <w:t>♦ On the content of union prices</w:t>
        <w:br/>
        <w:t>273. The autonomy of the union price grids from social minima is contested by SYNAM, which believes that the observed evolution of the union grids stems from the fact that they include labor charges, the considerable increase of which would have mechanically led to a faster evolution compared to social minima (reference 25986).</w:t>
        <w:br/>
        <w:t>274. However, the increase in social charges cannot alone explain the fact that union prices were up to three times higher than conventional wages (see in this regard paragraphs 77 to 81). The argument will therefore be dismissed.</w:t>
      </w:r>
    </w:p>
    <w:p>
      <w:r>
        <w:rPr>
          <w:b/>
        </w:rPr>
        <w:t>[Pages 55–57]</w:t>
      </w:r>
    </w:p>
    <w:p>
      <w:r>
        <w:t xml:space="preserve">1. ♦ On the binding nature of the pricing grids  </w:t>
        <w:br/>
        <w:t xml:space="preserve">275. The New Madison agency argues that the dissemination of indicative pricing grids cannot be equated with the dissemination of price instructions and that it has not been demonstrated in this case that the unions implemented measures compelling agencies to comply with union prices (see for example references 28662 to 28664).  </w:t>
        <w:br/>
        <w:t xml:space="preserve">276. Nevertheless, in accordance with the aforementioned decision-making practice, the development and dissemination by a professional union of elements concerning the determination of rates, even if they are not imperative, constitute concerted practices with an anticompetitive object.  </w:t>
        <w:br/>
        <w:t xml:space="preserve">277. Furthermore, as evidenced by paragraphs 90 to 98 of this decision, the unions created and maintained confusion in the minds of agencies between the pricing grids and the social minima that must be respected under the collective agreement and the Labor Code, which reinforced the incentive for modeling agencies to use union rates.  </w:t>
        <w:br/>
        <w:t xml:space="preserve">278. For example, the financial director of the Ford agency confirmed the difference between union pricing grids and wage minima, stating: "There is currently confusion between the minimum wage rates by qualification (T7, T8,...) for models defined by the collective agreement and renegotiated every year and the rates currently existing, disseminated by SYNAM and which are agency rates" (reference 1814).  </w:t>
        <w:br/>
        <w:t xml:space="preserve">279. Finally, Article 8 of the internal regulations annexed to the statutes of SYNAM – which states "In accordance with the collective agreement, members may not advertise in writing by disseminating pricing schedules or categories of models that would be personal to them" (reference 2881) – aims to prohibit any dissemination of a specific rate by an agency that is a member of the union, it being understood that, pursuant to Article 11 of the statutes of SYNAM, "Every admitted member agrees to respect the statutes, the internal regulations, and the decisions of the union" (reference 2868).  </w:t>
        <w:br/>
        <w:t xml:space="preserve">280. The argument will therefore be dismissed.  </w:t>
        <w:br/>
        <w:t xml:space="preserve">♦ On the impact of pricing grids on the behavior of agencies  </w:t>
        <w:br/>
        <w:t xml:space="preserve">281. The DI and Crystal agencies assert that Article L. 420-1 of the Commercial Code requires demonstrating that the dissemination of these grids diverted agencies from a direct understanding of their commercial strategy. However, this proof would not be provided: i) the statements of Ms. C... transcribed in the notification of grievances have been distorted and ii) the gross margin mentioned is by definition specific to each agency and cannot be set in advance. They conclude that "for these reasons, the percentage mentioned by Ms. C... can only be an approximation and cannot alone prove that the agencies would have failed to freely understand their prices" (see for example references 25715 and 25716).  </w:t>
        <w:br/>
        <w:t xml:space="preserve">282. However, as evidenced by paragraphs 99 to 102, modeling agencies used the union pricing grids as a reference basis for negotiations, when these existed. Union rates were also systematically applied during certain periods of the year, particularly during "Fashion Week" (paragraphs 103 to 105).  </w:t>
        <w:br/>
        <w:t xml:space="preserve">283. By substituting the legal reference of the wage minima for models defined by the collective agreement, the union rates including the margin rate defended by SAM, UNAM, and SYNAM – which the agencies appropriated – skewed the starting point of commercial negotiations in favor of modeling agencies. The findings of the DGCCRF of differentiated application rates, and more specifically, the fact that the rates applied were lower in the provinces than in the Paris region, do not call into question the anticompetitive object of the practices.  </w:t>
        <w:br/>
        <w:t xml:space="preserve">284. Moreover, the union pricing grids may have favored price alignment in the market, as evidenced by several statements from modeling agencies:  </w:t>
        <w:br/>
        <w:t xml:space="preserve">- The CEO of the Animus agency (former president of UNAM) stated: "All of this was intended to ensure a minimum for models. These rates also include social charges and agency margins. This would lead to all agencies applying the same commission rate, and all the same billed amount. Thus, to an alignment of rates" (emphasis added, reference 270);  </w:t>
        <w:br/>
        <w:t xml:space="preserve">- The KLRP agency (which was not a member of SYNAM) stated: "We apply the rates that are practiced by everyone, that is to say, the rates disseminated by SYNAM on their website. These rates are mainly used for magazines and for fashion shows" (emphasis added, reference 2845).  </w:t>
        <w:br/>
        <w:t xml:space="preserve">285. Furthermore, the Major and Viva agencies argue that the union pricing grids would have had a moderating effect by limiting the effects of inflation (see for example references 27061 and 27062).  </w:t>
        <w:br/>
        <w:t xml:space="preserve">286. However, the grids were re-evaluated each year taking into account the evolution of the minimum wages themselves re-evaluated annually by the social partners in light of economic parameters such as inflation. Moreover, during the period 2004-2010, the evolution of rates (an average of 18.5% for rates T7, T8, and T9) was higher than that of inflation (12%).  </w:t>
        <w:br/>
        <w:t xml:space="preserve">287. The arguments will therefore be dismissed.  </w:t>
        <w:br/>
        <w:t xml:space="preserve">c) Duration and limitation of practices  </w:t>
        <w:br/>
        <w:t xml:space="preserve">Principles  </w:t>
        <w:br/>
        <w:t xml:space="preserve">On the proof of the duration of anticompetitive practices  </w:t>
        <w:br/>
        <w:t xml:space="preserve">288. To determine the duration of an infringement of competition rules, it is necessary to seek the period that elapsed between the date of its commencement and the date on which it was terminated.  </w:t>
        <w:br/>
        <w:t xml:space="preserve">289. Anticompetitive practices take on the character of continuous practices when the unlawful state extends over time through constant reiteration or the persistence of the author's intent after the initial act (judgment of the Court of Cassation of March 15, 2011, Établissements Guy Joubert, appeal No. 09-17.055, approving in this regard the judgment of the Paris Court of Appeal of September 29, 2008, Établissement A. Mathé. Judgment of the Court of Cassation of June 11, 2013, Marionnaud parfumerie, No. 12-13.961, as well as the judgment of the Court of Appeal of March 29, 2012, Lacroix Signalisation, No. 2011/01228, page 10).  </w:t>
        <w:br/>
        <w:t xml:space="preserve">290. The continuity of a practice can be established notably by the existence of actions manifesting its maintenance, by the repetition of the anticompetitive agreement or considering the fact that it remained in force and continuously retained its object and its effects, current and potential.  </w:t>
        <w:br/>
        <w:t xml:space="preserve">291. On the question of the proof of the continuity of anticompetitive practices, the Paris Court of Appeal held that a set of "facts, which were renewed regularly over a decade, [which] were not isolated acts but were part of a policy of price development and harmonization that lasted for several years without any significant interruption" (judgment of the Paris Court of Appeal of September 29, 2009, No. 2008/12 495, Établissements A. Mathé).  </w:t>
        <w:br/>
        <w:t xml:space="preserve">On the limitation of anticompetitive practices  </w:t>
        <w:br/>
        <w:t xml:space="preserve">292. Regarding the issue of the limitation of anticompetitive practices, Article L. 462-7 of the Commercial Code states that "The Authority cannot be seized of facts dating back more than five years if no act has been undertaken to investigate, ascertain, or sanction them."  </w:t>
        <w:br/>
        <w:t xml:space="preserve">293. According to consistent case law, the determination of the starting point of the limitation period depends on how the facts unfolded over time. If, for instantaneous practices, the starting point of the limitation period is the day after the constitutive act of the infringement, for continuous practices, the starting point of this period is the day after the day on which the unlawful behavior ceased (judgment of the Paris Court of Appeal of March 29, 2012, Lacroix Signalisation, No. 2011/01228, page 10).  </w:t>
        <w:br/>
        <w:t xml:space="preserve">Application to the case at hand  </w:t>
        <w:br/>
        <w:t xml:space="preserve">Arguments of the defendants  </w:t>
        <w:br/>
        <w:t xml:space="preserve">294. SYNAM argues that the continuity of the infringement since 1987 is not demonstrated, so that the Authority cannot be seized of facts prior to July 26, 2006, that is, five years before the initiation of proceedings No. 11-SO-13 by the Competition Authority. It particularly emphasizes that it is not established that SAM continuously disseminated the union pricing grids and that the file contains no other elements allowing for the demonstration of the existence of a process for adopting these pricing grids each year (references 25981 to 25984).  </w:t>
        <w:br/>
        <w:t xml:space="preserve">Analysis of the Authority  </w:t>
        <w:br/>
        <w:t xml:space="preserve">295. The Authority notes that the elements present in the file do not sufficiently support the continuity, without significant interruption, of the development and dissemination of pricing grids by SAM for the period from 1998 to 2009.  </w:t>
        <w:br/>
        <w:t xml:space="preserve">296. In contrast, regarding the grids developed and disseminated by UNAM, the continuity of this practice is attested, at least, for the period from 2000 to 2009. The same behavior was then extended, in the same terms and under the same forms, by SYNAM from February 6, 2009, until the end of 2010.  </w:t>
        <w:br/>
        <w:t xml:space="preserve">297. Furthermore, as previously indicated (paragraphs 82 to 84), the union pricing grids were generally published at the beginning of January and were applicable at least for the entire calendar year.  </w:t>
        <w:br/>
        <w:t xml:space="preserve">298. The Authority will therefore retain a duration of the practice referred to in grievance No. 1 covering the period from January 1, 2000, to December 31, 2010.  </w:t>
        <w:br/>
        <w:t>299. Finally, since it has just been demonstrated that the practice in question occurred continuously from the beginning of the year 2000 to the end of the year 2010, the limitation is not acquired for these facts.</w:t>
      </w:r>
    </w:p>
    <w:p>
      <w:r>
        <w:rPr>
          <w:b/>
        </w:rPr>
        <w:t>[Pages 58–60]</w:t>
      </w:r>
    </w:p>
    <w:p>
      <w:r>
        <w:t xml:space="preserve">1. d) Conclusion  </w:t>
        <w:br/>
        <w:t xml:space="preserve">300. It follows from the above that UNAM and then SYNAM have deviated from their primary mission of informing, advising, and defending the professional interests of their members and have engaged, by developing and disseminating annual pricing grids to their members, in a practice whose purpose was to obstruct price setting through market forces. This practice is anticompetitive by its very nature. This practice, implemented continuously from the beginning of the year 2000 to the end of the year 2010, is contrary to Article L. 420-1 of the Commercial Code.  </w:t>
        <w:br/>
        <w:t xml:space="preserve">2. ON GRIEVANCE NO. 2  </w:t>
        <w:br/>
        <w:t xml:space="preserve">301. It is necessary to successively address: the consequences of the implementation of the procedure for not contesting the grievances (a), the agreement of will (b), the anticompetitive nature of the union meetings (c), and the individual participation of each of the companies involved (d).  </w:t>
        <w:br/>
        <w:t xml:space="preserve">a) On the consequences of the implementation of the procedure for not contesting the grievances  </w:t>
        <w:br/>
        <w:t xml:space="preserve">Principles  </w:t>
        <w:br/>
        <w:t xml:space="preserve">302. The organization or company that chooses to seek the benefit of the implementation of III of Article L. 464-2 of the Commercial Code in its wording prior to August 6, 2015, must comply with the conditions imposed in this regard, by not contesting the reality of the grievances that have been notified to it.  </w:t>
        <w:br/>
        <w:t xml:space="preserve">303. The interested party thus waives the right to contest the materiality of all the practices referred to in the notification of grievances, the qualification that has been given in light of the provisions of Union law and the Commercial Code, as well as its liability in the implementation of these practices (judgment of the Paris Court of Appeal of March 29, 2012, Lacroix Signalisation e.a., No. 2011/01228, page 23). This waiver must be clear, complete, and free of ambiguity (decision No. 06-D-09 of April 11, 2006, concerning practices implemented in the door manufacturing sector, paragraph 303, and decision No. 10-D-39 of December 22, 2010, concerning practices implemented in the vertical road signage sector, paragraph 425).  </w:t>
        <w:br/>
        <w:t xml:space="preserve">304. The waiver of contesting the grievances is sufficient for the Authority to consider that all the infringements in question are established with respect to the parties that have made this procedural choice. Only the question of the participation in the anticompetitive practices of the parties that have not waived contesting the grievances needs to be discussed (see, in this sense, judgment of the Paris Court of Appeal of January 26, 2010, Adecco France e.a., RG No. 2009/03532, page 10, and on appeal judgment of the Court of Cassation of March 29, 2011, Manpower France e.a., No. 10-12913; see also decision No. 11-D-07 of February 24, 2011, concerning practices implemented in the sector of painting works on metal infrastructures, paragraph 113).  </w:t>
        <w:br/>
        <w:t xml:space="preserve">305. However, as indicated in the procedural communication of February 10, 2012, regarding the procedure for not contesting the grievances, “[w]hen it considers that particular circumstances justify it, the Authority may nevertheless decide not to retain all or part of one or more grievances, notwithstanding the fact that they have not been contested” (point 42 of the communication).  </w:t>
        <w:br/>
        <w:t xml:space="preserve">Application to the case at hand  </w:t>
        <w:br/>
        <w:t xml:space="preserve">306. In this case, grievance No. 2 has not been contested by the companies Dynamite, Ovation, and People. It is therefore established against them, subject to the particular circumstances of the case, regarding the duration of the infringement (paragraphs 382 and following).  </w:t>
        <w:br/>
        <w:t xml:space="preserve">307. However, it remains necessary to demonstrate the participation in the practice of the other parties that did not make this procedural choice.  </w:t>
        <w:br/>
        <w:t xml:space="preserve">308. In order to determine whether the practices referred to in grievance No. 2 are characterized with respect to them, it is necessary to assess whether the agreement of will and the anticompetitive object of the practices are established concerning them.  </w:t>
        <w:br/>
        <w:t xml:space="preserve">b) The agreement of will  </w:t>
        <w:br/>
        <w:t xml:space="preserve">The involvement of members of a professional organization under national law  </w:t>
        <w:br/>
        <w:t xml:space="preserve">309. When only national law is applicable, the Authority recalled, in its decision No. 12-D-02 of January 12, 2012 (confirmed by the Paris Court of Appeal, judgment of June 6, 2013, Géfil, No. 2012/02945, page 15), the standard of proof concerning an anticompetitive concertation taking place during meetings held within the framework of a professional organization:  </w:t>
        <w:br/>
        <w:t xml:space="preserve">“The mere fact of having participated in a meeting held within the statutory framework of a professional organization – ordinary general assembly of a departmental professional federation in the case of bakeries (see decision No. 04-D-07 of March 11, 2004, concerning practices identified in the bakery sector in the Marne department), national conventions, board of directors, economic commission, or bureau of a national federation in the case of the trade of sanitary or heating appliances (see decision No. 06-D-03 already cited) – whose agenda has in fact evolved towards an anticompetitive object – is not sufficient to characterize the companies' adherence to the agreement.  </w:t>
        <w:br/>
        <w:t xml:space="preserve">Indeed, in such a case, the regularly convened company is not in a position to know the anticompetitive object of this meeting.  </w:t>
        <w:br/>
        <w:t xml:space="preserve">In this context, the Council has considered, in these two cases, that the agreement of will was demonstrated when the company, whether or not it participated in this meeting, adhered to the agreement by proof of its agreement to the price agreement, the dissemination of the instructions established during this meeting, or by the application of the concrete measures decided by this meeting, or when the company participated in a subsequent meeting having the same anticompetitive object” (paragraph 111).  </w:t>
        <w:br/>
        <w:t xml:space="preserve">310. According to the decision-making practice, the mere fact of having participated in a single meeting held within the statutory framework of a professional organization is therefore insufficient to demonstrate a company's adherence to an agreement when the company is not in a position to grasp the anticompetitive nature of the meeting and it is only revealed to it by an unpredictable evolution of the agenda, to the extent that its good faith may have been surprised, given the statutory framework in which the meeting was held. On the other hand, if the anticompetitive nature of the meeting is sufficiently revealed to the company and it participates with full knowledge of the facts, this is sufficient to characterize its voluntary adherence to the agreement, without it being necessary to demonstrate that it has subscribed to it by other means.  </w:t>
        <w:br/>
        <w:t xml:space="preserve">311. In the event that the anticompetitive nature of a meeting was not foreseeable, adherence to the agreement may nevertheless be demonstrated if the company in question gives its express agreement to the agreement, if it disseminates the instructions established during the meeting, if it applies the concrete measures decided during the meeting, or finally if it participates in another meeting having the same anticompetitive object.  </w:t>
        <w:br/>
        <w:t xml:space="preserve">312. In particular, it cannot be considered that the good faith of the participants was surprised if the documents in the file demonstrate that they expressed their express agreement to the agreement. Thus, in its decision No. 05-D-27 of June 15, 2005, concerning practices identified in the white tuna sector, the Competition Council noted that “the terms used [in the minutes of meetings of producer organizations within the framework of FIOM] are unambiguous as to the fact that these are decisions made jointly by all participants and whose object is indeed the setting of ‘minimum’ prices and ‘common’ prices” and that “these minutes do not mention any reservations or opposition expressed by a particular producer organization (…)” to conclude that “the fact that producer organizations participate in meetings where common minimum prices were decided leaves no doubt about their willingness to participate in a price concertation, as the very nature of these decisions establishes their anticompetitive character, even if it were found, as is the case for two of them, that there was only one participation in these meetings” (paragraphs 39 to 41).  </w:t>
        <w:br/>
        <w:t xml:space="preserve">The use of a body of evidence  </w:t>
        <w:br/>
        <w:t xml:space="preserve">313. The proof of anticompetitive practices may result either from evidence that is self-sufficient or from a body of serious, precise, and consistent evidence constituted by the correlation of various elements collected during the investigation (judgment of the Paris Court of Appeal of September 16, 2010, Raffali &amp; Cie, No. 2009/24 813, page 7).  </w:t>
        <w:br/>
        <w:t xml:space="preserve">314. The proof of the agreement of will can therefore be established by documentary elements (internal company documents, minutes of meetings, etc.) that the company can supplement with written explanations or oral statements. To assess the probative value of a statement or document, it is necessary, drawing on what European courts judge: “first to verify the plausibility of the information contained therein. It is then necessary to take into account, in particular, the origin of the document, the circumstances of its preparation, its recipient, and to ask whether, based on its content, it seems sensible and reliable” (General Court of the European Union, October 25, 2005, Groupe Danone, T 38/02; decision No. 07-D-48 of December 18, 2007, concerning practices implemented in the national and international moving sector, paragraph 186).  </w:t>
        <w:br/>
        <w:t xml:space="preserve">315. Furthermore, a document regularly seized, regardless of the place where it was seized, is enforceable against the company that drafted it, against the one that received it, and against those mentioned therein and can be used as evidence by correlating it with other consistent indices of a concertation or exchange of information between companies (judgment of the Paris Court of Appeal of December 18, 2001, Bajus Transport, No. 2001/09043).  </w:t>
        <w:br/>
        <w:t xml:space="preserve">On the arguments of the parties involved regarding the agreement of wills  </w:t>
        <w:br/>
        <w:t xml:space="preserve">Arguments of the parties involved  </w:t>
        <w:br/>
        <w:t>316. The agencies IMG, Elite, Success, Nathalie, and Women consider that the decision-making practice tends to limit the joint involvement of a union and its members to cases of positive acts of adherence to the agreement, such as participation in the development of</w:t>
      </w:r>
    </w:p>
    <w:p>
      <w:r>
        <w:rPr>
          <w:b/>
        </w:rPr>
        <w:t>[Pages 61–63]</w:t>
      </w:r>
    </w:p>
    <w:p>
      <w:r>
        <w:t>1. Arguments of the parties involved</w:t>
        <w:br/>
        <w:t>316. The agencies IMG, Elite, Success, Nathalie, and Women consider that the decision-making practice tends to limit the joint involvement of a union and its members to cases of positive acts of adherence to the agreement, such as participation in the development of the agreement or when the member has an active role in disseminating the union's instructions to the members (see for example references 28339 to 28363).</w:t>
      </w:r>
    </w:p>
    <w:p>
      <w:r>
        <w:t>317. The notification of grievances does not demonstrate that there were exchanges among the SYNAM agencies regarding the pricing grids and their content prior to their communication and publication; they believe that no participation in a pricing dissemination practice can be attributed to them.</w:t>
      </w:r>
    </w:p>
    <w:p>
      <w:r>
        <w:t>318. According to the Frimousse agency, it would be necessary to demonstrate that the company involved "intended to contribute through its own behavior to the common objectives pursued by all participants" as "an anticompetitive agreement can only be sanctioned if the companies involved have freely and voluntarily participated in a concerted action, knowing that its purpose was or could have the effect of preventing, restricting, or distorting competition in the market" (reference 26065).</w:t>
      </w:r>
    </w:p>
    <w:p>
      <w:r>
        <w:t>319. The agencies Karin, Metropolitan, and Rebecca argue that the wording of grievance No. 2—which accuses the member agencies of the union of having participated in the annual practice of disseminating pricing grids attributed to the union and, in its second branch, of having applied the prices recommended by the union through these pricing grids—would overlook the fact that the application of the pricing grid disseminated by the union is a determining condition for attributing individual participation and not a distinct and complementary cause (see for example, references 26966 to 26971).</w:t>
      </w:r>
    </w:p>
    <w:p>
      <w:r>
        <w:t>320. The notified grievance would therefore be discriminatory in that it would refrain from pursuing companies absent from the union meetings but having applied the rates. The same would apply to non-member agencies that have appropriated the union grids.</w:t>
      </w:r>
    </w:p>
    <w:p>
      <w:r>
        <w:t>Response of the Authority</w:t>
        <w:br/>
        <w:t>321. The interpretation put forward by the parties involved is erroneous and operates an overly extensive analysis of the specifics of the Authority's decision-making practice regarding statutory meetings of professional associations. Indeed, as indicated above, practice and case law require, when a company's participation occurs through an anticompetitive meeting within a professional union, additional elements to confirm the agreement of the participants' wills. These elements may include the foreseeable nature of the anticompetitive purpose of the meeting, participation in another anticompetitive meeting, the dissemination of instructions, or the application of the decided measures. The agreement of wills can also be demonstrated by elements showing a formal agreement to the practice.</w:t>
      </w:r>
    </w:p>
    <w:p>
      <w:r>
        <w:t>322. Consequently, contrary to what the parties involved assert, it is not necessary to demonstrate the existence of an active role of the modeling agencies in the practices, but only the reality of their adherence to it. Likewise, the effective application of the rates established by the union grids does not constitute a necessary condition for demonstrating their participation.</w:t>
      </w:r>
    </w:p>
    <w:p>
      <w:r>
        <w:t>323. In this regard, the comparisons made by the DGCCRF services between the union grids and the invoices of several modeling agencies for December 2009 and January 2010 are not necessary to demonstrate the companies' adherence to the agreement.</w:t>
      </w:r>
    </w:p>
    <w:p>
      <w:r>
        <w:t>324. The arguments of the parties involved will therefore be dismissed.</w:t>
      </w:r>
    </w:p>
    <w:p>
      <w:r>
        <w:t>1. c) On the anticompetitive nature of the meetings of UNAM and SYNAM</w:t>
        <w:br/>
        <w:t>Applicable principles</w:t>
        <w:br/>
        <w:t>325. The essential objective of competition law is for every economic operator to autonomously determine the policy it intends to follow in the market.</w:t>
      </w:r>
    </w:p>
    <w:p>
      <w:r>
        <w:t>326. Each company must strictly refrain from participating in direct or indirect contacts with its competitors with a view to exchanging information on commercial policies, particularly regarding the prices of goods and services it intends to offer in the market. Such behavior contravenes the principle of autonomy that companies must demonstrate when competing in a market (see in particular the decision of the Competition Authority No. 11-D-17 of December 8, 2011, regarding practices implemented in the laundry sector, paragraph 454, confirmed by the Paris Court of Appeal, January 30, 2014, No. 2012/00723).</w:t>
      </w:r>
    </w:p>
    <w:p>
      <w:r>
        <w:t>327. In the case of agreements manifested during meetings of competing companies, an infringement of competition rules is constituted when these meetings aim to restrict, prevent, or distort competition and thus seek to artificially organize the functioning of the market (see, in this sense, judgment of the Court of Justice, C-189/02 of June 28, 2005, Dansk Rørindustri e.a./Commission, paragraph 145).</w:t>
      </w:r>
    </w:p>
    <w:p>
      <w:r>
        <w:t>328. The Authority's decision-making practice has repeatedly considered that agreements on prices, a practice cited in Article L. 420-1 of the Commercial Code, are contrary to competition rules due to their very object (decision No. 12-D-08 of March 6, 2012, of the Competition Authority, paragraph 405). As stated above in paragraphs 236 to 240, the development and dissemination by a professional union of elements concerning the determination of rates, even if they are not imperative, constitute concerted practices with an anticompetitive object.</w:t>
      </w:r>
    </w:p>
    <w:p>
      <w:r>
        <w:t>Application to the case at hand</w:t>
        <w:br/>
        <w:t>The meetings of UNAM on February 4, 2005, and December 15, 2006</w:t>
        <w:br/>
        <w:t>329. Regarding the ordinary general assembly of UNAM on February 4, 2005, as well as the board of directors of UNAM on December 15, 2006, the minutes of these two meetings show that the exchanges regarding the pricing grids were limited, for the most part, to information provided by the professional union that they were posted online on the UNAM website.</w:t>
      </w:r>
    </w:p>
    <w:p>
      <w:r>
        <w:t>330. The Authority also notes that these two meetings are particularly isolated in time since the notification of grievances did not record any other contact before February 6, 2009, and the file contains no elements of contemporary application of the two aforementioned meetings.</w:t>
      </w:r>
    </w:p>
    <w:p>
      <w:r>
        <w:t>331. Consequently, the Authority will exclude these two meetings from the analysis of grievance No. 2.</w:t>
      </w:r>
    </w:p>
    <w:p>
      <w:r>
        <w:t>The ordinary general assembly of UNAM on February 6, 2009</w:t>
        <w:br/>
        <w:t>332. If during the ordinary general assembly of UNAM on February 6, 2009, the leaders of UNAM mentioned issues related to potential unfair competition among agencies, the statements in question do not allow for the characterization of a coordination of the pricing policy by the agencies participating in the assembly.</w:t>
      </w:r>
    </w:p>
    <w:p>
      <w:r>
        <w:t>333. Consequently, this meeting did not have an anticompetitive object.</w:t>
      </w:r>
    </w:p>
    <w:p>
      <w:r>
        <w:t>1. The founding assembly of SYNAM on February 6, 2009</w:t>
        <w:br/>
        <w:t>♦ Analysis of the content of the meeting</w:t>
        <w:br/>
        <w:t>334. During the founding assembly of SYNAM on February 6, 2009, the member companies present unanimously adopted the statutes of the new union, which had been transmitted to them in advance.</w:t>
      </w:r>
    </w:p>
    <w:p>
      <w:r>
        <w:t>335. In doing so, in accordance with Article 11 of the statutes of SYNAM, which specifies that "Every admitted member agrees to respect the statutes, the internal regulations, and the decisions of the union," they also committed to respecting the internal regulations annexed to these statutes. Thus, from February 6, 2009, the member companies of the newly constituted SYNAM were all bound by the provisions of this internal regulation, which had been transmitted to them in advance with the statutes.</w:t>
      </w:r>
    </w:p>
    <w:p>
      <w:r>
        <w:t>336. However, Article 8 of the internal regulations has an anticompetitive object, as it prohibits any possibility for agencies to promote pricing schedules other than those of SYNAM and effectively prevents any autonomous pricing policy of the agencies ("In accordance with the collective agreement, members may not make written advertisements disseminating pricing schedules or categories of models that would be personal to them" (reference 2881)).</w:t>
      </w:r>
    </w:p>
    <w:p>
      <w:r>
        <w:t>337. Consequently, during the founding assembly of SYNAM on February 6, 2009, the members of this union agreed—by unanimously voting for the statutes of the union, including its internal regulations—on a rule having an anticompetitive object.</w:t>
      </w:r>
    </w:p>
    <w:p>
      <w:r>
        <w:t>♦ Arguments of the parties involved</w:t>
        <w:br/>
        <w:t>338. Firstly, according to SYNAM and certain agencies (see for example references 19786 and 19787), this Article 8 of the internal regulations—which refers to the collective agreement—would merely reflect the last paragraph of Article 9 of the collective agreement, drafted as follows: "modeling agencies may not disseminate or promote to their clientele service rates that do not display the classifications included in this article." In other words, Article 8 of the internal regulations would prohibit modeling agencies from disseminating or promoting to their clientele service rates that do not display the classifications defined by the collective agreement, but would not prohibit personal schedules.</w:t>
      </w:r>
    </w:p>
    <w:p>
      <w:r>
        <w:t>339. Secondly, the agencies Ford, Viva, Frimousse, Elite, Success, and Nathalie believe that the documents in the file do not demonstrate that the internal regulations were adopted during this meeting (see for example reference 26946). The agencies City, Exception, Marilyn, and Smith &amp; Smith assert that Article 8 of the internal regulations was not discussed during this meeting (see for example references 28293 and 28294).</w:t>
      </w:r>
    </w:p>
    <w:p>
      <w:r>
        <w:t>♦ Response of the Authority</w:t>
        <w:br/>
        <w:t>340. Regarding the first argument, the wording of Article 8 of the internal regulations is unequivocal: notably by the use of the coordinating conjunction "or," it prohibits members of the union from disseminating personal pricing schedules. The reading of the collective agreement does not allow for another interpretation of Article 8 of the internal regulations, as the last paragraph of Article 9 of said agreement merely imposes the mention of functional classifications in the case of disseminating rates to the clientele, without prohibiting the dissemination of personal schedules.</w:t>
      </w:r>
    </w:p>
    <w:p>
      <w:r>
        <w:rPr>
          <w:b/>
        </w:rPr>
        <w:t>[Pages 64–66]</w:t>
      </w:r>
    </w:p>
    <w:p>
      <w:r>
        <w:t xml:space="preserve">1.  </w:t>
        <w:br/>
        <w:t xml:space="preserve">341. The interpretation of this article of the internal regulations by the defendants must therefore be rejected.  </w:t>
        <w:br/>
        <w:t xml:space="preserve">342. Regarding the second argument, numerous indications converge to suggest that the companies present at the founding assembly of February 6, 2009, had received in advance the statutes of SYNAM, as well as the internal regulations attached.  </w:t>
        <w:br/>
        <w:t xml:space="preserve">343. Indeed, in the minutes of the extraordinary general assembly of UNAM on February 6, 2009, it is written:  </w:t>
        <w:br/>
        <w:t xml:space="preserve">"[Mr. F...] then presents the statutes themselves which were sent in advance to the members. Before proceeding to the vote, he informs the members of the planned schedule: The Boards of Directors of S.A.M and U.N.A.M have validated the texts submitted to the Extraordinary General Assembly. The AGE of S.A.M has already voted positively and if the AGE of U.N.A.M does the same, a founding assembly is scheduled for that very day."  </w:t>
        <w:br/>
        <w:t xml:space="preserve">344. It also appears that the statutes of SYNAM were sent to the members of the two unions (SAM and UNAM) before the founding assembly of February 6, 2009. Moreover, a record of this sending is available in the file. It is an email dated February 4, 2009, by which UNAM transmitted said statutes to the representative of the Viva agency, in anticipation of the founding assembly of SYNAM on February 6, 2009 (references 3484 to 3501):  </w:t>
        <w:br/>
        <w:t xml:space="preserve">"Good evening Cyril,  </w:t>
        <w:br/>
        <w:t xml:space="preserve">Please find attached the statutes of SYNAM.  </w:t>
        <w:br/>
        <w:t xml:space="preserve">I know, since I was next to Chantal when she called you yesterday, that you will be present this Friday at the founding assembly.  </w:t>
        <w:br/>
        <w:t xml:space="preserve">Please fax me your attendance sheet at 01 47 91 58 06.  </w:t>
        <w:br/>
        <w:t xml:space="preserve">Looking forward to meeting you, I wish you a very good reading!  </w:t>
        <w:br/>
        <w:t xml:space="preserve">Best regards,  </w:t>
        <w:br/>
        <w:t xml:space="preserve">Ms. C..."  </w:t>
        <w:br/>
        <w:t xml:space="preserve">345. The annex transmitted with this email contains the statutes as well as the internal regulations. Furthermore, in this sending, the statutes and the internal regulations are subject to continuous numbering indicating the existence of a single document. Additionally, it can be noted that the preamble of the internal regulations specifies that "an internal regulation is annexed to the statutes of SYNAM."  </w:t>
        <w:br/>
        <w:t xml:space="preserve">346. For all these reasons, it is demonstrated that, during the founding assembly of SYNAM on February 6, 2009, the companies present had previously been informed of the statutes and the internal regulations of SYNAM and that they were able to validly express their opinion on the entirety of this document at the time of its adoption in assembly.  </w:t>
        <w:br/>
        <w:t xml:space="preserve">347. The arguments of the defendants will therefore be dismissed.  </w:t>
        <w:br/>
        <w:t xml:space="preserve">348. Consequently, the founding assembly of SYNAM on February 6, 2009, during which the participants unanimously voted for the adoption of statutes (including its internal regulations) containing a provision prohibiting the dissemination of pricing scales other than those of the union, has an anticompetitive object.  </w:t>
        <w:br/>
        <w:t xml:space="preserve">64  </w:t>
        <w:br/>
        <w:t xml:space="preserve">1.  </w:t>
        <w:br/>
        <w:t xml:space="preserve">The "Films-Pub" commission of SYNAM on April 20, 2009  </w:t>
        <w:br/>
        <w:t xml:space="preserve">♦ Analysis of the content of the meeting  </w:t>
        <w:br/>
        <w:t xml:space="preserve">349. During this meeting, the present agencies agreed to "propose at least the T10 for a TV shoot and negotiate it on an hourly basis if the day is time-limited. The T7, T8, and T9 should become exceptions."  </w:t>
        <w:br/>
        <w:t xml:space="preserve">350. These discussions therefore concerned the rates proposed by the agencies for advertising shoots. In this context, the participants agreed on the principle of proposing the T10 rate to clients and avoiding lower rates (T7, T8, or T9).  </w:t>
        <w:br/>
        <w:t xml:space="preserve">351. Thus, during this "Films-Pub" commission on April 20, 2009, the participants went beyond the adoption and updating of common pricing grids, as they agreed to limit negotiation to a single rate, namely the T10.  </w:t>
        <w:br/>
        <w:t xml:space="preserve">♦ Arguments of the defendants  </w:t>
        <w:br/>
        <w:t xml:space="preserve">352. Several agencies consider that this meeting would have only resulted in "a recommendation regarding the minimum rate applicable to TV shoots," consisting of "proposing at least the T10 for a TV shoot and negotiating it on an hourly basis if the day is time-limited." Thus, according to Metropolitan and Viva, "SYNAM recommends prioritizing models of this classification during advertising film shoots, which seems logical, as shooting advertising films constitutes a service justifying high experience" (see for example reference 27070).  </w:t>
        <w:br/>
        <w:t xml:space="preserve">♦ Response of the Authority  </w:t>
        <w:br/>
        <w:t xml:space="preserve">353. First of all, if the T10 rate "seems logical" for shooting advertising films, the principles of competition law require companies to have their clients accept this "logic" individually, within the framework of their commercial negotiations. Nothing justifies that modeling agencies agree in advance on the rate they intend to ask their interlocutors.  </w:t>
        <w:br/>
        <w:t xml:space="preserve">354. Furthermore, contrary to what is claimed by the defendants, the discussions that took place during the "Films-Pub" commission on April 20, 2009, necessarily fell within the framework of practices related to union pricing grids. Indeed, the T10 rate discussed in the meeting cannot correspond to the minimum wage of models, since this wage is paid by the agency to the model, and not by the client to the agency. Consequently, the discussions that took place during this commission must be understood as concerning the full price of the service, which was also subject to coordination within the framework of the pricing grids published by SAM, UNAM, and then SYNAM.  </w:t>
        <w:br/>
        <w:t xml:space="preserve">355. The arguments of the defendants will therefore be dismissed.  </w:t>
        <w:br/>
        <w:t xml:space="preserve">356. Consequently, the "Films-Pub" commission of SYNAM on April 20, 2009, during which the participants agreed on the principle of proposing the T10 rate to clients, has an anticompetitive object.  </w:t>
        <w:br/>
        <w:t xml:space="preserve">The "Children" commission of SYNAM on October 15, 2009  </w:t>
        <w:br/>
        <w:t xml:space="preserve">357. It follows from the elements developed above concerning the "Children" commission of SYNAM on October 15, 2009, that during this meeting, the participants discussed the fact that clients were proposing very low rates and the need to find solutions to raise the rates. However, no specific solution or particular measure was mentioned.  </w:t>
        <w:br/>
        <w:t xml:space="preserve">65  </w:t>
        <w:br/>
        <w:t xml:space="preserve">1.  </w:t>
        <w:br/>
        <w:t xml:space="preserve">358. Consequently, it should be considered that the "Children" commission of SYNAM on October 15, 2009, did not pursue the anticompetitive object described in grievance No. 2.  </w:t>
        <w:br/>
        <w:t xml:space="preserve">The meeting of provincial agencies of SYNAM on June 29, 2010  </w:t>
        <w:br/>
        <w:t xml:space="preserve">359. As previously indicated, it was decided during this meeting to ask the Bureau of SYNAM to organize a meeting with the employee unions signatory to the collective agreement "to either request an amendment to Article 12 [of the agreement] or the creation of a new rate lower than T7 (T6)."  </w:t>
        <w:br/>
        <w:t xml:space="preserve">360. This request, which concerns only the relations between SYNAM and the employee unions, and pertains solely to the negotiation of minimum wages within the framework of the collective agreement of June 22, 2004, does not present any illicit character.  </w:t>
        <w:br/>
        <w:t xml:space="preserve">361. Consequently, it should be considered that the meeting of provincial agencies of SYNAM on June 29, 2010, did not have an anticompetitive object.  </w:t>
        <w:br/>
        <w:t xml:space="preserve">The ordinary general assembly of SYNAM on December 7, 2009  </w:t>
        <w:br/>
        <w:t xml:space="preserve">♦ Analysis of the content of the meeting  </w:t>
        <w:br/>
        <w:t xml:space="preserve">362. It follows from the findings above (paragraphs 148 to 154) that, during this general assembly, the member companies voted for a 2% increase in the rates for adult and child services for the year 2010 (reference 3984).  </w:t>
        <w:br/>
        <w:t xml:space="preserve">363. The companies present at the ordinary general assembly of SYNAM on December 7, 2009, therefore discussed the union pricing grids and their application and made decisions regarding the level of prices.  </w:t>
        <w:br/>
        <w:t xml:space="preserve">364. Furthermore, it follows from the wording of the agenda for this meeting, which indicates in item 8 the subject "2010 sales price policy (Ms. G...)" (reference 10283), that it was possible for the participating companies to foresee that anticompetitive discussions could take place during this assembly. Indeed, the "sales price policy" falls within the individual commercial strategy of each company and should not be the subject of any discussion between competitors within the framework of a professional union.  </w:t>
        <w:br/>
        <w:t xml:space="preserve">♦ Arguments of the defendants  </w:t>
        <w:br/>
        <w:t xml:space="preserve">365. First of all, regarding the predictability of anticompetitive discussions, the agencies City, Exception, and Marilyn point out that the notification of grievances relies on a document subsequent to the meeting to establish its alleged anticompetitive object: "In the absence of minutes, a subsequent annex document establishes that the assembly voted for a 2% increase to establish the 2010 grid." However, by definition, a subsequent element could not serve as evidence to establish exact predictability (see for example references 28295 and 28296).  </w:t>
        <w:br/>
        <w:t xml:space="preserve">366. Secondly, concerning the anticompetitive object itself, many agencies (DI, Crystal, Elite, Success, Nathalie, Women, City, Exception, Marilyn, Frimousse, Nouvelle Ere, New Madison, Ford, and Viva) note that no minutes recounting the discussions and votes that may have taken place during this ordinary general assembly exist in the file. It would therefore be impossible to know what points were discussed (see for example references 28358 and 28359). Moreover, the documents related to this meeting in the file do not mention any adoption of a pricing grid during the said meeting.  </w:t>
        <w:br/>
        <w:t>66</w:t>
      </w:r>
    </w:p>
    <w:p>
      <w:r>
        <w:rPr>
          <w:b/>
        </w:rPr>
        <w:t>[Pages 67–69]</w:t>
      </w:r>
    </w:p>
    <w:p>
      <w:r>
        <w:t xml:space="preserve">1. ♦ Response of the Authority  </w:t>
        <w:br/>
        <w:t xml:space="preserve">367. Regarding the first argument, the reasoning of the defendants does not take into account the fact that, as indicated above, the agenda of the ordinary general assembly of December 7, 2009, present in the file, provided for discussions on the "2010 sales price policy," thus revealing the anticompetitive nature of the meeting.  </w:t>
        <w:br/>
        <w:t xml:space="preserve">368. The argument of the defendants will therefore be dismissed.  </w:t>
        <w:br/>
        <w:t xml:space="preserve">369. Concerning the second argument, the Authority cannot rely on any minutes for this particular meeting, since no minutes were drawn up, as confirmed by Ms. C…: "I confirm that no minutes were drafted for the general assembly of December 7, 2009. Indeed, we did not deem it necessary at the time to issue one, given that the agenda corresponded to the documents provided at the beginning of the meeting to each member" (reference 231). This statement also confirms that the meeting did indeed address the subjects on the agenda.  </w:t>
        <w:br/>
        <w:t xml:space="preserve">370. However, several elements present in the file confirm that discussions followed by collective decisions regarding the price level of the union's pricing grid took place during this general assembly. First, Ms. C… stated during her hearing before the DGCCRF: "In 2009, a general assembly was held on December 7. It allowed for a decision, to my recollection, of a 1.5% increase [on the model service rates]" (reference 99).  </w:t>
        <w:br/>
        <w:t xml:space="preserve">371. Furthermore, as previously demonstrated, it appears from an email from the general secretariat of SYNAM dated December 9, 2009, addressed to the members of the union, that the assembly voted for a 2% increase in the rates for adult and child services for the year 2010 (reference 3984).  </w:t>
        <w:br/>
        <w:t xml:space="preserve">372. The arguments of the defendants will therefore be dismissed.  </w:t>
        <w:br/>
        <w:t xml:space="preserve">373. Consequently, it is demonstrated that the ordinary general assembly of SYNAM on December 7, 2009, during which a 2% increase in service rates for the year 2010 was voted, had an anticompetitive purpose that could be anticipated.  </w:t>
        <w:br/>
        <w:t xml:space="preserve">The board of directors of SYNAM on December 8, 2010  </w:t>
        <w:br/>
        <w:t xml:space="preserve">♦ Analysis of the content of the meeting  </w:t>
        <w:br/>
        <w:t xml:space="preserve">374. As indicated above, during this meeting the present companies agreed on the course of action regarding the pricing grids, following the first summons for hearing by the DGCCRF: "No further mention of rates and other financial data during meetings. To date, the DGCCRF has not said to stop displaying grids for services. However, the rates for billing model services to clients are now re-evaluated each year after and based on the annual negotiation of minimum wages with social partners. For the year 2011, this negotiation, which is to take place in mid-January, you will have to use the 2010 grids in your commercial negotiations until the third week of January 2011."  </w:t>
        <w:br/>
        <w:t>375. The agencies present at the board of directors thus jointly decided to continue applying the pricing grids by SYNAM members in their negotiations with clients. They indeed agreed to continue the practices of price coordination through the union grids, despite the intervention of the DGCCRF.</w:t>
      </w:r>
    </w:p>
    <w:p>
      <w:r>
        <w:t xml:space="preserve">1. ♦ Arguments of the defendants  </w:t>
        <w:br/>
        <w:t xml:space="preserve">376. Several defendants (DI, Crystal, and Viva) assert that the fact that SYNAM informed its members of the prohibition on discussing rates and other financial data during meetings, while recommending the use of the 2010 grids until the third week of January in anticipation of the NAO, would show that SYNAM and its members were unaware that these grids could be considered as a price-fixing agreement. Thus, the union would have remained within the scope of its mission and could not be condemned for this (see for example reference 25900).  </w:t>
        <w:br/>
        <w:t xml:space="preserve">♦ Response of the Authority  </w:t>
        <w:br/>
        <w:t xml:space="preserve">377. There is a glaring contradiction between, on the one hand, stating that rates and other financial data should no longer be mentioned in meetings and, on the other hand, considering that it is possible to continue using a pricing grid established jointly, which is precisely intended to standardize the commercial practices of the agencies.  </w:t>
        <w:br/>
        <w:t xml:space="preserve">378. Such behavior, implemented even while the union was under investigation by the DGCCRF, reflects a disregard for the well-established principles of competition law. It is therefore not possible for the defendants to invoke an alleged ignorance of the law justifying the joint decision to maintain the application of the illegal pricing grids.  </w:t>
        <w:br/>
        <w:t xml:space="preserve">379. The arguments of the defendants will therefore be dismissed.  </w:t>
        <w:br/>
        <w:t xml:space="preserve">380. Consequently, the meeting of the board of directors of SYNAM on December 8, 2010, during which it was decided to use the pricing grids until the third week of January 2011, had an anticompetitive purpose.  </w:t>
        <w:br/>
        <w:t xml:space="preserve">Conclusion  </w:t>
        <w:br/>
        <w:t xml:space="preserve">381. It follows from the above that the meetings held within SYNAM on February 6, 2009, April 20, 2009, December 7, 2009, and December 8, 2010 – which relate to the development and dissemination of pricing grids by the union – have an anticompetitive purpose.  </w:t>
        <w:br/>
        <w:t xml:space="preserve">d) On the individual participation of companies  </w:t>
        <w:br/>
        <w:t xml:space="preserve">On the starting point of participation  </w:t>
        <w:br/>
        <w:t xml:space="preserve">382. The agencies DI, Crystal, Frimousse, Karin, Metropolitan, Women, and New Madison (see for example reference 25902) believe that when the first meeting in which the company participated did not have a foreseeable anticompetitive purpose, the start of participation should be set at the date of the intervention of the second element allowing the qualification of said participation (second meeting, application of the rate, or appropriation of the grid).  </w:t>
        <w:br/>
        <w:t>383. However, regarding the determination of the starting point of a company's participation in an anticompetitive agreement implemented within the framework of statutory meetings, the Authority considers, as marking the beginning of participation in the infringement, the date on which said company participated in the first meeting (see in particular decision No. 12-D-02 of January 12, 2012, paragraphs 114 and 115). While the Authority takes into account, where applicable, the fact that a company participates in another meeting with the same anticompetitive purpose, such consideration falls under the regime of proof of the existence of the agreement of wills and not the determination of the duration of that company's participation in the infringement.</w:t>
      </w:r>
    </w:p>
    <w:p>
      <w:r>
        <w:t xml:space="preserve">1.  </w:t>
        <w:br/>
        <w:t xml:space="preserve">384. Thus, as soon as proof of its participation is provided, the company's adherence to the agreement is demonstrated from the first meeting in which it participated.  </w:t>
        <w:br/>
        <w:t xml:space="preserve">385. The arguments of the defendants will therefore be rejected.  </w:t>
        <w:br/>
        <w:t xml:space="preserve">386. In accordance with the principles developed above, the Authority will therefore retain, for each company, the date of its first participation in an anticompetitive meeting as the starting point of its participation in the practices referred to in grievance No. 2.  </w:t>
        <w:br/>
        <w:t xml:space="preserve">On the continuity and end of participation  </w:t>
        <w:br/>
        <w:t xml:space="preserve">387. As indicated above, the establishment, dissemination, and application of the union pricing grids followed, for all the years considered, an identical schedule. These grids were established every year at the end of the year after the NAO, discussed and adopted in general assembly, and applicable for the entire following calendar year. Consequently, the restriction of competition resulting from exchanges related to a 2% increase in the rates for adult and child services for the year 2010 decided during the general assembly of SYNAM on December 7, 2009, persisted at least until December 31, 2010.  </w:t>
        <w:br/>
        <w:t xml:space="preserve">388. Furthermore, regarding the founding general assembly of SYNAM on February 6, 2009, this was an opportunity for participants to agree, through Article 8 of the internal regulations, on a general rule prohibiting agencies from promoting their own pricing grids. Since this rule was included in the internal regulations of the union and no element in the file indicates that it was subsequently modified by SYNAM, it should be considered that the restriction of competition linked to this clause persisted at least until December 31, 2010, the date of the end of the grievance as notified to the parties.  </w:t>
        <w:br/>
        <w:t xml:space="preserve">389. The agencies City, Marilyn, and Smith &amp; Smith (see for example reference 28313) assert, however, that setting the end date of the practices at December 31, 2010, would confuse the duration of participation in the practice with the duration of the effects of said practice. However, as recalled by the Authority in its "Flours" decision (decision No. 12-D-09 of March 13, 2012, paragraph 451), "the determination of the duration of an agreement, particularly regarding the date on which it ends, primarily depends on its economic results and not on its legal form, including in the event that the formal agreement has ceased to be in force (judgments of the Court of Justice of July 3, 1985, Binon, 243/83, Rec. p. 2034, point 17, and of the Tribunal of December 11, 2003, Ventouris Group Enterprises/Commission, T-59/99, Rec. p. II-5257, points 182 and 193)."  </w:t>
        <w:br/>
        <w:t xml:space="preserve">390. In any case, as demonstrated above, the end date of the practices at December 31, 2010, was set not by taking into account the effects of the agreement, but by assessing the persistence of these practices over time:  </w:t>
        <w:br/>
        <w:t xml:space="preserve">- on the one hand, since the rule established by Article 8 of the internal regulations of SYNAM continued to be in force;  </w:t>
        <w:br/>
        <w:t xml:space="preserve">- and on the other hand, insofar as the pricing grids discussed during the general assembly of SYNAM on December 7, 2009, were maintained on the SYNAM website at least until December 31, 2010.  </w:t>
        <w:br/>
        <w:t xml:space="preserve">391. These elements unequivocally demonstrate that the agreement persisted at least until December 31, 2010.  </w:t>
        <w:br/>
        <w:t>392. The arguments of the defendants will therefore be dismissed.</w:t>
      </w:r>
    </w:p>
    <w:p>
      <w:r>
        <w:rPr>
          <w:b/>
        </w:rPr>
        <w:t>[Pages 70–72]</w:t>
      </w:r>
    </w:p>
    <w:p>
      <w:r>
        <w:t>1.</w:t>
        <w:br/>
        <w:t>Summary of the individual participation of the defendants</w:t>
        <w:br/>
        <w:t>393. The table below summarizes the participation of each of the companies targeted by grievance No. 2 in the anticompetitive meetings retained by the Authority:</w:t>
        <w:br/>
        <w:t>AG constitutive Commission AGO Synam CA Synam</w:t>
        <w:br/>
        <w:t>of Synam "Films-Pub" 7/12/09 8/12/10</w:t>
        <w:br/>
        <w:t>6/02/09 20/04/09</w:t>
        <w:br/>
        <w:t>DI x x x x</w:t>
        <w:br/>
        <w:t>Angels</w:t>
        <w:br/>
        <w:t>Art et Mode x x</w:t>
        <w:br/>
        <w:t>Bananas x x x</w:t>
        <w:br/>
        <w:t>Bout’Chou x x</w:t>
        <w:br/>
        <w:t>City x x</w:t>
        <w:br/>
        <w:t>Crystal x x x x</w:t>
        <w:br/>
        <w:t>Cute x x</w:t>
        <w:br/>
        <w:t>Dynamite x x x</w:t>
        <w:br/>
        <w:t>Elite x x x</w:t>
        <w:br/>
        <w:t>Enjoy x x</w:t>
        <w:br/>
        <w:t>Exception x x</w:t>
        <w:br/>
        <w:t>Ford x x x</w:t>
        <w:br/>
        <w:t>Frimousse x x x</w:t>
        <w:br/>
        <w:t>Happy x x</w:t>
        <w:br/>
        <w:t>Hourra x</w:t>
        <w:br/>
        <w:t>Idole x</w:t>
        <w:br/>
        <w:t>IMG x x x</w:t>
        <w:br/>
        <w:t>IPS x x</w:t>
        <w:br/>
        <w:t>Karin x x</w:t>
        <w:br/>
        <w:t>Kwaheri x x</w:t>
        <w:br/>
        <w:t>Major</w:t>
        <w:br/>
        <w:t>Marilyn x x</w:t>
        <w:br/>
        <w:t>Metropolitan x x</w:t>
        <w:br/>
        <w:t>Nathalie x x x</w:t>
        <w:br/>
        <w:t>New Madison x</w:t>
        <w:br/>
        <w:t>Next x</w:t>
        <w:br/>
        <w:t>Nouvelle Ere x x x</w:t>
        <w:br/>
        <w:t>Ovation x x</w:t>
        <w:br/>
        <w:t>People x x</w:t>
        <w:br/>
        <w:t>Perfect x x x</w:t>
        <w:br/>
        <w:t>Privilege x x</w:t>
        <w:br/>
        <w:t>Profil x</w:t>
        <w:br/>
        <w:t>Rebecca x x x</w:t>
        <w:br/>
        <w:t>Smith &amp; x</w:t>
        <w:br/>
        <w:t>Smith</w:t>
        <w:br/>
        <w:t>Success x x</w:t>
        <w:br/>
        <w:t>Vip</w:t>
        <w:br/>
        <w:t>Viva x x x x</w:t>
        <w:br/>
        <w:t>Women x x</w:t>
        <w:br/>
        <w:t>Zenith x x x</w:t>
      </w:r>
    </w:p>
    <w:p>
      <w:r>
        <w:t>1.</w:t>
        <w:br/>
        <w:t>394. The Authority notes, in light of this table, that:</w:t>
        <w:br/>
        <w:t>- 3 agencies did not participate in any meeting and must therefore be excluded from the case;</w:t>
        <w:br/>
        <w:t>- 31 agencies participated in the constitutive general assembly of SYNAM on February 6, 2009, during which they gave their express consent to the anticompetitive agreement;</w:t>
        <w:br/>
        <w:t>- 6 agencies, having not participated in the constitutive general assembly of SYNAM on February 6, 2009, participated in the ordinary general assembly of SYNAM on December 7, 2009, the anticompetitive purpose of which could be anticipated.</w:t>
        <w:br/>
        <w:t>The companies excluded from the case</w:t>
        <w:br/>
        <w:t>395. It follows from the table above that the following companies did not participate in any of the meetings retained by the Authority:</w:t>
        <w:br/>
        <w:t>- Angels;</w:t>
        <w:br/>
        <w:t>- Major and</w:t>
        <w:br/>
        <w:t>- VIP.</w:t>
        <w:br/>
        <w:t>396. These three companies must therefore be excluded from the case.</w:t>
        <w:br/>
        <w:t>The companies that gave their express consent to the anticompetitive agreement during the constitutive general assembly of SYNAM on February 6, 2009</w:t>
        <w:br/>
        <w:t>397. The following companies participated in the constitutive general assembly of SYNAM on February 6, 2009:</w:t>
        <w:br/>
        <w:t>- DI;</w:t>
        <w:br/>
        <w:t>- Art et Mode;</w:t>
        <w:br/>
        <w:t>- Bananas;</w:t>
        <w:br/>
        <w:t>- Bout’chou;</w:t>
        <w:br/>
        <w:t>- City;</w:t>
        <w:br/>
        <w:t>- Crystal;</w:t>
        <w:br/>
        <w:t>- Cute;</w:t>
        <w:br/>
        <w:t>- Dynamite;</w:t>
        <w:br/>
        <w:t>- Elite;</w:t>
        <w:br/>
        <w:t>- Enjoy;</w:t>
        <w:br/>
        <w:t>- Exception;</w:t>
        <w:br/>
        <w:t>- Ford;</w:t>
        <w:br/>
        <w:t>- Frimousse;</w:t>
        <w:br/>
        <w:t>- IMG;</w:t>
        <w:br/>
        <w:t>- IPS;</w:t>
        <w:br/>
        <w:t>- Karin;</w:t>
        <w:br/>
        <w:t>- Kwaheri;</w:t>
        <w:br/>
        <w:t>- Marilyn;</w:t>
      </w:r>
    </w:p>
    <w:p>
      <w:r>
        <w:t>1.</w:t>
        <w:br/>
        <w:t>- Metropolitan;</w:t>
        <w:br/>
        <w:t>- Nathalie;</w:t>
        <w:br/>
        <w:t>- Next;</w:t>
        <w:br/>
        <w:t>- Nouvelle Ere;</w:t>
        <w:br/>
        <w:t>- Ovation;</w:t>
        <w:br/>
        <w:t>- People;</w:t>
        <w:br/>
        <w:t>- Perfect;</w:t>
        <w:br/>
        <w:t>- Privilège;</w:t>
        <w:br/>
        <w:t>- Rebecca;</w:t>
        <w:br/>
        <w:t>- Smith &amp; Smith;</w:t>
        <w:br/>
        <w:t>- Success;</w:t>
        <w:br/>
        <w:t>- Viva and</w:t>
        <w:br/>
        <w:t>- Zenith.</w:t>
        <w:br/>
        <w:t>On the express consent of the participating agencies to the pricing consultation</w:t>
        <w:br/>
        <w:t>398. During this meeting, the agencies present or represented gave their express consent to the joint adoption of a general rule prohibiting them from promoting their own pricing schedules (paragraphs 139 to 147).</w:t>
        <w:br/>
        <w:t>399. It cannot therefore be considered that the good faith of the agencies that participated in this meeting was compromised, as they expressed their agreement through a unanimous vote. Furthermore, the minutes and documents in the file do not indicate any reservations or opposition expressed by the agencies.</w:t>
        <w:br/>
        <w:t>400. Consequently, participation in this single meeting is sufficient to characterize the willingness of these agencies to participate in the pricing consultation, without the need to seek other evidence of their adherence to the pursued practices.</w:t>
        <w:br/>
        <w:t>On the duration of participation of the agencies</w:t>
        <w:br/>
        <w:t>401. The Authority notes that the restriction of competition resulting from the prohibition of disseminating pricing schedules other than those of the union, adopted during the constitutive general assembly of SYNAM on February 6, 2009, lasted until December 31, 2010 (paragraph 388).</w:t>
        <w:br/>
        <w:t>402. Moreover, the agencies mentioned above – with the exception of Next and Smith &amp; Smith – participated in at least one other meeting: the ordinary general assembly of SYNAM on December 7, 2009, during which a 2% increase in the rates for adult and child services for the year 2010 was voted. As previously indicated, it should be considered that the restriction of competition resulting from the general assembly of SYNAM on December 7, 2009, lasted at least until December 31, 2010 (paragraph 390).</w:t>
        <w:br/>
        <w:t>403. In these circumstances, participation in the practices referred to in grievance No. 2 from February 6, 2009, to December 31, 2010, will be retained for each of these companies.</w:t>
        <w:br/>
        <w:t>404. Among these companies, the firms Dynamite, Ovation, and People have requested the benefit of the procedure for not contesting the grievances. In doing so, they have waived their right to contest their</w:t>
      </w:r>
    </w:p>
    <w:p>
      <w:r>
        <w:rPr>
          <w:b/>
        </w:rPr>
        <w:t>[Pages 73–75]</w:t>
      </w:r>
    </w:p>
    <w:p>
      <w:r>
        <w:t xml:space="preserve">1. participation in grievance no. 2 for the period from February 4, 2005 to December 31, 2010. However, it is appropriate, in the particular circumstances of the case, and considering the analysis made by the Authority of the practices pursued by grievance no. 2, to only retain their participation in the practices for the period from February 6, 2009 to December 31, 2010.  </w:t>
        <w:br/>
        <w:t xml:space="preserve">The arguments of Next regarding its participation in the practices  </w:t>
        <w:br/>
        <w:t xml:space="preserve">♦ Company's Arguments  </w:t>
        <w:br/>
        <w:t xml:space="preserve">405. The agency Next participated only in the founding general assembly of February 6, 2009, during which a general rule was adopted prohibiting agencies from promoting their own pricing grids.  </w:t>
        <w:br/>
        <w:t xml:space="preserve">406. In its response memorandum to the report (references 25916 to 25923), Next claims that it has never had its own pricing grid and therefore could not have appropriated the pricing grid of SYNAM. Furthermore, for the same reasons, the fact that it did not develop its own grid could not be understood as an application of the rule decided at the founding general assembly of February 6, 2009.  </w:t>
        <w:br/>
        <w:t xml:space="preserve">407. Moreover, Next would have only weakly applied the SYNAM tariffs (21.6% according to the study conducted by the DGCCRF services).  </w:t>
        <w:br/>
        <w:t xml:space="preserve">408. Finally, the agency claims that it considered the SYNAM tariffs as minimum wages and referred to them only when clients requested it.  </w:t>
        <w:br/>
        <w:t xml:space="preserve">♦ Response of the Authority  </w:t>
        <w:br/>
        <w:t xml:space="preserve">409. First of all, in its response to the questionnaire sent by the DGCCRF services (references 7203 to 7207), Next submitted a pricing grid for the year 2010 ("tariff 10") adopting a different presentation from the SYNAM grids, but exactly replicating the amounts of the latter. Furthermore, in its response to this questionnaire, the company stated, "We believe that the SYNAM tables were developed based on the collective agreement and that they take into account, in addition to the provisions of the Labor Code, the practices implemented between the profession and clients in terms of commission percentages."  </w:t>
        <w:br/>
        <w:t xml:space="preserve">410. Next, in its response to the Authority's investigative services questionnaire, Next notably indicated: "Each service tariff remains negotiable with the client but can never, in any case, be lower than the minimum tariff proposed by SYNAM" (reference 9114). It adds that it used "this grid as a reference basis insofar as we considered the proposed tariffs as minimum tariffs" (reference 9115).  </w:t>
        <w:br/>
        <w:t xml:space="preserve">411. Finally, the argument that Next would have only weakly applied the SYNAM tariffs is irrelevant since, in any case, the starting point of negotiations was skewed by the appropriation of the union grids by this agency.  </w:t>
        <w:br/>
        <w:t xml:space="preserve">412. All of these elements demonstrate that Next effectively appropriated the tariffs published by SYNAM, which it considered, at the very least, as minimum prices.  </w:t>
        <w:br/>
        <w:t xml:space="preserve">413. Moreover, as indicated in paragraph 400, the mere participation of an agency in the founding general assembly of SYNAM on February 6, 2009, is sufficient to characterize its willingness to participate in the pricing consultation referred to in grievance no. 2.  </w:t>
        <w:br/>
        <w:t>414. Based on all of these elements, it is appropriate to retain Next's participation in the practices referred to in grievance no. 2 from February 6, 2009, to December 31, 2010.</w:t>
      </w:r>
    </w:p>
    <w:p>
      <w:r>
        <w:t xml:space="preserve">1. The arguments of Smith &amp; Smith regarding its participation in the practices  </w:t>
        <w:br/>
        <w:t xml:space="preserve">♦ Company's Arguments  </w:t>
        <w:br/>
        <w:t xml:space="preserve">415. The agency Smith &amp; Smith participated in the founding general assembly of February 6, 2009, during which it contributed to the joint adoption of a general rule prohibiting agencies from promoting their own pricing grids.  </w:t>
        <w:br/>
        <w:t xml:space="preserve">416. Smith &amp; Smith claims in its response memorandum to the report (references 29835 to 29841) that it has never agreed to an anticompetitive agreement. In particular, according to Smith &amp; Smith, the analysis conducted on a sample of invoices from December 2009 and January 2010 to demonstrate the application of SYNAM tariffs would be too far removed from the last meeting for which the agency is incriminated, namely the founding general assembly of February 6, 2009.  </w:t>
        <w:br/>
        <w:t xml:space="preserve">♦ Response of the Authority  </w:t>
        <w:br/>
        <w:t xml:space="preserve">417. As indicated several times above, the companies present at the founding assembly of SYNAM on February 6, 2009, explicitly expressed, through a vote, their adherence to the statutes and internal regulations of SYNAM, and thus agreed to the anticompetitive practices pursued.  </w:t>
        <w:br/>
        <w:t xml:space="preserve">418. Thus, as indicated in paragraph 400, the mere participation of an agency in the founding general assembly of SYNAM on February 6, 2009, is sufficient to characterize its willingness to participate in the pricing consultation referred to in grievance no. 2.  </w:t>
        <w:br/>
        <w:t xml:space="preserve">419. Based on all of these elements, it is appropriate to retain Smith &amp; Smith's participation in the practices referred to in grievance no. 2 from February 6, 2009, to December 31, 2010.  </w:t>
        <w:br/>
        <w:t xml:space="preserve">The companies that did not participate in the founding general assembly of SYNAM on February 6, 2009, and participated in the ordinary general assembly of SYNAM on December 7, 2009, whose anticompetitive purpose could be anticipated  </w:t>
        <w:br/>
        <w:t xml:space="preserve">420. The following companies, which did not participate in the founding general assembly of SYNAM on February 6, 2009, participated in the ordinary general assembly on December 7, 2009:  </w:t>
        <w:br/>
        <w:t xml:space="preserve">- Happy;  </w:t>
        <w:br/>
        <w:t xml:space="preserve">- Hourra;  </w:t>
        <w:br/>
        <w:t xml:space="preserve">- Idole;  </w:t>
        <w:br/>
        <w:t xml:space="preserve">- New Madison;  </w:t>
        <w:br/>
        <w:t xml:space="preserve">- Profil; and  </w:t>
        <w:br/>
        <w:t xml:space="preserve">- Women.  </w:t>
        <w:br/>
        <w:t xml:space="preserve">On the foreseeable nature of the anticompetitive purpose of the meeting  </w:t>
        <w:br/>
        <w:t xml:space="preserve">421. As indicated in paragraphs 148 to 154, the agencies that participated in this meeting could foresee that anticompetitive discussions could occur during this meeting. It cannot be considered that the good faith of the agencies that participated in this meeting was surprised, as they attended this meeting even though the anticompetitive purpose was foreseeable.  </w:t>
        <w:br/>
        <w:t>422. Therefore, participation in this single meeting is sufficient to characterize the willingness of these agencies to participate in the pricing consultation.</w:t>
      </w:r>
    </w:p>
    <w:p>
      <w:r>
        <w:t xml:space="preserve">1. On the duration of participation for the agencies that participated in this single meeting (Hourra, Idole, New Madison, and Profil)  </w:t>
        <w:br/>
        <w:t xml:space="preserve">423. The agencies Hourra, Idole, New Madison, and Profil participated only in the general assembly of SYNAM on December 7, 2009.  </w:t>
        <w:br/>
        <w:t xml:space="preserve">424. As indicated in paragraph 387, it is appropriate to consider that the restriction of competition resulting from this meeting lasted at least until December 31, 2010.  </w:t>
        <w:br/>
        <w:t xml:space="preserve">425. For each of these companies, participation in the practices referred to in grievance no. 2 from December 7, 2009, to December 31, 2010, will therefore be retained.  </w:t>
        <w:br/>
        <w:t xml:space="preserve">On the duration of participation for the agencies that also participated in another meeting (Happy and Women)  </w:t>
        <w:br/>
        <w:t xml:space="preserve">426. The companies Happy and Women participated in the "Films-Pub" commission of SYNAM on April 20, 2009, and then in the general assembly of SYNAM on December 7, 2009.  </w:t>
        <w:br/>
        <w:t xml:space="preserve">427. For the reasons indicated in paragraphs 382 to 392, their participation in the practices referred to in grievance no. 2 from April 20, 2009, to December 31, 2010, will therefore be retained.  </w:t>
        <w:br/>
        <w:t xml:space="preserve">D. ON ATTRIBUTION  </w:t>
        <w:br/>
        <w:t xml:space="preserve">1. PRINCIPLES  </w:t>
        <w:br/>
        <w:t xml:space="preserve">428. It follows from consistent case law that, as long as the legal entity responsible for the operation of the company that implemented practices violating competition rules legally exists, it must be held responsible for these practices, even if the material and human elements that contributed to the commission of the offense have been transferred to a third party.  </w:t>
        <w:br/>
        <w:t xml:space="preserve">429. If this legal entity has changed its corporate name or legal form, it nonetheless continues to be liable for the offense committed.  </w:t>
        <w:br/>
        <w:t xml:space="preserve">430. Conversely, when the legal entity responsible for the operation of the company that committed the practices has ceased to exist legally, these practices must be attributed to the legal entity to which the company has been legally transferred, that is to say, the one that has received the rights and obligations of the entity that committed the offense, and, in the absence of such a transfer, to the one that ensures its economic and functional continuity in fact (judgments of the Court of Cassation of June 23, 2004, BNP Paribas et al., No. 01-17896 and 02-10066, and of the Paris Court of Appeal of January 14, 2009, Eurelec Midi Pyrénées et al., RG No. 2008/01095, page 5).  </w:t>
        <w:br/>
        <w:t>431. This is particularly the case when a legal entity is absorbed by another. In this case, the practices for which the absorbed company is responsible are attributed to the legal entity that absorbed it. The same may also apply to the company or entity resulting from the merger between the perpetrator of the practices and another entity (see in particular the Authority's decision No. 13-D-12 of May 28, 2013, regarding practices implemented in the marketing of chemical commodities, paragraph 829).</w:t>
      </w:r>
    </w:p>
    <w:p>
      <w:r>
        <w:rPr>
          <w:b/>
        </w:rPr>
        <w:t>[Pages 76–78]</w:t>
      </w:r>
    </w:p>
    <w:p>
      <w:r>
        <w:t>1.</w:t>
        <w:br/>
        <w:t>2. ASSESSMENT IN THE SPECIFIC CASE</w:t>
        <w:br/>
        <w:t>a) Regarding UNAM and SYNAM</w:t>
        <w:br/>
        <w:t>432. Grievance No. 1 was notified to SYNAM as the author of the practices since its creation in 2009, but also as the successor of UNAM.</w:t>
        <w:br/>
        <w:t>433. Indeed, SYNAM was born from the merger between SAM and UNAM in February 2009. This merger was unanimously voted by the members of UNAM during the extraordinary general assembly of UNAM on February 6, 2009 (reference 10221).</w:t>
        <w:br/>
        <w:t>434. Thus, as of its creation, the members of SAM and UNAM automatically became members of SYNAM, provided they were up to date with the payment of their annual contributions, as stipulated in Article 37 - "Transitional Provisions" of the statutes of SYNAM adopted during the founding assembly on February 6, 2009 (reference 2879). Furthermore, the assembly of UNAM members unanimously decided on "the transfer of UNAM's assets to the new union" (reference 10221).</w:t>
        <w:br/>
        <w:t>435. Consequently, as of February 6, 2009, UNAM no longer has legal existence, and it is SYNAM that has ensured the economic and functional continuity of UNAM.</w:t>
        <w:br/>
        <w:t>436. In accordance with the case law recalled above, the practices implemented by UNAM are therefore attributable to SYNAM.</w:t>
        <w:br/>
        <w:t>Arguments of the defendants</w:t>
        <w:br/>
        <w:t>437. SYNAM and IMG argue, however, that since UNAM and SYNAM are not companies, it would be impossible to attribute the practices to SYNAM because the decision-making practice regarding continuity does not apply to professional organizations (see, for example, references 26825 and 26826). SYNAM further believes that it cannot be held responsible for practices committed by legal entities that no longer exist, as this would constitute a violation of the constitutional principle that "no one can be punished except for their own actions" (references 19749 to 19752).</w:t>
        <w:br/>
        <w:t>Response from the Authority</w:t>
        <w:br/>
        <w:t>438. First of all, it has been demonstrated in paragraphs 230 to 235 that a trade union can be considered a company within the meaning of competition law when it goes beyond its mission of information, advice, and defense of professional interests entrusted to it by law and intervenes in a market, which is the case here. Moreover, the principles recalled above regarding attribution in the event of the disappearance of the legal entity that committed the practices can be applied to professional organizations (see in this sense decision No. 06-D-03 cited above, paragraphs 1395 to 1397).</w:t>
        <w:br/>
        <w:t>439. Next, regarding SYNAM's argument that "no one can be punished except for their own actions," the Court of Cassation, in a judgment of June 23, 2004 (appeals No. 01-17896 and 02-10066), responded to a similar argument by ruling: "that the sanctions provided for in Article L. 464-2 of the Commercial Code are applicable to companies that are authors of prohibited anticompetitive practices, and that when there is a gap between the time the practices were implemented and the time the company ceased to exist legally, the practices are attributed to the legal entity to which the company has been legally transferred, and, in the absence of such a transfer, to the one that ensures its economic and functional continuity, and it is of no consequence that this transfer was made by law, the court of appeal, which notes that the assets and obligations of CENCEP have been transferred to CNCEP, which has resumed its activity and to which now belong the material and human elements that contributed to the commission of the offense, rightly concluded that CNCEP must answer for the practices of CENCEP."</w:t>
        <w:br/>
        <w:t>440. Therefore, attributing the practices committed by UNAM to SYNAM does not constitute a violation of the principle that "no one can be punished except for their own actions."</w:t>
        <w:br/>
        <w:t>441. The argument will thus be dismissed.</w:t>
        <w:br/>
        <w:t>442. It is therefore appropriate to attribute to SYNAM the practices referred to in grievance No. 1, as the successor of UNAM, from January 2000 to February 2009 and as the author of the practices, from February 2009 to December 2010.</w:t>
        <w:br/>
        <w:t>b) Regarding the implicated agencies</w:t>
        <w:br/>
        <w:t>Concerning Bout’chou</w:t>
        <w:br/>
        <w:t>443. The company Bout’chou was owned by its manager, Ms. H…, until February 2010. On February 5, 2010, SARL Financière Las Cases acquired the majority of the shares of the company Bout’chou. The company argues that, since its liability guarantee has expired, it cannot be held responsible for practices prior to the date it was acquired.</w:t>
        <w:br/>
        <w:t>444. In accordance with the case law recalled above, the company Bout’chou, which continues to exist as a legal entity, remains responsible for the practices it implemented regardless of the ownership transfers made.</w:t>
        <w:br/>
        <w:t>445. Furthermore, the existence and terms of implementation of liability guarantee clauses fall under the contractual relations between the companies and have no impact on the legality of this decision. The rules regarding the prohibition of agreements provided for in Article L. 420-1 of the Commercial Code are indeed provisions of public order, essential for the protection of market functioning, so that the liability and sanctions incurred by companies in the event of violation of these provisions cannot be left to the free disposal of these companies (see in this sense, regarding the application of Union law, the judgment of the Tribunal of March 3, 2011, Areva and others, T-117/07, paragraph 229).</w:t>
        <w:br/>
        <w:t>446. The argument of the company Bout’chou must therefore be dismissed.</w:t>
        <w:br/>
        <w:t>Concerning City</w:t>
        <w:br/>
        <w:t>447. On January 1, 2011, the company City Models SARL, registered with the RCS on December 29, 1978, was subject to a merger by absorption by SARL Sarinagara, which changed its name and legal form and became the company City Models SASU.</w:t>
        <w:br/>
        <w:t>448. Consequently, the company City Models SASU ensured the legal and economic continuity of the company City Models SARL.</w:t>
        <w:br/>
        <w:t>449. In accordance with the case law recalled above, the practices implemented by the company City Models SARL are attributable to the company City Models SASU.</w:t>
        <w:br/>
        <w:t>Concerning Crystal</w:t>
        <w:br/>
        <w:t>450. The company Crystal, which was owned by Ms. Z…, was sold on January 20, 2011, to Mr. Y…, its current manager.</w:t>
        <w:br/>
        <w:t>451. In accordance with the case law recalled above, the company Crystal, which continues to exist as a legal entity, remains responsible for the practices it implemented regardless of the ownership transfers made.</w:t>
        <w:br/>
        <w:t>452. Moreover, for the reasons mentioned above, the company Crystal is not entitled to argue that the Authority should take into account the fact that it can no longer benefit from its liability guarantee, which ended on December 31, 2013, when assessing its monetary sanction.</w:t>
        <w:br/>
        <w:t>Concerning Nathalie</w:t>
        <w:br/>
        <w:t>453. The company Nathalie was subject to a merger by absorption by the company Women in March 2014. The company Nathalie therefore no longer has legal existence, following its removal from the RCS on May 16, 2014, effective April 30, 2014.</w:t>
        <w:br/>
        <w:t>454. In accordance with the case law recalled above, the practices implemented by the company Nathalie are attributable to the absorbing company, Women, which is also responsible for the anticompetitive practices of which it is the author.</w:t>
        <w:br/>
        <w:t>Concerning People</w:t>
        <w:br/>
        <w:t>455. The company People was owned until April 2015 by Mr. A…. As of that date, the company People was sold to the company R2I, which is 100% owned by the company Fournel Conseil, which is itself 100% owned by Mr. B….</w:t>
        <w:br/>
        <w:t>456. In accordance with the case law recalled above, the company People, which continues to exist as a legal entity, remains responsible for the practices regardless of the ownership transfers made.</w:t>
        <w:br/>
        <w:t>III. On the sanctions</w:t>
        <w:br/>
        <w:t>A. PRINCIPLES</w:t>
        <w:br/>
        <w:t>457. I of Article L. 464-2 of the Commercial Code empowers the Authority to impose monetary sanctions on companies and organizations that engage in anticompetitive practices prohibited by Articles L. 420-1 of the Commercial Code.</w:t>
        <w:br/>
        <w:t>458. According to the fourth paragraph of I of Article L. 464-2 of the Commercial Code, "[if] the offender is not a company, the maximum amount of the sanction is 3 million euros. The maximum amount of the sanction for a company is 10% of the highest amount of worldwide turnover excluding taxes during one of the financial years closed since the financial year preceding the one in which the practices were implemented. If the accounts of the concerned company have been consolidated or combined under the applicable texts to its legal form, the turnover taken into account is that appearing in the consolidated or combined accounts of the consolidating or combining company."</w:t>
        <w:br/>
        <w:t>459. Furthermore, the third paragraph of I of Article L. 464-2 of the Commercial Code provides that "monetary sanctions are proportionate to the seriousness of the facts alleged, to the importance of the damage caused to the economy, to the individual situation of the organization or</w:t>
      </w:r>
    </w:p>
    <w:p>
      <w:r>
        <w:rPr>
          <w:b/>
        </w:rPr>
        <w:t>[Pages 79–81]</w:t>
      </w:r>
    </w:p>
    <w:p>
      <w:r>
        <w:t>1. of the sanctioned company or the group to which the company belongs and to any possible repetition of practices prohibited by [Title VI of Book IV of the Commercial Code]. They are determined individually for each sanctioned company or organization and are reasoned for each sanction."</w:t>
      </w:r>
    </w:p>
    <w:p>
      <w:r>
        <w:t>460. The Authority generally assesses the legal criteria set forth above according to the methods described in its press release of May 16, 2011, regarding the method for determining monetary sanctions (hereinafter, the "sanctions press release"). Similarly, for the implementation of III of Article L. 464-2 of the Commercial Code, the Authority applies its procedural press release of February 10, 2012, regarding the non-contestation of grievances (hereinafter, the "press release on the non-contestation of grievances").</w:t>
      </w:r>
    </w:p>
    <w:p>
      <w:r>
        <w:t>461. In point 7 of its sanctions press release, the Authority reminds that the method it outlines in this text is binding on it "unless it explains, in the reasoning of its decision, the particular circumstances or reasons of general interest leading it to deviate from it in a given case."</w:t>
      </w:r>
    </w:p>
    <w:p>
      <w:r>
        <w:t>462. In this case, the determination of the sanction corresponding to the first grievance (B) and that of the sanction corresponding to the second grievance (C) will be presented successively.</w:t>
      </w:r>
    </w:p>
    <w:p>
      <w:r>
        <w:t>B. ON THE FIRST GRIEVANCE</w:t>
        <w:br/>
        <w:t>1. ON THE METHOD OF DETERMINING THE SANCTION</w:t>
        <w:br/>
        <w:t>463. Given that SYNAM, which is an association under the 1901 law, does not have its own turnover or sales value related to the services of modeling agencies, its monetary sanction must be determined according to methods specific to the case at hand (paragraph 7 of the sanctions press release).</w:t>
      </w:r>
    </w:p>
    <w:p>
      <w:r>
        <w:t>464. In this case, the Authority will take into account, to provide a quantified translation of the assessment of the legal criteria for determining the sanction provided by the Commercial Code, the amount of professional contributions received by SYNAM.</w:t>
      </w:r>
    </w:p>
    <w:p>
      <w:r>
        <w:t>465. For the year 2015, SYNAM declared that it received contributions from its members amounting to 47,190 euros. In 2014, the contributions received by SYNAM amounted to 55,550 euros (references 30919 to 30921).</w:t>
      </w:r>
    </w:p>
    <w:p>
      <w:r>
        <w:t>2. ON THE GRAVITY OF THE FACTS</w:t>
        <w:br/>
        <w:t>466. To assess the gravity of the facts in this case, it is necessary to successively mention the nature of the practices implemented and their concrete characteristics.</w:t>
      </w:r>
    </w:p>
    <w:p>
      <w:r>
        <w:t>467. First of all, regarding the nature of the practices, the offense referred to by grievance No. 1 concerns a horizontal agreement between competitors, within a union, concerning future pricing elements: the members of UNAM and then SYNAM agreed on the principle of an annual pricing grid. The offense in question therefore aimed, by its very nature, to manipulate an essential parameter of competition in the targeted sector, which constitutes one of the most serious violations of competition rules.</w:t>
      </w:r>
    </w:p>
    <w:p>
      <w:r>
        <w:t>468. The concerted actions aimed at influencing the prices charged by competitors are considered by the Authority to be practices of particular gravity, especially when they are carried out by a professional organization that, due to its information and advisory missions, assumes a particular responsibility for ensuring compliance with the law by its members. However, this gravity does not equal that of secret agreements between competitors, which are considered the most serious anticompetitive agreements.</w:t>
      </w:r>
    </w:p>
    <w:p>
      <w:r>
        <w:t>469. Furthermore, while the Authority notes the non-sophisticated and non-secret nature of the practices (development of pricing grids during statutory meetings and public dissemination of pricing grids on SYNAM's website) as well as the absence of monitoring or retaliation measures, it observes that UNAM, and then SYNAM, maintained confusion between union pricing grids and social minima, which tends to reinforce the gravity of the practices in question.</w:t>
      </w:r>
    </w:p>
    <w:p>
      <w:r>
        <w:t>470. In this regard, there are numerous indications in the file (statements from agencies, statements from SYNAM, minutes of board meetings of UNAM and SYNAM, email from a client) demonstrating that such confusion, generated by the unions, existed in the minds of certain agencies and clients (references 7808, 430, 1814, 6631, 11148, 9114, 10567). Moreover, the file contains no elements suggesting that the unions attempted to clarify the situation with their members.</w:t>
      </w:r>
    </w:p>
    <w:p>
      <w:r>
        <w:t>3. ON THE IMPORTANCE OF THE DAMAGE TO THE ECONOMY</w:t>
        <w:br/>
        <w:t>a) Principles</w:t>
        <w:br/>
        <w:t>471. The damage caused to the economy is not to be confused with the harm suffered by the victims of the practices in question, but is assessed based on the general disruption they are likely to cause to the economy (see, for example, judgment of the Paris Court of Appeal of October 8, 2008, SNEF, No. 2007/18 040, p. 4). In its judgment of January 26, 2010, concerning decision No. 09-D-05 related to practices implemented in the temporary work sector, the Court of Appeal specified the scope of this general disruption by stating that "the assessment of the importance of the damage to the economy resulting from the collusive practices pursued, which is not limited, in principle, to the sole harm to the economic surplus of consumers, must focus on the loss of surplus suffered by all market operators, competing companies, suppliers, or demanders" (Paris Court of Appeal, judgment of January 26, 2010, No. 2009/03532, p. 19).</w:t>
      </w:r>
    </w:p>
    <w:p>
      <w:r>
        <w:t>472. The existence of damage to the economy is not presumed (judgment of the Court of Cassation of April 7, 2010, Orange France et al., No. 09-12984, 09-13163, and 09-65940). It is assessed objectively and globally by taking into account all relevant elements of the case.</w:t>
      </w:r>
    </w:p>
    <w:p>
      <w:r>
        <w:t>473. However, the Authority is not required to precisely quantify the damage caused to the economy. It must assess its existence and importance, based on as complete an analysis as possible of the elements in the file and by examining the various aspects of the general disruption of the normal functioning of the economy caused by the practices in question (judgment of the Paris Court of Appeal of June 30, 2011, Orange France, No. 2010/12 049, p. 5, confirmed on appeal by judgment of the Court of Cassation of May 30, 2012).</w:t>
      </w:r>
    </w:p>
    <w:p>
      <w:r>
        <w:t>474. To assess the damage caused to the economy, the Authority takes into account, in particular, the extent of the offense, considering its geographical coverage and the market shares of the companies involved, its cyclical or structural consequences on the market, as well as the relevant economic characteristics of the sector or market concerned (see, for example, judgments of the Paris Court of Appeal of June 30, 2011, cited, p. 5, and of January 26, 2012, cited, p. 89; see also, in this sense, judgment of the Court of Cassation of May 30, 2012, cited). Both proven and potential effects of the practice may be taken into consideration in this regard (see, in this sense, judgment of the Court of Cassation of June 28, 2005, Novartis Pharma, No. 04-13910).</w:t>
      </w:r>
    </w:p>
    <w:p>
      <w:r>
        <w:t>b) On the extent of the offense</w:t>
        <w:br/>
        <w:t>475. Grievance No. 1 targets a practice implemented by UNAM and then SYNAM, between January 1, 2000, and December 31, 2010. Regarding the extent of this practice, it should be noted that the offense referred to by grievance No. 1 was committed by the most representative unions in the sector. In particular, SYNAM merged, at the time of its creation, SAM and UNAM, which were the two main unions in the sector, comprising the most reputable agencies in the sector and representing 80% of the total turnover of the profession (reference 10193). There is only one other union alongside SYNAM: the French Federation of Modeling Agencies (FFAM), created in 2004. However, FFAM has very few members and its founding members have never met. FFAM therefore has no influence in the sector to the extent that, according to the investigation report, "neither the agencies nor SYNAM knew of this union" (reference 15).</w:t>
      </w:r>
    </w:p>
    <w:p>
      <w:r>
        <w:t>c) On the objective economic characteristics of the sector in question</w:t>
        <w:br/>
        <w:t>Barriers to entry</w:t>
        <w:br/>
        <w:t>476. The law of July 12, 1990, reserves the monopoly of the regular activity of placing models to holders of a state license for modeling agencies for persons established on national territory. European agencies may also have a temporary and occasional activity on national territory provided they make a prior declaration (Article R. 7123-12 of the Labor Code and circular from the General Directorate of Labor of July 26, 2012). They must then comply with the rules of the profession and, in particular, request individual authorization to employ children if they hire children.</w:t>
      </w:r>
    </w:p>
    <w:p>
      <w:r>
        <w:t>477. However, at the national level, there is no numerus clausus in the granting of licenses. Moreover, this is based on the assessment of objective criteria that are easy to satisfy. Indeed, obtaining the state license is subject to conditions of honorability (morality of the managers), compatibility (non-exercise of certain professions deemed incompatible with the placement of models), and financial guarantees defined by the Labor Code. A duly formulated license application that has not received a notification of refusal two months after the submission of the file is deemed granted. Once the administrative formalities are completed, the timeframes for issuing the license are very short.</w:t>
      </w:r>
    </w:p>
    <w:p>
      <w:r>
        <w:t>478. Furthermore, the amount of the financial guarantee required appears relatively low compared to the average turnover of an agency (estimated at around 2.4 million euros based on Infogreffe data for the year 2012). Indeed, the Labor Code specifies that this amount "may not be less than 6% of the payroll, nor less than a minimum amount currently set at 15,200 euros and reviewed each year" (Articles L. 7123-19 and R. 7123-21 of the Labor Code).</w:t>
      </w:r>
    </w:p>
    <w:p>
      <w:r>
        <w:t>479. Moreover, the establishment of a modeling agency does not necessarily entail significant investments or fixed costs.</w:t>
      </w:r>
    </w:p>
    <w:p>
      <w:r>
        <w:rPr>
          <w:b/>
        </w:rPr>
        <w:t>[Pages 82–84]</w:t>
      </w:r>
    </w:p>
    <w:p>
      <w:r>
        <w:t>1.</w:t>
        <w:br/>
        <w:t xml:space="preserve">480. Ultimately, while the importance of reputation in the performance of certain modeling agencies tends to perpetuate the positions of the largest agencies, other barriers to entry, both regulatory and financial, appear relatively limited.  </w:t>
        <w:br/>
        <w:t xml:space="preserve">Structure and degree of concentration of the modeling agency sector  </w:t>
        <w:br/>
        <w:t xml:space="preserve">481. The relative weakness of barriers to entry is reflected in the fragmented nature of the supply. Thus, for the fiscal year 2010, the revenues of the 78 agencies recorded appear quite dispersed, ranging from a few hundred thousand euros to several tens of millions of euros for the largest among them, which then holds a market share of approximately 15%. However, while the largest agencies, particularly those working with world-renowned models, can secure a higher revenue than their less well-known competitors, the non-exclusive nature of most contracts between models and agencies means that, concerning the services affected by the practice in question, all agencies have the opportunity to offer the same services to a client-user and thus increase their market share.  </w:t>
        <w:br/>
        <w:t xml:space="preserve">Price sensitivity of demand for modeling services  </w:t>
        <w:br/>
        <w:t xml:space="preserve">482. According to the "key figures for advertisers" published by the Union of Advertisers, advertising investments made in France that may involve modeling services amounted to 13.3 billion euros net in 2010 (Source: http://www.uda.fr/fileadmin/documents_pdf/publications_etudes/Chiffres_cles_des_annonceurs_2011.pdf), which is a considerable amount compared to the revenue generated in France by modeling agencies in the same year – their global revenue can indeed be estimated at around 195 million euros excluding taxes (see paragraph 503). The budget allocated to modeling services therefore likely represents only a very minimal part of the overall advertising budget, suggesting that an increase in the prices of modeling services is unlikely to lead to a significant decrease in the number of advertising campaigns. Moreover, in the face of a price increase, client-users prefer to reduce the quality of the requested services (notably the fame class of the model) rather than forgo these services (references 18402, 28365, 28607, 28757, or 26955). It is therefore very likely that the price elasticity of demand is relatively low in this sector.  </w:t>
        <w:br/>
        <w:t xml:space="preserve">483. This low price elasticity of demand is particularly evident at certain times of the year, especially during "Fashion Weeks." As previously indicated (paragraphs 47 to 49), price sensitivity for the services in the categories of runway shows and fittings-rehearsals is significantly lower in high season, when most fashion shows take place, than in low season.  </w:t>
        <w:br/>
        <w:t xml:space="preserve">Cross-border competition  </w:t>
        <w:br/>
        <w:t xml:space="preserve">484. The market for modeling agency services is also marked by competition from cross-border agencies that can carry out this activity temporarily and occasionally on French territory, without having to comply with the entirety of the legal and regulatory framework to which French agencies are subject. This competition, which mainly affects border regions (references 8247 to 8248 and 8258 to 8259), is evidenced by numerous documents in the file in which SYNAM details its actions in partnership with the territorial directorates of the DGCCRF (references 150, 10 086, 10 087, 10 099) and by the observations and statements of several provincial agencies (Art et Mode, references 8247 to 8248 and 8258 to 8259; Privilège, reference 15605; Perfect, reference 11200).  </w:t>
        <w:br/>
        <w:t xml:space="preserve">1.  </w:t>
        <w:br/>
        <w:t xml:space="preserve">d) Conjunctural and structural consequences  </w:t>
        <w:br/>
        <w:t xml:space="preserve">485. As indicated above, the impact of the contested pricing grids on the prices charged by modeling agencies has been significant, particularly due to their "union" nature, leading to these grids sometimes being confused with the legal minimum wages for models, including by clients (paragraphs 90 to 98), and being perceived at least as the starting point for negotiation, when it exists, between agencies and their clients (paragraphs 99 to 105). In this regard, it is worth noting the statement from the New Madison agency, which indicated in the hearing, "we work for 95% of our activity based on the SYNAM rates, rates recorded in our computer" (reference 987).  </w:t>
        <w:br/>
        <w:t xml:space="preserve">486. Therefore, even if the rates were negotiated on a case-by-case basis with certain clients and could be lower than those defined by the union grids, the benchmark provided by these pricing grids distorted the course of negotiations by setting a supra-competitive starting point. The argument that the rates actually applied do not always correspond to the union grid rates is therefore not valid. Moreover, by setting a uniform starting point for negotiation, even though agencies may differ in size and cost, the uniqueness of the union grid has limited the autonomy of agencies in determining their own commercial policy, leading to a certain homogenization of the pricing offer.  </w:t>
        <w:br/>
        <w:t xml:space="preserve">487. Several of the parties involved, however, consider that the conjunctural effect of the contested practice is limited because the rates defined by the SYNAM grid were close to those that would have been proposed by the agencies in the absence of said grid, either because the rates of the SYNAM grid were very close to the legal minimums (Marylin, references 23410 to 23414), or because the contested rates barely covered the main costs incurred by the agencies in providing their services, namely the gross salary of the model, holidays, and employer contributions (Karin, reference 18706; Metropolitan, reference 18717; Rebecca, reference 18729). However, the general secretary of SYNAM stated in the hearing that the contested rates allowed agencies to achieve "a gross margin of about 30%" (reference 99).  </w:t>
        <w:br/>
        <w:t xml:space="preserve">488. In this regard, the table below compares the rates, expressed in euros excluding taxes, listed on the SYNAM grid for the year 2010 for 2-hour services in the category "runway shows, photo shoots, and advertising shoots" performed by models of class T7 to T10, as well as the corresponding minimum gross salaries (see the data provided in the statement of objections, point 114). The figures in parentheses represent the respective increases of these rates and minimum salaries compared to the year 2009 for the same services. The minimum gross salaries presented never represent more than 33% of the corresponding rate listed in the SYNAM grid. Thus, the remaining 67% gross margin can be considered sufficient to cover the employer contributions and paid holidays of the model. While this gap does not establish that the markup caused by the practice is significant (since it does not take into account either the price actually charged by the agencies or the non-salary costs of the models they incur), it nonetheless shows that the SYNAM grid was very far from the union minimums mentioned by some of the parties involved.  </w:t>
        <w:br/>
        <w:t xml:space="preserve">1.  </w:t>
        <w:br/>
        <w:t xml:space="preserve">2010 T7 T8 T9 T10  </w:t>
        <w:br/>
        <w:t xml:space="preserve">SYNAM Rates (€ excluding tax) 527 620 816 991  </w:t>
        <w:br/>
        <w:t xml:space="preserve">(increase % 2009) (+1.9%) (+2%) (+2%) (+2%)  </w:t>
        <w:br/>
        <w:t xml:space="preserve">Minimum gross salary 173 197 259.40 323.60  </w:t>
        <w:br/>
        <w:t xml:space="preserve">(increase % 2009) (+0.6%) (+0.5%) (+0.5%) (+0.5%)  </w:t>
        <w:br/>
        <w:t xml:space="preserve">489. Furthermore, it can be noted that several agencies indicate that the rates are lower in the provinces due to competition from cross-border agencies and a lower attractiveness of these agencies compared to those established in Paris (IPS, reference 22666; Hourra, reference 22434). Such rate discrepancies, which the agencies attribute to a differential in the intensity of competition in Paris and in the provinces and not exclusively to a cost differential, suggest that the rates charged by Parisian agencies were not as close to costs as some of the parties involved claim. Moreover, the fact that rates are lower in the provinces, particularly due to greater competition among agencies, does not exclude that the basis for commercial negotiation with the client may have been distorted from the outset.  </w:t>
        <w:br/>
        <w:t xml:space="preserve">490. Several elements, however, serve to temper the extent of the effects of the contested practice on the prices paid by client-users.  </w:t>
        <w:br/>
        <w:t xml:space="preserve">491. Firstly, as noted by SYNAM, these grids took the form of a non-binding "indicative" recommendation. In fact, although member agencies complained to SYNAM about the non-compliance with union rates, no retaliatory measures aimed at aligning these rates have been observed.  </w:t>
        <w:br/>
        <w:t xml:space="preserve">492. Secondly, competition among agencies appears to have been particularly strong in the provinces, leading them to charge prices significantly lower than those of the SYNAM grid.  </w:t>
        <w:br/>
        <w:t xml:space="preserve">493. Finally, the exercise of a countervailing negotiating power by certain clients and the fact that the final prices negotiated by an agency remained opaque to competitors may have mitigated the conjunctural effects of the practice.  </w:t>
        <w:br/>
        <w:t xml:space="preserve">4. ON THE AMOUNT OF THE SANCTION  </w:t>
        <w:br/>
        <w:t xml:space="preserve">494. Given the assessment made above regarding the seriousness of the facts and the importance of the damage caused to the economy, the Authority will impose a monetary sanction of 50,000 euros on SYNAM.  </w:t>
        <w:br/>
        <w:t>495. This amount is below the legal ceiling of 3 million euros mentioned in paragraph 458 above.</w:t>
      </w:r>
    </w:p>
    <w:p>
      <w:r>
        <w:rPr>
          <w:b/>
        </w:rPr>
        <w:t>[Pages 85–87]</w:t>
      </w:r>
    </w:p>
    <w:p>
      <w:r>
        <w:t xml:space="preserve">1. C. ON THE SECOND COMPLAINT  </w:t>
        <w:br/>
        <w:t xml:space="preserve">1. ON THE METHOD OF DETERMINING SANCTIONS  </w:t>
        <w:br/>
        <w:t xml:space="preserve">496. The Authority considers that the method described in the sanctions press release is not suitable in this case, given the specific characteristics of the alleged practices and the significant disparity, particularly in size, between the companies involved, some of which have also experienced a sharp decline in their turnover.  </w:t>
        <w:br/>
        <w:t xml:space="preserve">497. In particular, the Authority notes that, relying on the specific regulatory context governing the remuneration of models, UNAM and then SYNAM developed a discourse, consistently repeated, asserting that the pricing grids were merely the transposition, for each year, of the conventional salary levels resulting from the NAO. This discourse generated, in the minds of member agencies, confusion regarding the exact nature of the union pricing grids (see paragraphs 90 to 98).  </w:t>
        <w:br/>
        <w:t xml:space="preserve">498. Consequently, in light of the particular and cumulative circumstances of the case, the Authority will depart from the method described in the sanctions press release in favor of a flat-rate determination of the sanctions.  </w:t>
        <w:br/>
        <w:t xml:space="preserve">2. ON THE GRAVITY OF THE FACTS  </w:t>
        <w:br/>
        <w:t xml:space="preserve">499. Regarding the offense pursued by complaint No. 2, it presents characteristics similar to those targeted by complaint No. 1.  </w:t>
        <w:br/>
        <w:t xml:space="preserve">500. The Authority will therefore retain the fact that modeling agencies participated in a horizontal agreement among competitors aimed, by its very nature, at manipulating an essential parameter of competition in the targeted sector, which constitutes one of the most serious violations of competition rules.  </w:t>
        <w:br/>
        <w:t xml:space="preserve">501. The Authority will also take into account the non-sophisticated and non-secret nature of the practices (discussion on pricing grids during statutory meetings and the public nature of the practices) as well as the absence of monitoring or retaliation measures.  </w:t>
        <w:br/>
        <w:t xml:space="preserve">3. ON THE IMPORTANCE OF THE DAMAGE TO THE ECONOMY  </w:t>
        <w:br/>
        <w:t xml:space="preserve">502. Complaint No. 2 targets a practice implemented, according to the companies involved, between February 6, 2009, and December 31, 2010.  </w:t>
        <w:br/>
        <w:t xml:space="preserve">503. The figures and statements present in the file allow for an assessment of the weight of the companies that participated in the practice targeted by complaint No. 2 in the French market for modeling agency services. Indeed, according to the statements of its leaders, SYNAM represented, from its creation in 2009, approximately "80% of the profession's turnover" (reference 10193). However, according to the responses to the questionnaires from the investigation services, supplemented by data from the online DIANE database, the combined global turnover of the modeling agencies that are members of SYNAM in 2009 and 2010 amounted to 143.1 and 155.4 million euros excluding taxes, respectively, while the combined global turnover of the 37 agencies that participated in the practice was 138.8 million euros in 2009 and 149.5 million euros in 2010. These agencies thus represented more than 96% of the activity of SYNAM members for each of these two years. Consequently, as, according to the aforementioned statement of its leaders, SYNAM represents 80% of the total activity of modeling agencies established in France, the agencies retained under complaint No. 2 account for more than 77% (80%*96%) of this total, representing a substantial part of the market. Furthermore, a very large share of this turnover is generated in the French market targeted by the practice: indeed, for 31 of the 37 companies retained under complaint No. 2 that distinguished their turnover generated in France from that generated abroad, the average share of sales made on national territory is high, averaging 83%.  </w:t>
        <w:br/>
        <w:t xml:space="preserve">504. The extent of the practice is also reinforced by the spillover effect it may have exerted on agencies that did not participate in the practice targeted by complaint No. 2. Indeed, for many market players, including client-users and modeling agencies, whether members or non-members of the union, the rates defined by SYNAM served as reference grids in the modeling agency sector at the national level (see paragraphs 99 to 105). This spillover effect was also made possible by the confusion maintained between the applicable social minima and the SYNAM pricing grids (paragraphs 90 to 98). Thus, for example, in its response to the DGCCRF questionnaire, the DMA agency, which is not a member of SYNAM, stated that it consults the union's website to be aware of the rates "by legal obligation" (reference 46). Similarly, the client Vente-privée.com challenged SYNAM regarding the right of Ford and Bananas Mambo agencies to charge rates different from the pricing grids by asking "Are they within their rights?" (reference 241).  </w:t>
        <w:br/>
        <w:t xml:space="preserve">505. However, several elements mitigate the extent of the practice in question. Firstly, the estimated cumulative market share does not take into account the competition that foreign agencies may exert on the French market, particularly in cross-border regions such as northern France. This cross-border competition has notably resulted in mitigating the effects of the practice in the provinces, where the proportion of agencies involved in the practice is lower. Secondly, these turnover figures incorporate revenues, sometimes significant, generated by services that were not necessarily affected by the practice in question, such as the management of certain image rights. If the agencies that did not participate in the practice are less present in these services, these figures may lead to an overestimation of the weight of the participants in the practice within the more restricted scope of only the modeling services affected by the practice. Finally, while the practice involved the largest agencies, it involved, in number, just under half of the agencies established in France and involved relatively fewer agencies in the provinces.  </w:t>
        <w:br/>
        <w:t xml:space="preserve">506. The characteristics of the sector in question and the conjunctural effects of the practice are then apprehended in the same manner as for complaint No. 1.  </w:t>
        <w:br/>
        <w:t xml:space="preserve">4. ON THE AMOUNT OF THE SANCTION  </w:t>
        <w:br/>
        <w:t xml:space="preserve">507. In light of the considerations that precede, it is appropriate, by grouping the companies into several categories to reflect the respective economic weight of each of them, to impose the following sanctions under complaint No. 2:  </w:t>
        <w:br/>
        <w:t xml:space="preserve">Sanction (in euros)  </w:t>
        <w:br/>
        <w:t xml:space="preserve">Companies before final adjustments  </w:t>
        <w:br/>
        <w:t xml:space="preserve">The Agency 3,000  </w:t>
        <w:br/>
        <w:t xml:space="preserve">Agency DI 20,000  </w:t>
        <w:br/>
        <w:t xml:space="preserve">People-Coccinelle Agency 20,000  </w:t>
        <w:br/>
        <w:t xml:space="preserve">BananasMambo 40,000  </w:t>
        <w:br/>
        <w:t xml:space="preserve">SARL Bout’chou 3,000  </w:t>
        <w:br/>
        <w:t xml:space="preserve">Catlinka-Privilège 3,000  </w:t>
        <w:br/>
        <w:t xml:space="preserve">City Models 20,000  </w:t>
        <w:br/>
        <w:t xml:space="preserve">Crystal Model Agency’s 40,000  </w:t>
        <w:br/>
        <w:t xml:space="preserve">Dynamite 20,000  </w:t>
        <w:br/>
        <w:t xml:space="preserve">Elite Model Management 300,000  </w:t>
        <w:br/>
        <w:t xml:space="preserve">Enjoy Models Management 20,000  </w:t>
        <w:br/>
        <w:t xml:space="preserve">Exception 10,000  </w:t>
        <w:br/>
        <w:t xml:space="preserve">Premium Models (formerly Ford Models Europe) 80,000  </w:t>
        <w:br/>
        <w:t xml:space="preserve">Frimousse SARL 40,000  </w:t>
        <w:br/>
        <w:t xml:space="preserve">Happy Communication 10,000  </w:t>
        <w:br/>
        <w:t xml:space="preserve">Hinolisari-Success 40,000  </w:t>
        <w:br/>
        <w:t xml:space="preserve">Hourra! Models SARL 40,000  </w:t>
        <w:br/>
        <w:t xml:space="preserve">Idole Model Management 10,000  </w:t>
        <w:br/>
        <w:t xml:space="preserve">International Management Group 300,000  </w:t>
        <w:br/>
        <w:t xml:space="preserve">International Publicity Services 3,000  </w:t>
        <w:br/>
        <w:t xml:space="preserve">Karin Models 80,000  </w:t>
        <w:br/>
        <w:t xml:space="preserve">Kid et Feel 10,000  </w:t>
        <w:br/>
        <w:t xml:space="preserve">Marilyn Agency 600,000  </w:t>
        <w:br/>
        <w:t xml:space="preserve">Metropolitan Models 300,000  </w:t>
        <w:br/>
        <w:t xml:space="preserve">New Madison 40,000  </w:t>
        <w:br/>
        <w:t xml:space="preserve">Next Management Paris 80,000  </w:t>
        <w:br/>
        <w:t xml:space="preserve">Nouvelle Ere 20,000  </w:t>
        <w:br/>
        <w:t xml:space="preserve">Ovation 10,000  </w:t>
        <w:br/>
        <w:t xml:space="preserve">Perfect Models SARL 40,000  </w:t>
        <w:br/>
        <w:t>Profil 20,000</w:t>
      </w:r>
    </w:p>
    <w:p>
      <w:r>
        <w:rPr>
          <w:b/>
        </w:rPr>
        <w:t>[Pages 88–90]</w:t>
      </w:r>
    </w:p>
    <w:p>
      <w:r>
        <w:t>1.</w:t>
        <w:br/>
        <w:t xml:space="preserve">Rebecca 80,000  </w:t>
        <w:br/>
        <w:t xml:space="preserve">Regard’s 10,000  </w:t>
        <w:br/>
        <w:t xml:space="preserve">Smith &amp; Smith Characters 20,000  </w:t>
        <w:br/>
        <w:t xml:space="preserve">Viva Model Management 80,000  </w:t>
        <w:br/>
        <w:t xml:space="preserve">Women Management (taking over the rights of Nathalie) 80,000  </w:t>
        <w:br/>
        <w:t xml:space="preserve">Women Management 80,000  </w:t>
        <w:br/>
        <w:t xml:space="preserve">Zenith Models 3,000  </w:t>
        <w:br/>
        <w:t>Total 2,575,000</w:t>
      </w:r>
    </w:p>
    <w:p>
      <w:r>
        <w:t xml:space="preserve">5. ON FINAL ADJUSTMENTS  </w:t>
        <w:br/>
        <w:t xml:space="preserve">a) On the verification of the legal maximum  </w:t>
        <w:br/>
        <w:t xml:space="preserve">508. Article L. 464-2 of the Commercial Code states that "The maximum amount of the sanction is, for a company, 10% of the highest amount of global turnover excluding taxes achieved during one of the financial years closed since the financial year preceding the one during which the practices were implemented. If the accounts of the concerned company have been consolidated or combined under the applicable texts to its legal form, the turnover."  </w:t>
        <w:br/>
        <w:t>509. In this case, none of the fixed amounts mentioned in the table in paragraph 507 exceeds the respective legal ceiling of the companies involved.</w:t>
      </w:r>
    </w:p>
    <w:p>
      <w:r>
        <w:t xml:space="preserve">b) On the application of III of Article L. 464-2 of the Commercial Code  </w:t>
        <w:br/>
        <w:t xml:space="preserve">510. III of Article L. 464-2 of the Commercial Code, in its wording prior to August 6, 2015, allows the general rapporteur to propose to the Authority to take into account, in the context of determining the sanction, the fact that a company or organization chooses not to contest the grievances that have been notified to it.  </w:t>
        <w:br/>
        <w:t xml:space="preserve">511. In this case, the companies Dynamite, Agence People-Coccinelle, and Ovation did not contest the grievances.  </w:t>
        <w:br/>
        <w:t xml:space="preserve">512. It is appropriate to grant the companies Dynamite, Agence People-Coccinelle, and Ovation a reduction of 10% of the amount of the sanction under the non-contestation procedure of the grievances.  </w:t>
        <w:br/>
        <w:t xml:space="preserve">513. The sanction must therefore be reduced to:  </w:t>
        <w:br/>
        <w:t xml:space="preserve">- 18,000 euros for the company Dynamite;  </w:t>
        <w:br/>
        <w:t xml:space="preserve">- 18,000 euros for the company Agence People-Coccinelle; and  </w:t>
        <w:br/>
        <w:t>- 9,000 euros for the company Ovation.</w:t>
      </w:r>
    </w:p>
    <w:p>
      <w:r>
        <w:t xml:space="preserve">c) On the contributory capacity of the companies involved  </w:t>
        <w:br/>
        <w:t xml:space="preserve">514. Regarding the elements specific to the situation of each company or organization involved, the Authority has lastly committed to assessing the particular financial difficulties that may diminish the contributory capacity that the parties claim to exist, according to the practical modalities indicated in the sanctions press release.  </w:t>
        <w:br/>
        <w:t xml:space="preserve">515. In the letters notifying the report to the parties dated November 2, 2015, the investigation services invited all the parties involved to submit any documents justifying potential financial difficulties that could impact their contributory capacity. It is indeed up to the company to justify the existence of such difficulties based on reliable, complete, and objective evidence attesting to their reality and their concrete consequences on its contributory capacity (see, in this sense, judgment of the Paris Court of Appeal of October 11, 2012, page 73).  </w:t>
        <w:br/>
        <w:t xml:space="preserve">516. The Authority notes that:  </w:t>
        <w:br/>
        <w:t xml:space="preserve">- the company Idole Model Management was placed in judicial liquidation by judgment of the Commercial Court of Paris dated December 5, 2013;  </w:t>
        <w:br/>
        <w:t xml:space="preserve">- the company International Publicity Services was struck off the trade and companies register on September 16, 2015;  </w:t>
        <w:br/>
        <w:t xml:space="preserve">- the company Ovation has been in dissolution since May 10, 2015.  </w:t>
        <w:br/>
        <w:t xml:space="preserve">517. In view of the situation of these companies, there is no need to impose a monetary sanction on the companies Idole Model Management, International Publicity Services, and Ovation.  </w:t>
        <w:br/>
        <w:t xml:space="preserve">518. Furthermore, the companies Catlinka-Privilège, Kid et Feel, Regard’s, Exception, Smith &amp; Smith Characters, Nouvelle Ere, Agence People-Coccinelle, City Models, Dynamite, Perfect Models SARL, and Metropolitan Models have invoked the existence of particular financial difficulties that they claim limit their contributory capacity.  </w:t>
        <w:br/>
        <w:t xml:space="preserve">519. In this case, regarding the companies Smith &amp; Smith Characters, Agence People-Coccinelle, Dynamite, and Perfect Models SARL, the examination of the financial and accounting elements they provided does not establish the existence of financial difficulties affecting their ability to pay the sanction that the Authority intends to impose on them.  </w:t>
        <w:br/>
        <w:t xml:space="preserve">520. On the other hand, the examination of the financial and accounting elements that the companies Catlinka-Privilège, Kid et Feel, Regard’s, Exception, Nouvelle Ere, City Models, and Metropolitan Models have submitted in support of their request leads the Authority to find that they constitute reliable, complete, and objective evidence attesting to the existence of particular and current financial difficulties affecting their ability to pay the sanction that the Authority intends to impose on them.  </w:t>
        <w:br/>
        <w:t xml:space="preserve">521. It is therefore appropriate to reduce, in light of the contributory capacity of these companies:  </w:t>
        <w:br/>
        <w:t xml:space="preserve">- the sanction imposed on Catlinka-Privilège from 3,000 euros to 1,000 euros;  </w:t>
        <w:br/>
        <w:t xml:space="preserve">- the sanction imposed on Kid et Feel from 10,000 euros to 1,000 euros;  </w:t>
        <w:br/>
        <w:t xml:space="preserve">- the sanction imposed on Regard’s from 10,000 euros to 1,000 euros;  </w:t>
        <w:br/>
        <w:t xml:space="preserve">- the sanction imposed on Exception from 10,000 euros to 1,000 euros;  </w:t>
        <w:br/>
        <w:t xml:space="preserve">- the sanction imposed on Nouvelle Ere from 20,000 euros to 1,000 euros;  </w:t>
        <w:br/>
        <w:t xml:space="preserve">- the sanction imposed on City Models from 20,000 euros to 1,000 euros; and  </w:t>
        <w:br/>
        <w:t>- the sanction imposed on Metropolitan Models from 300,000 euros to 150,000 euros.</w:t>
      </w:r>
    </w:p>
    <w:p>
      <w:r>
        <w:t xml:space="preserve">522. In light of all the elements described above, it is appropriate to impose the following sanctions on the companies involved:  </w:t>
        <w:br/>
        <w:t xml:space="preserve">Sanction (in euros) after  </w:t>
        <w:br/>
        <w:t xml:space="preserve">Company final adjustments  </w:t>
        <w:br/>
        <w:t xml:space="preserve">L’Agence 3,000  </w:t>
        <w:br/>
        <w:t xml:space="preserve">Agence DI 20,000  </w:t>
        <w:br/>
        <w:t xml:space="preserve">Agence People-Coccinelle 18,000  </w:t>
        <w:br/>
        <w:t xml:space="preserve">BananasMambo 40,000  </w:t>
        <w:br/>
        <w:t xml:space="preserve">SARL Bout’chou 3,000  </w:t>
        <w:br/>
        <w:t xml:space="preserve">Catlinka-Privilège 1,000  </w:t>
        <w:br/>
        <w:t xml:space="preserve">City Models 1,000  </w:t>
        <w:br/>
        <w:t xml:space="preserve">Crystal Model Agency’s 40,000  </w:t>
        <w:br/>
        <w:t xml:space="preserve">Dynamite 18,000  </w:t>
        <w:br/>
        <w:t xml:space="preserve">Elite Model Management 300,000  </w:t>
        <w:br/>
        <w:t xml:space="preserve">Enjoy Models Management 20,000  </w:t>
        <w:br/>
        <w:t xml:space="preserve">Exception 1,000  </w:t>
        <w:br/>
        <w:t xml:space="preserve">Premium Models (formerly Ford Models Europe) 80,000  </w:t>
        <w:br/>
        <w:t xml:space="preserve">Frimousse SARL 40,000  </w:t>
        <w:br/>
        <w:t xml:space="preserve">Happy Communication 10,000  </w:t>
        <w:br/>
        <w:t xml:space="preserve">Hinolisari-Success 40,000  </w:t>
        <w:br/>
        <w:t xml:space="preserve">Hourra ! Models SARL 40,000  </w:t>
        <w:br/>
        <w:t xml:space="preserve">International Management Group 300,000  </w:t>
        <w:br/>
        <w:t xml:space="preserve">Karin Models 80,000  </w:t>
        <w:br/>
        <w:t xml:space="preserve">Kid et Feel 1,000  </w:t>
        <w:br/>
        <w:t xml:space="preserve">Marilyn Agency 600,000  </w:t>
        <w:br/>
        <w:t xml:space="preserve">Metropolitan Models 150,000  </w:t>
        <w:br/>
        <w:t xml:space="preserve">New Madison 40,000  </w:t>
        <w:br/>
        <w:t xml:space="preserve">Next Management Paris 80,000  </w:t>
        <w:br/>
        <w:t xml:space="preserve">Nouvelle Ere 1,000  </w:t>
        <w:br/>
        <w:t xml:space="preserve">Perfect Models SARL 40,000  </w:t>
        <w:br/>
        <w:t xml:space="preserve">Profil 20,000  </w:t>
        <w:br/>
        <w:t>Rebecca 80,000</w:t>
      </w:r>
    </w:p>
    <w:p>
      <w:r>
        <w:rPr>
          <w:b/>
        </w:rPr>
        <w:t>[Pages 91–93]</w:t>
      </w:r>
    </w:p>
    <w:p>
      <w:r>
        <w:t>1.</w:t>
        <w:br/>
        <w:t xml:space="preserve">Regard’s 1,000  </w:t>
        <w:br/>
        <w:t xml:space="preserve">Smith &amp; Smith Characters 20,000  </w:t>
        <w:br/>
        <w:t xml:space="preserve">Viva Model Management 80,000  </w:t>
        <w:br/>
        <w:t xml:space="preserve">Women Management (inheriting the rights of Nathalie) 80,000  </w:t>
        <w:br/>
        <w:t xml:space="preserve">Women Management 80,000  </w:t>
        <w:br/>
        <w:t xml:space="preserve">Zenith Models 3,000  </w:t>
        <w:br/>
        <w:t>Total 2,331,000</w:t>
      </w:r>
    </w:p>
    <w:p>
      <w:r>
        <w:t xml:space="preserve">D. ON THE OBLIGATION TO PUBLISH  </w:t>
        <w:br/>
        <w:t xml:space="preserve">523. In order to draw the attention of clients of modeling agencies, it is necessary, given the facts established by this decision and the violations noted, to order based on I of Article L. 464-2 of the Commercial Code, the publication, at the shared expense of the union and the sanctioned companies and in proportion to their monetary sanctions, in the edition of the newspaper Les Échos, of the summary of this decision set forth below:  </w:t>
        <w:br/>
        <w:t xml:space="preserve">"On September 29, 2016, the Competition Authority issued a decision imposing fines totaling 2,381,000 euros on the National Union of Modeling Agencies (SYNAM) as well as on 37 modeling agencies for anticompetitive collusion practices.  </w:t>
        <w:br/>
        <w:t>From the beginning of the year 2000 to the end of the year 2010, SYNAM developed and disseminated price lists for the services of modeling agencies. These price lists, updated annually, limited the commercial freedom of the agencies and distorted negotiations with clients. By its behavior, SYNAM, which due to its status as a professional organization bears a particular responsibility for ensuring compliance with the law by its members, severely undermined the functioning of competition in this sector. The Authority also sanctioned 37 agencies that, for varying durations between February 6, 2009, and December 31, 2010, participated in the development, dissemination, and, where applicable, application of SYNAM's price lists."</w:t>
      </w:r>
    </w:p>
    <w:p>
      <w:r>
        <w:t xml:space="preserve">1.  </w:t>
        <w:br/>
        <w:t xml:space="preserve">DECISION  </w:t>
        <w:br/>
        <w:t xml:space="preserve">Article 1: It is established that SYNAM violated the provisions of Article L. 420-1 of the Commercial Code by implementing, between January 1, 2000, and December 31, 2010, an agreement consisting of the development and dissemination of price schedules.  </w:t>
        <w:br/>
        <w:t xml:space="preserve">Article 2: It is established that the companies L’Agence; Agence DI; Agence People-Coccinelle; BananasMambo; SARL Bout’chou; Catlinka-Privilège; City Models; Crystal Model Agency’s; Dynamite; Elite Model Management; Enjoy Models Management; Exception; Premium Models; Frimousse SARL; Happy Communication; Hinolisari-Success; Hourra! Models SARL; Idole Model Management; International Management Group; International Publicity Services; Karin Models; Kid et Feel; Marilyn Agency; Metropolitan Models; New Madison; Next Management Paris; Nouvelle Ere; Ovation; Perfect Models SARL; Profil; Rebecca; Regard’s; Smith &amp; Smith Characters; Viva Model Management; Women Management; Women Management (inheriting the rights of Nathalie) and Zenith Models violated the provisions of Article L. 420-1 of the Commercial Code by implementing, each for its duration of participation in the practices, an agreement consisting of the development, dissemination, and, where applicable, application of price schedules between February 6, 2009, and December 31, 2010.  </w:t>
        <w:br/>
        <w:t xml:space="preserve">Article 3: The companies Angels Models Management, MP Paris, and V.I.P. Models are dismissed from the case.  </w:t>
        <w:br/>
        <w:t xml:space="preserve">Article 4: The following monetary sanctions are imposed for the practices referred to in Articles 1 and 2:  </w:t>
        <w:br/>
        <w:t xml:space="preserve">• to the National Union of Modeling Agencies, a sanction of 50,000 euros;  </w:t>
        <w:br/>
        <w:t xml:space="preserve">• to the company L’Agence, a sanction of 3,000 euros;  </w:t>
        <w:br/>
        <w:t xml:space="preserve">• to the company Agence DI, a sanction of 20,000 euros;  </w:t>
        <w:br/>
        <w:t xml:space="preserve">• to the company Agence People-Coccinelle, a sanction of 18,000 euros;  </w:t>
        <w:br/>
        <w:t xml:space="preserve">• to the company BananasMambo, a sanction of 40,000 euros;  </w:t>
        <w:br/>
        <w:t xml:space="preserve">• to the company SARL Bout’chou, a sanction of 3,000 euros;  </w:t>
        <w:br/>
        <w:t xml:space="preserve">• to the company Catlinka-Privilège, a sanction of 1,000 euros;  </w:t>
        <w:br/>
        <w:t xml:space="preserve">• to the company City Models, a sanction of 1,000 euros;  </w:t>
        <w:br/>
        <w:t xml:space="preserve">• to the company Crystal Model Agency’s, a sanction of 40,000 euros;  </w:t>
        <w:br/>
        <w:t xml:space="preserve">• to the company Dynamite, a sanction of 18,000 euros;  </w:t>
        <w:br/>
        <w:t xml:space="preserve">• to the company Elite Model Management, a sanction of 300,000 euros;  </w:t>
        <w:br/>
        <w:t xml:space="preserve">• to the company Enjoy Models Management, a sanction of 20,000 euros;  </w:t>
        <w:br/>
        <w:t xml:space="preserve">• to the company Exception, a sanction of 1,000 euros;  </w:t>
        <w:br/>
        <w:t xml:space="preserve">• to the company Premium Models, a sanction of 80,000 euros;  </w:t>
        <w:br/>
        <w:t xml:space="preserve">• to the company Frimousse SARL, a sanction of 40,000 euros;  </w:t>
        <w:br/>
        <w:t xml:space="preserve">• to the company Happy Communication, a sanction of 10,000 euros;  </w:t>
        <w:br/>
        <w:t xml:space="preserve">• to the company Hinolisari-Success, a sanction of 40,000 euros;  </w:t>
        <w:br/>
        <w:t xml:space="preserve">• to the company Hourra! Models SARL, a sanction of 40,000 euros;  </w:t>
        <w:br/>
        <w:t xml:space="preserve">• to the company International Management Group, a sanction of 300,000 euros;  </w:t>
        <w:br/>
        <w:t xml:space="preserve">• to the company Karin Models, a sanction of 80,000 euros;  </w:t>
        <w:br/>
        <w:t xml:space="preserve">• to the company Kid et Feel, a sanction of 1,000 euros;  </w:t>
        <w:br/>
        <w:t xml:space="preserve">• to the company Marilyn Agency, a sanction of 600,000 euros;  </w:t>
        <w:br/>
        <w:t xml:space="preserve">• to the company Metropolitan Models, a sanction of 150,000 euros;  </w:t>
        <w:br/>
        <w:t xml:space="preserve">• to the company New Madison, a sanction of 40,000 euros;  </w:t>
        <w:br/>
        <w:t xml:space="preserve">• to the company Next Management Paris, a sanction of 80,000 euros;  </w:t>
        <w:br/>
        <w:t xml:space="preserve">• to the company Nouvelle Ere, a sanction of 1,000 euros;  </w:t>
        <w:br/>
        <w:t xml:space="preserve">• to the company Perfect Models SARL, a sanction of 40,000 euros;  </w:t>
        <w:br/>
        <w:t xml:space="preserve">• to the company Profil, a sanction of 20,000 euros;  </w:t>
        <w:br/>
        <w:t xml:space="preserve">• to the company Rebecca, a sanction of 80,000 euros;  </w:t>
        <w:br/>
        <w:t xml:space="preserve">• to the company Regard’s, a sanction of 1,000 euros;  </w:t>
        <w:br/>
        <w:t xml:space="preserve">• to the company Smith &amp; Smith Characters, a sanction of 20,000 euros;  </w:t>
        <w:br/>
        <w:t xml:space="preserve">• to the company Viva Model Management, a sanction of 80,000 euros;  </w:t>
        <w:br/>
        <w:t xml:space="preserve">• to the company Women Management, a sanction of 80,000 euros;  </w:t>
        <w:br/>
        <w:t xml:space="preserve">• to the company Women Management (inheriting the rights of Nathalie), a sanction of 80,000 euros;  </w:t>
        <w:br/>
        <w:t xml:space="preserve">• to the company Zenith Models, a sanction of 3,000 euros.  </w:t>
        <w:br/>
        <w:t xml:space="preserve">Article 5: No monetary sanctions are to be imposed against the companies Idole Model Management, International Publicity Services, and Ovation.  </w:t>
        <w:br/>
        <w:t>Article 6: The legal entities referred to in Articles 1 and 2 shall publish the text appearing in paragraph 523 of this decision, respecting the formatting, in the edition of the newspaper Les Échos. This publication shall occur in a box in black characters on a white background with a height of at least three millimeters under the following title, in bold characters of the same size: "Decision of the Competition Authority No. 16-D-20 of September 29, 2016, regarding practices implemented in the sector of services provided by modeling agencies." They may be followed by a mention that the decision has been subject to appeals before the Paris Court of Appeal if such appeals are filed. The concerned legal entities shall send, by registered mail, to the procedure office, a copy of this publication, as soon as it is published and no later than November 29, 2016.</w:t>
      </w:r>
    </w:p>
    <w:p>
      <w:r>
        <w:rPr>
          <w:b/>
        </w:rPr>
        <w:t>[Pages 94–94]</w:t>
      </w:r>
    </w:p>
    <w:p>
      <w:r>
        <w:t xml:space="preserve">1. Deliberated on the oral report of Ms. Marie-Aimée Veinberg-Trouvet and Mr. Gilles Vaury and the intervention of Mr. Umberto Berkani, deputy general rapporteur, by Mr. Emmanuel Combe, vice-president, president of the session, Ms. Laurence Idot, Ms. Isabelle de Silva, Ms. Marie-Laure Sauty de Chalon, members.  </w:t>
        <w:br/>
        <w:t xml:space="preserve">The secretary of the session, The vice-president,  </w:t>
        <w:br/>
        <w:t xml:space="preserve">Béatrice Déry-Rosot Emmanuel Combe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