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https://www.autoritedelaconcurrence.fr/fr/decision/relative-des-pratiques-mises-en-oeuvre-dans-le-secteur-des-produits-dentretien-et-des</w:t>
      </w:r>
    </w:p>
    <w:p>
      <w:r>
        <w:t>Pages translated : 313</w:t>
      </w:r>
    </w:p>
    <w:p/>
    <w:p>
      <w:r>
        <w:rPr>
          <w:b/>
        </w:rPr>
        <w:t>[Pages 1–3]</w:t>
      </w:r>
    </w:p>
    <w:p>
      <w:r>
        <w:t xml:space="preserve">FRENCH REPUBLIC  </w:t>
        <w:br/>
        <w:t xml:space="preserve">Decision No. 14-D-19 of December 18, 2014  </w:t>
        <w:br/>
        <w:t>regarding practices implemented in the sector of cleaning products and insecticides and in the sector of hygiene and body care products</w:t>
      </w:r>
    </w:p>
    <w:p>
      <w:r>
        <w:t xml:space="preserve">The Competition Authority (Section III),  </w:t>
        <w:br/>
        <w:t xml:space="preserve">Having regard to the request from the SC Johnson group and its subsidiaries, and in particular the French subsidiary SC Johnson SAS submitted to the General Rapporteur of the Competition Council on December 6, 2005, registered under number 05/0100AC and seeking to benefit from IV of Article L. 464-2 of the Commercial Code;  </w:t>
        <w:br/>
        <w:t xml:space="preserve">Having regard to decision 06-SO-01 dated January 6, 2006, by which the Competition Council took the initiative to examine collusive practices implemented in the sector of cleaning products and insecticides in France (case registered under number 06/0001F);  </w:t>
        <w:br/>
        <w:t xml:space="preserve">Having regard to the request from Colgate-Palmolive submitted to the General Rapporteur of the Competition Council on February 24, 2006, registered under number 06/0018AC and seeking to benefit from IV of Article L. 464-2 of the Commercial Code concerning practices implemented in the sector of cleaning products;  </w:t>
        <w:br/>
        <w:t xml:space="preserve">Having regard to the request from Colgate-Palmolive submitted to the General Rapporteur of the Competition Council on February 28, 2006, registered under number 06/0019AC and seeking to benefit from IV of Article L. 464-2 of the Commercial Code concerning practices implemented in the sector of hygiene and body care products;  </w:t>
        <w:br/>
        <w:t xml:space="preserve">Having regard to decision 06-SO-04 dated June 20, 2006, by which the Competition Council took the initiative to examine practices implemented in the sector of hygiene and body care products (case registered under number 06/0042F);  </w:t>
        <w:br/>
        <w:t xml:space="preserve">Having regard to the request from Henkel France and its subsidiaries submitted to the General Rapporteur of the Competition Council on April 28, 2008, registered under number 08/0044AC and seeking to benefit from IV of Article L. 464-2 of the Commercial Code concerning practices implemented in the sector of cleaning products;  </w:t>
        <w:br/>
        <w:t xml:space="preserve">Having regard to the request from Henkel France and its subsidiaries submitted to the General Rapporteur of the Competition Council on July 24, 2008, registered under number 08/0084AC and seeking to benefit from IV of Article L. 464-2 of the Commercial Code concerning practices implemented in the sector of hygiene and body care products;  </w:t>
        <w:br/>
        <w:t>Having regard to the decision dated January 21, 2009, by which the General Rapporteur of the Competition Council separated the part of the requests No. 06/0001F and No. 06/0042F relating to practices implemented in the laundry sector in France and opened a separate file for this case under No. 09/0007F;</w:t>
      </w:r>
    </w:p>
    <w:p>
      <w:r>
        <w:t xml:space="preserve">Having regard to Articles 81 and 82 of the Treaty establishing the European Community, now Articles 101 and 102 of the Treaty on the Functioning of the European Union (TFEU);  </w:t>
        <w:br/>
        <w:t xml:space="preserve">Having regard to Book IV of the Commercial Code;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business secrecy decisions No. 06-DSA-08 of April 14, 2006, 06-DSA-62 of November 6, 2006, 06-DSA-71 and 72 of November 22, 2006, 10-DSA-200, 10-DSA-201 and 10-DSA-202 of September 28, 2010, 11-DSA-141, 11-DSA-142 and 11-DSA-143 of June 27, 2011, 11-DSA-146 of June 28, 2011, 11-DSA-198 and 11-DSA-211 of June 29, 2011, 12-DSA-186 and 12-DSA-187 of May 14, 2012, 12-DSA-198 of May 21, 2012, 12-DSA-274 and 12-DSA-275 of August 20, 2012, 12-DSA-325 of October 3, 2012, 12-DSA-413 of December 11, 2012, 13-DSA-11, 13-DSA-30, 13-DSA-33, 13-DSA-34 and 13-DSA-35 of January 29, 2013, 13-DSA-36, 13-DSA-37 and 13-DSA-39 of January 30, 2013, 13-DSA-40 and 13-DSA-41 of January 31, 2013, 13-DSA-67 of February 15, 2013, 13-DSA-76 of March 4, 2013, 13-DSA-87 of March 8, 2013, 13-DSA-125 of April 18, 2013, 13-DSA-137 of April 23, 2013, 13-DSA-227 of August 5, 2013, 13-DSA-217 of September 9, 2013, 13-DSA-250, 13-DSA-251 and 13-DSA-252 of September 10, 2013, 13-DSA-253 of September 11, 2013, 13-DSA-272 of October 3, 2013, 13-DSA-334, 13-DSA-335, 13-DSA-336, 13-DSA-337 and 13-DSA-338 of December 23, 2013, 14-DSA-53 of March 4, 2014, 14-DSA-240, 14-DSA-241, 14-DSA-242, 14-DSA-243, 14-DSA-244, 14-DSA-245, 14-DSA-246, 14-DSA-247 and 14-DSA-248 of August 25, 2014;  </w:t>
        <w:br/>
        <w:t xml:space="preserve">Having regard to the declassification decisions No. 13-DECR-06 of February 22, 2013, 13-DEC-24 of April 12, 2013, 13-DECR-19 of April 15, 2013, 13-DECR-21, 13-DECR-22 and 13-DEC-25 of April 16, 2013, 13-DECR-20 of April 17, 2013, 13-DECR-26, 13-DECR-27 and 13-DECR-28 of April 24, 2013, 13-DEC-29 of April 30, 2013, 14-DEC-05 of February 21, 2014, 14-DECR-06, 14-DECR-07, 14-DECR-08, 14-DECR-09, 14-DEC-06, 14-DEC-07 of March 4, 2014, 14-DECR-12 of March 17, 2014;  </w:t>
        <w:br/>
        <w:t xml:space="preserve">Having regard to the minutes of July 19, 2013, by which the companies Topaze, Unilever France and Unilever France Holdings declared that they did not contest the allegations notified to them and requested the benefit of the provisions of III of Article L. 464-2 of the Commercial Code;  </w:t>
        <w:br/>
        <w:t xml:space="preserve">Having regard to the minutes of July 22, 2013, by which the company Johnson &amp; Johnson Santé Beauté France declared that it did not contest the allegations notified to it and requested the benefit of the provisions of III of Article L. 464-2 of the Commercial Code;  </w:t>
        <w:br/>
        <w:t xml:space="preserve">Having regard to the minutes of August 8, 2013, by which the company SCA Tissue France declared that it did not contest the allegations notified to it and requested the benefit of the provisions of III of Article L. 464-2 of the Commercial Code;  </w:t>
        <w:br/>
        <w:t xml:space="preserve">Having regard to the minutes of August 8, 2013, by which the companies Vania Expansion and Johnson &amp; Johnson Consumer Holdings France declared that they did not contest the allegations notified to them and requested the benefit of the provisions of III of Article L. 464-2 of the Commercial Code;  </w:t>
        <w:br/>
        <w:t>Having regard to the minutes of August 22, 2013, by which the companies Henkel France and Henkel AG &amp; Co KGaA declared that they did not contest the allegations notified to them and requested the benefit of the provisions of III of Article L. 464-2 of the Commercial Code;</w:t>
      </w:r>
    </w:p>
    <w:p>
      <w:r>
        <w:t xml:space="preserve">Having regard to the minutes of August 28, 2013, by which the companies Reckitt Benckiser France, RB Holding Southern Europe and Reckitt Benckiser PLC declared that they did not contest the allegations notified to them and requested the benefit of the provisions of III of Article L. 464-2 of the Commercial Code;  </w:t>
        <w:br/>
        <w:t xml:space="preserve">Having regard to the minutes of August 30, 2013, by which the companies Colgate-Palmolive, Colgate-Palmolive Services and Colgate-Palmolive Company declared that they did not contest the allegations notified to them and requested the benefit of the provisions of III of Article L. 464-2 of the Commercial Code;  </w:t>
        <w:br/>
        <w:t xml:space="preserve">Having regard to the minutes of August 30, 2013, by which the companies Procter &amp; Gamble France, Procter &amp; Gamble Holding France and The Procter &amp; Gamble Company declared that they did not contest the allegations notified to them and requested the benefit of the provisions of III of Article L. 464-2 of the Commercial Code;  </w:t>
        <w:br/>
        <w:t xml:space="preserve">Having regard to the minutes of September 2, 2013, by which the companies Beiersdorf SAS, Beiersdorf Holding France SARL and Beiersdorf AG declared that they did not contest the allegations notified to them and requested the benefit of the provisions of III of Article L. 464-2 of the Commercial Code;  </w:t>
        <w:br/>
        <w:t xml:space="preserve">Having regard to the observations presented by the companies Topaze, Unilever France, Unilever France Holdings, Procter &amp; Gamble France, Procter &amp; Gamble Holding France, The Procter &amp; Gamble Company, Henkel France, Henkel AG &amp; Co. KGaA, Colgate-Palmolive, Colgate-Palmolive Services, Colgate-Palmolive Company, Colgate-Palmolive succeeding to Sara Lee Household and Body Care France, Hillshire Brands Company, SC Johnson SAS, SC Johnson &amp; Son, Inc., Reckitt Benckiser France, RB Holding Southern Europe, Reckitt Benckiser PLC, Bolton Solitaire SAS, Bolton Manitoba S.p.A., Procter &amp; Gamble France succeeding to the company Groupe Gillette France, The Procter &amp; Gamble Company succeeding to The Gillette Company, Johnson &amp; Johnson Santé Beauté France, SCA Tissue France, Johnson &amp; Johnson Consumer Holdings France, Vania Expansion, Lascad, L’Oréal, Beiersdorf SAS, Beiersdorf Holding France SARL, Beiersdorf AG and by the Government Commissioner;  </w:t>
        <w:br/>
        <w:t xml:space="preserve">Having regard to the other documents in the file;  </w:t>
        <w:br/>
        <w:t xml:space="preserve">The rapporteurs, the Deputy General Rapporteur, the Government Commissioner, and the representatives of the companies Topaze, Unilever France, Unilever France Holdings, Procter &amp; Gamble France, Procter &amp; Gamble Holding France, The Procter &amp; Gamble Company, Henkel France, Henkel AG &amp; Co. KGaA, Colgate-Palmolive, Colgate-Palmolive Services, Colgate-Palmolive Company, Colgate-Palmolive succeeding to Sara Lee Household and Body Care France, Hillshire Brands Company, SC Johnson SAS, SC Johnson &amp; Son, Inc., Reckitt Benckiser France, RB Holding Southern Europe, Reckitt Benckiser PLC, Bolton Solitaire SAS, Bolton Manitoba S.p.A., Procter &amp; Gamble France succeeding to the company Groupe Gillette France, The Procter &amp; Gamble Company succeeding to The Gillette Company, Johnson &amp; Johnson Santé Beauté France, SCA Tissue France, Johnson &amp; Johnson Consumer Holdings France, Vania Expansion, Lascad, L’Oréal, Beiersdorf SAS, Beiersdorf Holding France SARL, Beiersdorf AG heard during the session of the Competition Authority on October 16, 2014;  </w:t>
        <w:br/>
        <w:t>Adopts the following decision:</w:t>
      </w:r>
    </w:p>
    <w:p>
      <w:r>
        <w:rPr>
          <w:b/>
        </w:rPr>
        <w:t>[Pages 4–6]</w:t>
      </w:r>
    </w:p>
    <w:p>
      <w:r>
        <w:t xml:space="preserve">SYNOPSIS  </w:t>
        <w:br/>
        <w:t xml:space="preserve">I. FINDINGS ........................................................................................................ 9  </w:t>
        <w:br/>
        <w:t xml:space="preserve">A. The procedure ............................................................................................ 9  </w:t>
        <w:br/>
        <w:t xml:space="preserve">1. Case 06/0001F concerning practices in the maintenance and household insecticides sector .............................................................. 9  </w:t>
        <w:br/>
        <w:t xml:space="preserve">2. Case 06/0042F concerning practices implemented in the hygiene and body care products sector ....................................................... 10  </w:t>
        <w:br/>
        <w:t xml:space="preserve">3. The joining of cases 06/0001F and 06/0042F ........................................ 10  </w:t>
        <w:br/>
        <w:t xml:space="preserve">4. The leniency applications from Henkel and Procter &amp; Gamble ............ 10  </w:t>
        <w:br/>
        <w:t xml:space="preserve">a) The leniency applications from Henkel .................................................. 10  </w:t>
        <w:br/>
        <w:t xml:space="preserve">b) The leniency application from Procter &amp; Gamble ................................ 11  </w:t>
        <w:br/>
        <w:t xml:space="preserve">5. Summary table of leniency applications ................................................ 11  </w:t>
        <w:br/>
        <w:t xml:space="preserve">6. The separation of files 06/0001F and 06/0042F and the opening of file 09/0007F concerning practices implemented in the laundry sector in France ........................................................................................................ 12  </w:t>
        <w:br/>
        <w:t xml:space="preserve">B. The companies involved .......................................................................... 12  </w:t>
        <w:br/>
        <w:t xml:space="preserve">1. The bisectoral companies ........................................................................ 12  </w:t>
        <w:br/>
        <w:t xml:space="preserve">a) Colgate-Palmolive .................................................................................. 12  </w:t>
        <w:br/>
        <w:t xml:space="preserve">b) Henkel ..................................................................................................... 13  </w:t>
        <w:br/>
        <w:t xml:space="preserve">c) Procter &amp; Gamble .................................................................................. 13  </w:t>
        <w:br/>
        <w:t xml:space="preserve">d) Unilever ................................................................................................... 14  </w:t>
        <w:br/>
        <w:t xml:space="preserve">e) Reckitt Benckiser .................................................................................... 14  </w:t>
        <w:br/>
        <w:t xml:space="preserve">f) Sara Lee ................................................................................................... 15  </w:t>
        <w:br/>
        <w:t xml:space="preserve">g) Laboratoires Vendôme .......................................................................... 16  </w:t>
        <w:br/>
        <w:t xml:space="preserve">2. The monosectoral companies active in the maintenance and household insecticides sector ................................................................. 16  </w:t>
        <w:br/>
        <w:t xml:space="preserve">a) SC Johnson ............................................................................................. 16  </w:t>
        <w:br/>
        <w:t xml:space="preserve">b) Bolton Solitaire ...................................................................................... 16  </w:t>
        <w:br/>
        <w:t xml:space="preserve">3. The monosectoral companies active in the hygiene and body care products sector ............................................................................. 17  </w:t>
        <w:br/>
        <w:t xml:space="preserve">a) L’Oréal ..................................................................................................... 17  </w:t>
        <w:br/>
        <w:t xml:space="preserve">b) Beiersdorf ............................................................................................... 17  </w:t>
        <w:br/>
        <w:t xml:space="preserve">c) Gillette ..................................................................................................... 17  </w:t>
        <w:br/>
        <w:t xml:space="preserve">d) Vania ....................................................................................................... 18  </w:t>
        <w:br/>
        <w:t xml:space="preserve">C. The sectors concerned ............................................................................ 18  </w:t>
        <w:br/>
        <w:t xml:space="preserve">1. General definition of the sectors concerned .......................................... 18  </w:t>
        <w:br/>
        <w:t xml:space="preserve">a) Hygiene sector ....................................................................................... 18  </w:t>
        <w:br/>
        <w:t xml:space="preserve">b) Maintenance sector ............................................................................... 19  </w:t>
        <w:br/>
        <w:t xml:space="preserve">2. The offer of hygiene and maintenance products to large distribution .... 20  </w:t>
        <w:br/>
        <w:t xml:space="preserve">a) Characteristics of the offer in the hygiene sector ............................... 20  </w:t>
        <w:br/>
        <w:t xml:space="preserve">b) Characteristics of the offer in the maintenance sector ....................... 22  </w:t>
        <w:br/>
        <w:t xml:space="preserve">3. The demand in the maintenance and hygiene sectors .......................... 23  </w:t>
        <w:br/>
        <w:t xml:space="preserve">a) Characteristics of the demand ................................................................ 23  </w:t>
        <w:br/>
        <w:t xml:space="preserve">b) The bargaining power of large distribution brands .............................. 24  </w:t>
        <w:br/>
        <w:t xml:space="preserve">4. The negotiations between suppliers and distributors at the time of the practices .......................................................................................... 26  </w:t>
        <w:br/>
        <w:t xml:space="preserve">a) Conduct of negotiations ......................................................................... 26  </w:t>
        <w:br/>
        <w:t xml:space="preserve">b) Negotiation methods .............................................................................. 28  </w:t>
        <w:br/>
        <w:t xml:space="preserve">c) The information available to suppliers .................................................... 29  </w:t>
        <w:br/>
        <w:t xml:space="preserve">D. The evolution of the legal framework ..................................................... 31  </w:t>
        <w:br/>
        <w:t xml:space="preserve">1. The legal framework prevailing until the beginning of 2003 ................. 31  </w:t>
        <w:br/>
        <w:t xml:space="preserve">a) The legal framework established by the Galland law .......................... 31  </w:t>
        <w:br/>
        <w:t xml:space="preserve">b) The effects of the Galland law ................................................................ 32  </w:t>
        <w:br/>
        <w:t xml:space="preserve">2. The modification of the legal framework ................................................ 34  </w:t>
        <w:br/>
        <w:t xml:space="preserve">a) Presentation of the modifications to the legal framework ................... 34  </w:t>
        <w:br/>
        <w:t xml:space="preserve">b) The consequences of the legal framework reforms ............................. 36  </w:t>
        <w:br/>
        <w:t xml:space="preserve">E. Description of the pursued practices ....................................................... 38  </w:t>
        <w:br/>
        <w:t xml:space="preserve">1. Implementation modalities of the practices ............................................. 38  </w:t>
        <w:br/>
        <w:t xml:space="preserve">a) The three meeting circles ...................................................................... 38  </w:t>
        <w:br/>
        <w:t xml:space="preserve">b) The "correspondences" .......................................................................... 68  </w:t>
        <w:br/>
        <w:t xml:space="preserve">c) Bilateral and multilateral exchanges ....................................................... 75  </w:t>
        <w:br/>
        <w:t xml:space="preserve">d) Conclusion on the implementation modalities of the practices ............ 78  </w:t>
        <w:br/>
        <w:t xml:space="preserve">e) Summary table of the companies' participation in the exchanges ....... 79  </w:t>
        <w:br/>
        <w:t xml:space="preserve">2. The content of the practices .................................................................... 87  </w:t>
        <w:br/>
        <w:t xml:space="preserve">a) The exchanges within the framework of the Dutreil circular of May 16, 2003 ...................................................................................... 87  </w:t>
        <w:br/>
        <w:t xml:space="preserve">b) The exchanges within the framework of the commitment for a sustainable reduction in consumer prices of June 17, 2004 ................. 94  </w:t>
        <w:br/>
        <w:t xml:space="preserve">c) The exchanges within the framework of the Dutreil law ...................... 116  </w:t>
        <w:br/>
        <w:t xml:space="preserve">d) The other exchanges observed throughout the period (2003-2006) ... 129  </w:t>
        <w:br/>
        <w:t xml:space="preserve">3. The purpose of the practices from the participants' perspective ........... 141  </w:t>
        <w:br/>
        <w:t xml:space="preserve">a) The purpose of the exchanges relating to the determining elements of commercial negotiation ............................................................ 141  </w:t>
        <w:br/>
        <w:t xml:space="preserve">b) The purpose of the exchanges on the pricing policies implemented within the framework of public authority initiatives ....................... 148  </w:t>
        <w:br/>
        <w:t xml:space="preserve">c) The purpose of the exchanges relating to turnover ................................ 150  </w:t>
        <w:br/>
        <w:t xml:space="preserve">d) Conclusion on the purpose of the practices from the participants' perspective .................................................................................. 151  </w:t>
        <w:br/>
        <w:t xml:space="preserve">F. Recap of the allegations notified to the parties ...................................... 151  </w:t>
        <w:br/>
        <w:t xml:space="preserve">1. On the allegation of a single, complex, and continuous agreement in the French market for the supply of maintenance products .............. 151  </w:t>
        <w:br/>
        <w:t xml:space="preserve">2. On the allegation of a single, complex, and continuous agreement in the French market for the supply of hygiene products .................... 154  </w:t>
        <w:br/>
        <w:t xml:space="preserve">G. The non-contestation procedures of the allegations .............................. 158  </w:t>
        <w:br/>
        <w:t xml:space="preserve">II. DISCUSSION .................................................................................................. 159  </w:t>
        <w:br/>
        <w:t xml:space="preserve">A. On the conduct of the procedure ............................................................... 159  </w:t>
        <w:br/>
        <w:t xml:space="preserve">1. Regarding the principle of fairness in the search for evidence ............ 159  </w:t>
        <w:br/>
        <w:t xml:space="preserve">2. Regarding the alleged right to be heard before the notification of allegations ...................................................................................... 160  </w:t>
        <w:br/>
        <w:t xml:space="preserve">3. Regarding the duration of the investigation ........................................... 160  </w:t>
        <w:br/>
        <w:t xml:space="preserve">4. Regarding the response time to the notification of allegations ............. 161  </w:t>
        <w:br/>
        <w:t xml:space="preserve">5. Regarding the principle of equality of arms .......................................... 162  </w:t>
        <w:br/>
        <w:t xml:space="preserve">6. Regarding the absence of translation of the notification of allegations ... 163  </w:t>
        <w:br/>
        <w:t xml:space="preserve">B. On the applicability of Union law ............................................................. 164  </w:t>
        <w:br/>
        <w:t xml:space="preserve">1. Principles .................................................................................................. 164  </w:t>
        <w:br/>
        <w:t xml:space="preserve">2. Application to the case at hand ............................................................... 166  </w:t>
        <w:br/>
        <w:t xml:space="preserve">C. On the delimitation of the relevant market ............................................. 167  </w:t>
        <w:br/>
        <w:t xml:space="preserve">1. Principles .................................................................................................. 167  </w:t>
        <w:br/>
        <w:t xml:space="preserve">2. Application to the case at hand ............................................................... 168  </w:t>
        <w:br/>
        <w:t xml:space="preserve">D. On the merits of the allegations ............................................................... 171  </w:t>
        <w:br/>
        <w:t xml:space="preserve">1. On the consequences of the implementation of the non-contestation procedure .................................................................................. 171  </w:t>
        <w:br/>
        <w:t xml:space="preserve">a) Principles ............................................................................................... 171  </w:t>
        <w:br/>
        <w:t xml:space="preserve">b) Application in this case ......................................................................... 171  </w:t>
        <w:br/>
        <w:t xml:space="preserve">2. On the two single, complex, and continuous agreements ...................... 172  </w:t>
        <w:br/>
        <w:t xml:space="preserve">a) On the existence of concerted practices with an anti-competitive object .......................................................................................... 172  </w:t>
        <w:br/>
        <w:t xml:space="preserve">b) On the existence of two single, complex, and continuous agreements ... 185  </w:t>
        <w:br/>
        <w:t>3. The participation of the companies in the two single, complex, and continuous agreements ................................................................. 192</w:t>
      </w:r>
    </w:p>
    <w:p>
      <w:r>
        <w:rPr>
          <w:b/>
        </w:rPr>
        <w:t>[Pages 7–9]</w:t>
      </w:r>
    </w:p>
    <w:p>
      <w:r>
        <w:t xml:space="preserve">a) Colgate-Palmolive ..................................................................................... 193  </w:t>
        <w:br/>
        <w:t xml:space="preserve">b) Henkel........................................................................................................ 193  </w:t>
        <w:br/>
        <w:t xml:space="preserve">c) Unilever ..................................................................................................... 193  </w:t>
        <w:br/>
        <w:t xml:space="preserve">d) Reckitt Benckiser ....................................................................................... 194  </w:t>
        <w:br/>
        <w:t xml:space="preserve">e) Procter &amp; Gamble ..................................................................................... 195  </w:t>
        <w:br/>
        <w:t xml:space="preserve">f) Laboratoires Vendôme ............................................................................... 195  </w:t>
        <w:br/>
        <w:t xml:space="preserve">g) Gillette ....................................................................................................... 196  </w:t>
        <w:br/>
        <w:t xml:space="preserve">h) Beiersdorf .................................................................................................. 196  </w:t>
        <w:br/>
        <w:t xml:space="preserve">i) Vania .......................................................................................................... 197  </w:t>
        <w:br/>
        <w:t xml:space="preserve">j) SC Johnson ................................................................................................. 197  </w:t>
        <w:br/>
        <w:t xml:space="preserve">k) Sara Lee ..................................................................................................... 197  </w:t>
        <w:br/>
        <w:t xml:space="preserve">l) Bolton Solitaire .......................................................................................... 203  </w:t>
        <w:br/>
        <w:t xml:space="preserve">m) L’Oréal ..................................................................................................... 207  </w:t>
        <w:br/>
        <w:t xml:space="preserve">E. The attribution of practices ...................................................................... 213  </w:t>
        <w:br/>
        <w:t xml:space="preserve">1. Principles ........................................................................................................ 213  </w:t>
        <w:br/>
        <w:t xml:space="preserve">a) Attribution within a group of companies .................................................... 214  </w:t>
        <w:br/>
        <w:t xml:space="preserve">b) Attribution of the offense in the event of transformation of the company ...... 215  </w:t>
        <w:br/>
        <w:t xml:space="preserve">2. Application to the case at hand ......................................................................... 215  </w:t>
        <w:br/>
        <w:t xml:space="preserve">a) The Unilever group ................................................................................... 215  </w:t>
        <w:br/>
        <w:t xml:space="preserve">b) The Procter &amp; Gamble group ................................................................... 216  </w:t>
        <w:br/>
        <w:t xml:space="preserve">c) The Henkel group ...................................................................................... 217  </w:t>
        <w:br/>
        <w:t xml:space="preserve">d) The Colgate-Palmolive group ................................................................... 218  </w:t>
        <w:br/>
        <w:t xml:space="preserve">e) The Beiersdorf group ................................................................................. 218  </w:t>
        <w:br/>
        <w:t xml:space="preserve">f) The Reckitt Benckiser group ..................................................................... 219  </w:t>
        <w:br/>
        <w:t xml:space="preserve">g) The Laboratoires Vendôme group ............................................................. 219  </w:t>
        <w:br/>
        <w:t xml:space="preserve">h) The Vania Expansion group ...................................................................... 220  </w:t>
        <w:br/>
        <w:t xml:space="preserve">i) The Bolton Solitaire group ......................................................................... 221  </w:t>
        <w:br/>
        <w:t xml:space="preserve">j) The SC Johnson group ............................................................................... 221  </w:t>
        <w:br/>
        <w:t xml:space="preserve">k) The L’Oréal group ..................................................................................... 222  </w:t>
        <w:br/>
        <w:t xml:space="preserve">l) The Sara Lee group .................................................................................... 222  </w:t>
        <w:br/>
        <w:t xml:space="preserve">III. ON SANCTIONS .......................................................................................... 225  </w:t>
        <w:br/>
        <w:t xml:space="preserve">A. Principles ....................................................................................................... 225  </w:t>
        <w:br/>
        <w:t xml:space="preserve">B. On the determination of the base amount .................................................. 226  </w:t>
        <w:br/>
        <w:t xml:space="preserve">1. On the value of sales .................................................................................... 226  </w:t>
        <w:br/>
        <w:t xml:space="preserve">a) Principles ................................................................................................... 226  </w:t>
        <w:br/>
        <w:t xml:space="preserve">b) Application to the case at hand .................................................................. 228  </w:t>
        <w:br/>
        <w:t xml:space="preserve">2. On the determination of the base amount .................................................... 238  </w:t>
        <w:br/>
        <w:t xml:space="preserve">a) On taking into account the individual participation of companies in the two unique agreements .................................................................................... 238  </w:t>
        <w:br/>
        <w:t xml:space="preserve">b) On the seriousness of the facts ................................................................... 239  </w:t>
        <w:br/>
        <w:t xml:space="preserve">c) On the damage to the economy ................................................................... 244  </w:t>
        <w:br/>
        <w:t xml:space="preserve">d) On the duration of participation .................................................................. 261  </w:t>
        <w:br/>
        <w:t xml:space="preserve">e) Conclusion on the determination of the base amount ............................... 264  </w:t>
        <w:br/>
        <w:t xml:space="preserve">3. On taking into account the circumstances specific to each company ...... 265  </w:t>
        <w:br/>
        <w:t xml:space="preserve">a) On the individual participation of companies in the two unique agreements ....................................................................................................................... 265  </w:t>
        <w:br/>
        <w:t xml:space="preserve">b) On mitigating or aggravating circumstances and other elements of individualization ................................................................................................. 269  </w:t>
        <w:br/>
        <w:t xml:space="preserve">c) On verifying the maximum applicable amount ............................................ 288  </w:t>
        <w:br/>
        <w:t xml:space="preserve">d) On the application of IV of Article L. 464-2 of the Commercial Code relating to the leniency program ................................................................................ 291  </w:t>
        <w:br/>
        <w:t xml:space="preserve">e) On the application of III of Article L. 464-2 of the Commercial Code relating to the non-contestation of allegations ............................................................ 297  </w:t>
        <w:br/>
        <w:t xml:space="preserve">f) On the final amount of sanctions ................................................................. 303  </w:t>
        <w:br/>
        <w:t>C. On the obligation of publication ................................................................... 305</w:t>
      </w:r>
    </w:p>
    <w:p>
      <w:r>
        <w:t xml:space="preserve">I. Findings  </w:t>
        <w:br/>
        <w:t xml:space="preserve">A. THE PROCEDURE  </w:t>
        <w:br/>
        <w:t xml:space="preserve">1. CASE 06/0001F RELATING TO PRACTICES IN THE SECTOR OF MAINTENANCE PRODUCTS AND HOUSEHOLD INSECTICIDES  </w:t>
        <w:br/>
        <w:t xml:space="preserve">1. By minutes of December 6, 2005, the general rapporteur of the Competition Council received a leniency request from SC Johnson and its subsidiaries, particularly its French subsidiary SC Johnson SAS, regarding practices implemented in the sector of maintenance products and household insecticides in France (hereinafter "the maintenance products sector"). On this occasion, the company revealed the existence of collusive practices, taking the form of exchanges of confidential information, between SC Johnson SAS and the companies Bolton Solitaire, Colgate-Palmolive, Henkel, Laboratoires Vendôme, Reckitt Benckiser, and Sara Lee.  </w:t>
        <w:br/>
        <w:t xml:space="preserve">2. After examining this request, the Competition Council issued, on January 6, 2006, leniency opinion No. 06-AC-01, granting SC Johnson and its subsidiaries, particularly its French subsidiary SC Johnson SAS, conditional leniency, with a total exemption from sanctions.  </w:t>
        <w:br/>
        <w:t xml:space="preserve">3. By decision No. 06-SO-01 of January 6, 2006, the Competition Council took the initiative to examine practices implemented in the maintenance products sector.  </w:t>
        <w:br/>
        <w:t xml:space="preserve">4. On January 10, 2006, the general rapporteur of the Competition Council sent a request for investigation in the maintenance products sector to the Director General of Competition, Consumer Affairs, and Fraud Control (hereinafter, the Director General of Competition).  </w:t>
        <w:br/>
        <w:t xml:space="preserve">5. On February 3, 2006, after authorization from the judge of freedoms and detention of the Tribunal de grande instance of Nanterre, operations of visit and seizure were conducted by the national directorate of competition investigations, consumer affairs, and fraud control (hereinafter "DNECCRF"). These operations took place in a Parisian brasserie, the Royal Villiers, as well as at the headquarters of the seven implicated companies. The visit and seizure operation organized at the restaurant Royal Villiers occurred during a meeting between Colgate-Palmolive, SC Johnson, Henkel, Bolton Solitaire, and Sara Lee.  </w:t>
        <w:br/>
        <w:t xml:space="preserve">6. On February 24, 2006, the general rapporteur of the Competition Council received a leniency request from Colgate-Palmolive regarding collusive practices implemented in the maintenance products sector. In this context, Colgate-Palmolive provided new elements concerning the exchanges of confidential information denounced by SC Johnson.  </w:t>
        <w:br/>
        <w:t>7. On June 19, 2006, the Competition Council issued leniency opinion No. 06-AC-05 granting Colgate-Palmolive conditional leniency, with a partial exemption ranging from 40 to 50% of the amount of the sanctions incurred.</w:t>
      </w:r>
    </w:p>
    <w:p>
      <w:r>
        <w:rPr>
          <w:b/>
        </w:rPr>
        <w:t>[Pages 10–12]</w:t>
      </w:r>
    </w:p>
    <w:p>
      <w:r>
        <w:t xml:space="preserve">2. THE CASE 06/0042F RELATING TO PRACTICES IMPLEMENTED IN THE HYGIENE AND BODY CARE PRODUCTS SECTOR  </w:t>
        <w:br/>
        <w:t xml:space="preserve">8. By minutes dated February 28, 2006, the company Colgate-Palmolive revealed the existence of collusive practices, taking the form of exchanges of confidential information, in another sector, that of hygiene and body care products (hereinafter referred to as "the hygiene products sector").  </w:t>
        <w:br/>
        <w:t xml:space="preserve">9. Following the examination of this request, the Competition Council issued, on June 19, 2006, leniency notice No. 06-AC-06, granting the company Colgate-Palmolive the conditional benefit of leniency, with a total exemption from sanctions.  </w:t>
        <w:br/>
        <w:t xml:space="preserve">10. By decision No. 06-SO-04 dated June 20, 2006, the Competition Council initiated an examination of practices implemented in the hygiene products sector.  </w:t>
        <w:br/>
        <w:t xml:space="preserve">11. On June 23, 2006, the general rapporteur of the Competition Council sent two new investigation requests to the Director General of Competition, one supplementary concerning the maintenance products sector and the other concerning the hygiene products sector.  </w:t>
        <w:br/>
        <w:t xml:space="preserve">12. On July 6, 2006, inspection and seizure operations were conducted by the DNECCRF under two orders issued by the judge of freedoms and detention of the Nanterre High Court. Regarding the maintenance products sector, these operations targeted the companies Colgate-Palmolive, Henkel France, Procter &amp; Gamble France, Reckitt Benckiser France, Unilever France, Lever Fabergé France, as well as the Institute for Liaison and Studies of Consumer Industries (hereinafter "ILEC") and PBMO Corporate. Regarding the hygiene products sector, these operations targeted the companies Beiersdorf, Colgate-Palmolive, Georgia Pacific France, Vania Expansion SNC, Groupe Gillette France, Henkel France, Schwarzkopf, Lascad, L'Oréal, Gemey Maybelline Garnier, Procter &amp; Gamble France, Unilever France, and Lever Fabergé France, as well as ILEC and the PBMO Corporate institute.  </w:t>
        <w:br/>
        <w:t xml:space="preserve">3. JOINING OF CASES 06/0001F AND 06/0042F  </w:t>
        <w:br/>
        <w:t xml:space="preserve">13. By decision dated October 23, 2006, the general rapporteur of the Competition Council joined cases 06/0001F and 06/0042F.  </w:t>
        <w:br/>
        <w:t xml:space="preserve">14. An administrative investigation report in the maintenance products sector as well as in the hygiene products sector was transmitted on June 3, 2008, to the Competition Council by the Director General of Competition.  </w:t>
        <w:br/>
        <w:t xml:space="preserve">4. LENIENCY REQUESTS FROM HENKEL AND PROCTER &amp; GAMBLE  </w:t>
        <w:br/>
        <w:t xml:space="preserve">a) Henkel's leniency requests  </w:t>
        <w:br/>
        <w:t xml:space="preserve">Regarding the maintenance products sector  </w:t>
        <w:br/>
        <w:t xml:space="preserve">15. On April 28, 2008, the general rapporteur of the Competition Council received a leniency request from Henkel France and its subsidiaries concerning collusive practices, notably taking the form of exchanges of confidential information, implemented in the maintenance products sector.  </w:t>
        <w:br/>
        <w:t xml:space="preserve">16. On January 21, 2009, the Competition Council issued leniency notice No. 09-AC-01 granting Henkel France the conditional benefit of leniency for practices taking the form of exchanges of confidential information, with a partial exemption from fines of 10 to 20%.  </w:t>
        <w:br/>
        <w:t xml:space="preserve">Regarding the hygiene products sector  </w:t>
        <w:br/>
        <w:t xml:space="preserve">17. On April 28, 2008, the general rapporteur of the Competition Council received a leniency request from Henkel denouncing collusive practices concerning only shower products and dental hygiene products.  </w:t>
        <w:br/>
        <w:t xml:space="preserve">18. By notice No. 10-AC-04 dated October 25, 2010, the Competition Authority (hereinafter "the Authority") rejected this request on the grounds that Henkel had not provided sufficient evidence to establish the existence of a collusion concerning shower products and dental products, distinct from the collusion taking the form of the exchanges of information denounced in the hygiene products sector.  </w:t>
        <w:br/>
        <w:t xml:space="preserve">19. On July 24, 2008, the general rapporteur of the Competition Council received a new leniency request from Henkel concerning collusive practices implemented in the hygiene products sector.  </w:t>
        <w:br/>
        <w:t xml:space="preserve">20. In light of the various elements provided by Henkel, the Authority, in its notice No. 11-AC-01 dated March 7, 2011, granted Henkel a partial exemption from fines ranging from 20 to 30%.  </w:t>
        <w:br/>
        <w:t xml:space="preserve">b) Procter &amp; Gamble's leniency request  </w:t>
        <w:br/>
        <w:t xml:space="preserve">21. On September 26, 2008, the general rapporteur of the Competition Council received a leniency request from The Procter &amp; Gamble Company and its subsidiaries concerning collusive practices implemented in the maintenance products sector.  </w:t>
        <w:br/>
        <w:t xml:space="preserve">22. Due to the lack of added value of the elements provided by the company compared to those already available to the Council, Procter &amp; Gamble's leniency request concerning practices taking the form of exchanges of confidential information between maintenance product suppliers was rejected.  </w:t>
        <w:br/>
        <w:t xml:space="preserve">5. SUMMARY TABLE OF LENIENCY REQUESTS  </w:t>
        <w:br/>
        <w:t xml:space="preserve">23. The following summary table presents the various leniency notices as well as the proposed level of conditional fine reduction:  </w:t>
        <w:br/>
        <w:t xml:space="preserve">Rank Maintenance Products Sector Hygiene Products Sector  </w:t>
        <w:br/>
        <w:t xml:space="preserve">1 SC Johnson (100%) Colgate-Palmolive (100%)  </w:t>
        <w:br/>
        <w:t xml:space="preserve">2 Colgate-Palmolive (40 to 50%) Henkel (20 to 30%)  </w:t>
        <w:br/>
        <w:t xml:space="preserve">3 Henkel (10 to 20%) /  </w:t>
        <w:br/>
        <w:t xml:space="preserve">6. SEPARATION OF FILES 06/0001F AND 06/0042F AND OPENING OF FILE 09/0007F CONCERNING PRACTICES IMPLEMENTED IN THE LAUNDRY PRODUCTS SECTOR IN FRANCE  </w:t>
        <w:br/>
        <w:t xml:space="preserve">36. By decision dated January 21, 2009, the general rapporteur of the Competition Council separated files 06/0001F and 06/0042F, on the one hand, and opened file 09/0007F, on the other hand, in which the documents concerning practices implemented in the laundry products sector in France were submitted.  </w:t>
        <w:br/>
        <w:t xml:space="preserve">37. For the record, file 09/0007F led to the adoption of the Authority's decision No. 11-D-17 concerning practices implemented in the laundry products sector in France, rendered on December 8, 2011. On this occasion, Henkel, Colgate-Palmolive, Unilever, and Procter &amp; Gamble were sanctioned for participating in a collusion concerning the pricing of standard laundry products in France, for a period from September 18, 1997, to August 1, 2004 (September 2003 for Colgate-Palmolive), a practice that was suspended between October 1998 and November 2, 1999. This collusion consisted of jointly setting price differentials between the various ranges of laundry products and the price increases applied to these different products, as well as coordinating the promotional policies of the various participants in the collusion. This decision was fully upheld by the Paris Court of Appeal in a ruling dated January 30, 2014, which was not subject to any appeal. It is now final.  </w:t>
        <w:br/>
        <w:t xml:space="preserve">B. THE COMPANIES INVOLVED  </w:t>
        <w:br/>
        <w:t xml:space="preserve">38. The practices in question took place in two distinct sectors: 1) hygiene and body care products and 2) maintenance products and household insecticides. They concern only products marketed in large distribution networks. In this context, the companies involved can be divided into three categories, depending on whether they are active, with large distribution brands, in both sectors (1), in only the maintenance products sector (2), or in only the hygiene products sector (3).  </w:t>
        <w:br/>
        <w:t xml:space="preserve">39. In this regard, the classification of each company is made with respect to its situation at the time of the practices (between 2003 and 2006). Thus, a company that was active in both concerned sectors for all or part of the period covered by the investigation but has since divested its assets in one of the targeted sectors remains considered, in the following developments, as a bi-sector player.  </w:t>
        <w:br/>
        <w:t xml:space="preserve">1. THE BI-SECTOR COMPANIES  </w:t>
        <w:br/>
        <w:t xml:space="preserve">40. The companies presented below were active in both the maintenance products sector and the hygiene products sector.  </w:t>
        <w:br/>
        <w:t xml:space="preserve">a) Colgate-Palmolive  </w:t>
        <w:br/>
        <w:t>41. Founded in 1806 in the United States, Colgate-Palmolive is an international consumer goods group that markets its products in over 200 countries and employs approximately 38,000 people worldwide.</w:t>
      </w:r>
    </w:p>
    <w:p>
      <w:r>
        <w:rPr>
          <w:b/>
        </w:rPr>
        <w:t>[Pages 13–15]</w:t>
      </w:r>
    </w:p>
    <w:p>
      <w:r>
        <w:t>42. The products manufactured and marketed by Colgate-Palmolive in the sectors concerned by the investigation are classified into three categories: oral hygiene, body care, and household maintenance. Colgate-Palmolive markets its products under brands, the most well-known of which are Colgate, Palmolive, Sanex, etc. Colgate-Palmolive is also active in the manufacture and marketing of dietary pet food under the Hill's brand, which is present in France.</w:t>
      </w:r>
    </w:p>
    <w:p>
      <w:r>
        <w:t>43. Colgate-Palmolive is listed on the New York Stock Exchange. In 2013, its consolidated global revenue amounted to $17.420 billion.</w:t>
      </w:r>
    </w:p>
    <w:p>
      <w:r>
        <w:t>44. Regarding the main French subsidiaries of the group, the holding activity is assigned to Colgate-Palmolive Services (RCS 552 136 780). Its revenue in 2012 was €46 million. The marketing of products is assigned to Colgate-Palmolive (RCS 478 991 649), which distributes, in France, oral hygiene products, body care products, and household maintenance products. Its revenue in 2013 was approximately €579 million. The group also has a subsidiary named Colgate-Palmolive industriel (RCS: 478 989 668).</w:t>
      </w:r>
    </w:p>
    <w:p>
      <w:r>
        <w:t>b) Henkel</w:t>
      </w:r>
    </w:p>
    <w:p>
      <w:r>
        <w:t>45. Founded in 1876 in Düsseldorf, Henkel is an international group active in 125 countries, employing approximately 47,000 people. Henkel is currently present in three major sectors: detergents, cosmetics, and adhesives, with products intended for both individuals and professionals. They are marketed under the brands Vademecum, Diadermine, Fa, Mont Saint Michel, Bref, Somat, Mir, Persil…</w:t>
      </w:r>
    </w:p>
    <w:p>
      <w:r>
        <w:t>46. Henkel is listed on the Frankfurt Stock Exchange. In 2013, the group achieved a global revenue of €16.35 billion.</w:t>
      </w:r>
    </w:p>
    <w:p>
      <w:r>
        <w:t>47. Henkel established itself in France in 1967, where it developed its three aforementioned sectors of activity. It employs approximately 1,300 people in France.</w:t>
      </w:r>
    </w:p>
    <w:p>
      <w:r>
        <w:t>48. In France, Henkel is structured around three companies:</w:t>
        <w:br/>
        <w:t>- Henkel France SA (RCS: 552 117 590), which provides detergent products, cosmetic products, and adhesives for individuals. In 2013, its revenue was approximately €742 million.</w:t>
        <w:br/>
        <w:t>- Schwarzkopf SAS (RCS: 326 280 096), which provides cosmetic products for professionals. In 2013, its revenue was €47 million.</w:t>
        <w:br/>
        <w:t>- Henkel Technologies France SAS (RCS: 592 067 136), which provides adhesive technologies for professionals. In 2013, its revenue was €275 million.</w:t>
      </w:r>
    </w:p>
    <w:p>
      <w:r>
        <w:t>c) Procter &amp; Gamble</w:t>
      </w:r>
    </w:p>
    <w:p>
      <w:r>
        <w:t>49. Established in the United States in 1837, Procter &amp; Gamble is an international group present in the fast-moving consumer goods sector, employing approximately 120,000 people worldwide.</w:t>
      </w:r>
    </w:p>
    <w:p>
      <w:r>
        <w:t>50. The parent company, The Procter &amp; Gamble Company, headquartered in the United States (Ohio), is listed on the New York and Paris stock exchanges. In the last fiscal year ending June 30, 2013, the group's consolidated global revenue before tax amounted to $84.2 billion.</w:t>
      </w:r>
    </w:p>
    <w:p>
      <w:r>
        <w:t>51. In France, the group is active in the sectors of laundry and household maintenance products, hygiene and beauty products, food products, selective distribution perfumes, and pharmaceutical products. It employs approximately 2,600 people.</w:t>
      </w:r>
    </w:p>
    <w:p>
      <w:r>
        <w:t>52. In the fiscal year 2012/2013, the French holding of Procter &amp; Gamble (RCS: 542 106 109) achieved a revenue of €12.8 million.</w:t>
      </w:r>
    </w:p>
    <w:p>
      <w:r>
        <w:t>53. Its subsidiary Procter &amp; Gamble France SAS (RCS: 391 543 576) is dedicated to the marketing of laundry, maintenance, diaper, hygiene-beauty, shaving, portable energy, small appliances, and food products. In the fiscal year 2012/2013, it achieved a revenue of €1.71 billion.</w:t>
      </w:r>
    </w:p>
    <w:p>
      <w:r>
        <w:t>54. Procter &amp; Gamble acquired Gillette in 2005. In France, the merger between the two companies took place in several stages. In November 2005, Groupe Gillette France became a subsidiary of Procter &amp; Gamble. In March 2006, the common structure was established (reference 22 610). Finally, the merger of the companies was completed on January 1, 2007.</w:t>
      </w:r>
    </w:p>
    <w:p>
      <w:r>
        <w:t>d) Unilever</w:t>
      </w:r>
    </w:p>
    <w:p>
      <w:r>
        <w:t>55. Established in 1930 in Great Britain, Unilever is a group active in 190 countries, employing approximately 170,000 people. It operates in three major sectors: household detergents and maintenance products, personal hygiene and body care products, and food products. Unilever holds a wide portfolio of internationally recognized brands, such as Lipton, Dove, Knorr, Axe, Rexona, Cif, Skip, etc.</w:t>
      </w:r>
    </w:p>
    <w:p>
      <w:r>
        <w:t>56. In 2013, the Unilever group achieved a consolidated global revenue of €49.8 billion.</w:t>
      </w:r>
    </w:p>
    <w:p>
      <w:r>
        <w:t>57. The parent companies of the Unilever group, Unilever NV and Unilever PLC, are listed on the London (Unilever PLC), Amsterdam (Unilever NV), and New York (Unilever NV and Unilever PLC) stock exchanges.</w:t>
      </w:r>
    </w:p>
    <w:p>
      <w:r>
        <w:t>58. The Unilever group employs approximately 2,800 people in France.</w:t>
      </w:r>
    </w:p>
    <w:p>
      <w:r>
        <w:t>59. Until 2001, the group's products were marketed in France by the company Lever. Subsequently, the company Lever Fabergé France, born from the merger between Lever and Elida Fabergé in 2001, took over the marketing of the group's products until April 2005, when this company (which became Unilever France Home and Personal Care Société Industrielle, RCS: 501 569 594) entrusted its business to Unilever France (RCS: 552 119 216). The latter achieved a revenue of €2.7 billion in 2013.</w:t>
      </w:r>
    </w:p>
    <w:p>
      <w:r>
        <w:t>e) Reckitt Benckiser</w:t>
      </w:r>
    </w:p>
    <w:p>
      <w:r>
        <w:t>60. Established in 1999, the Reckitt Benckiser group resulted from the merger of the German company Benckiser and the British company Reckitt &amp; Colman. Present in nearly 200 countries worldwide, the group employs approximately 37,000 employees. It is active in four sectors: household maintenance products, hygiene and body care products, and secondarily, food products and pharmaceutical products. Reckitt Benckiser markets products under brands including Air-Wick, Cillit Bang, Calgon, Calgonit, Harpic, Vanish in the household maintenance sector and under the brands Scholl, Stéradent in the hygiene and body care sector.</w:t>
      </w:r>
    </w:p>
    <w:p>
      <w:r>
        <w:t>61. Reckitt Benckiser is listed on the London Stock Exchange. In 2013, the group's global revenue amounted to £10.043 billion.</w:t>
      </w:r>
    </w:p>
    <w:p>
      <w:r>
        <w:t>62. In France, the group is one of the leaders in the household maintenance products market. It is also a significant player in the hygiene products and pharmaceutical products used in self-medication. The group employed approximately 700 people in 2012.</w:t>
      </w:r>
    </w:p>
    <w:p>
      <w:r>
        <w:t>63. The Reckitt Benckiser group is present in France through two subsidiaries. The company Reckitt Benckiser France (RCS: 562 102 558) achieved a revenue of approximately €704 million in 2013. The company Reckitt Benckiser Healthcare France (RCS: 389 514 555), responsible for the group's pharmaceutical activity, achieved a revenue of €122 million in 2012.</w:t>
      </w:r>
    </w:p>
    <w:p>
      <w:r>
        <w:t>f) Sara Lee</w:t>
      </w:r>
    </w:p>
    <w:p>
      <w:r>
        <w:t>64. Established in the United States in 1939, the Sara Lee group achieved a revenue of approximately €6.5 billion in 2011. The structure of the group has recently been reshaped, following a refocusing of the group's activities in the food sector.</w:t>
      </w:r>
    </w:p>
    <w:p>
      <w:r>
        <w:t>65. The bulk of the group's activity has always concerned the food sector, particularly beverages and grocery products. However, until the end of the 2000s, including during the period of practices concerned by the investigation, the group was also active in the hygiene sector and in maintenance and insecticides, notably through the brands Sanex, Monsavon, Ambipur, and Catch. It has gradually disengaged from these sectors.</w:t>
      </w:r>
    </w:p>
    <w:p>
      <w:r>
        <w:t>66. Following Sara Lee's refocusing in the food sector, the group split in July 2012 into two entities: Hillshire Brands Company for its activities in North America and D.E. Masters Blenders 1753 for its international activities in the tea and coffee sector. On August 28, 2014, Hillshire Brands Company merged with Tyson Foods, Inc., an American group founded in 1935, specializing in the food industry and more specifically meats, which employs 115,000 employees worldwide and achieved a revenue of $34.3 billion in 2013.</w:t>
      </w:r>
    </w:p>
    <w:p>
      <w:r>
        <w:t>67. In France, during the year 2011, Sara Lee withdrew from the hygiene and maintenance products sector. The subsidiary responsible for the hygiene and maintenance products sectors, Sara Lee Household and Bodycare France (RCS: 708 202 718), was absorbed on December 1, 2011, after having sold some of its activities, by Colgate-Palmolive SAS, which belongs to the Colgate-Palmolive group. The "indoor deodorants" activity was sold to Procter &amp; Gamble in July 2010, the "shoe polish" activity and the Pyrel business (insecticides) were sold to SC Johnson in April and October 2011, respectively, the "hygiene-beauty" activity was sold to Unilever on December 6, 2010, and finally, the Catch business was sold to Eau Ecarlate in December 2011.</w:t>
      </w:r>
    </w:p>
    <w:p>
      <w:r>
        <w:rPr>
          <w:b/>
        </w:rPr>
        <w:t>[Pages 16–18]</w:t>
      </w:r>
    </w:p>
    <w:p>
      <w:r>
        <w:t xml:space="preserve">g) Laboratoires Vendôme  </w:t>
        <w:br/>
        <w:t xml:space="preserve">68. Established in 1981 in Dijon, Laboratoires Vendôme is a company specialized in the hygiene and body care products sector. Despite its smaller size, it was, during the studied period, one of the significant players in the French hygiene products market, thanks to its brands Le Petit Marseillais and Prim’âge.  </w:t>
        <w:br/>
        <w:t xml:space="preserve">69. In 2005, Laboratoires Vendôme acquired the company Savonnerie et Parfumerie Bernard. This operation allowed Laboratoires Vendôme to enter the maintenance products sector, through the acquisition of products sold under the brand "La Perdrix" as well as laundry detergents. The takeover by Laboratoires Vendôme of the marketing of the maintenance products acquired from Savonnerie Bernard dates back to June 1, 2005 (reference 33 870). Laboratoires Vendôme has since disengaged from this activity.  </w:t>
        <w:br/>
        <w:t xml:space="preserve">70. In 2011, following the acquisition of Laboratoires Vendôme by the Johnson &amp; Johnson group, the company became Johnson &amp; Johnson Santé Beauté France (RCS: 479 824 724). It employs approximately 850 people. In 2013, it achieved a turnover of 499 million euros.  </w:t>
        <w:br/>
        <w:t xml:space="preserve">71. Regarding the Johnson &amp; Johnson group, to which Laboratoires Vendôme is now attached, it is active in the pharmaceutical and hygiene products sector (under the brands Roc, Neutrogena…) and achieved a turnover of 71.3 billion dollars in 2013 (approximately 53 billion euros). It employs about 125,000 employees worldwide.  </w:t>
        <w:br/>
        <w:t xml:space="preserve">2. MONO-SECTORAL COMPANIES ACTIVE IN THE MAINTENANCE PRODUCTS AND HOUSEHOLD INSECTICIDES SECTOR  </w:t>
        <w:br/>
        <w:t xml:space="preserve">a) SC Johnson  </w:t>
        <w:br/>
        <w:t xml:space="preserve">72. Founded in 1886 in the United States, the SC Johnson group is one of the market leaders in maintenance products and insecticides. Present in over 70 countries, the group employs approximately 13,000 people worldwide. It achieved an annual turnover of over 7.35 billion dollars in June 2013.  </w:t>
        <w:br/>
        <w:t xml:space="preserve">73. SC Johnson established itself in France in 1931, with its French subsidiary, SC Johnson SAS (RCS: 548 274 042), currently being the group's second subsidiary. In 2013, it achieved a turnover of 173.67 million euros. It employs about 150 people.  </w:t>
        <w:br/>
        <w:t xml:space="preserve">74. SC Johnson is a major player in the insecticide products segment in France with the brands Baygon and Raid. It is also present in the maintenance products sector, thanks to the brands Brise (Glade), K2R, Canard WC.  </w:t>
        <w:br/>
        <w:t xml:space="preserve">b) Bolton Solitaire  </w:t>
        <w:br/>
        <w:t xml:space="preserve">75. Founded in Italy in 1949, the Bolton group is present in 125 countries and employs over 3,000 employees. It is active in various markets: food (45%), hygiene and beauty products (24%), maintenance products (18%), and adhesive products (13%). It is present through about fifty leading brands, including Omino Bianco, Carolin, WC Net, UHU, Sanogyl… The group achieved a turnover of 1.52 billion euros in 2013.  </w:t>
        <w:br/>
        <w:t xml:space="preserve">76. In France, the group is active through several subsidiaries: Griffon France, Rogé Cavaillès, Saupiquet, UHU France, and Bolton Solitaire (RCS: 349 048 819). The latter achieved a turnover of 64.68 million euros in 2013. It employs about 75 employees. Until 2006, when the Bolton group acquired Sanogyl, Bolton Solitaire was not active in the hygiene products market. Thus, at the time of the facts, Bolton Solitaire was only active in France in the maintenance products sector, particularly through the brands Omino Bianco, Carolin, and WC Net.  </w:t>
        <w:br/>
        <w:t xml:space="preserve">3. MONO-SECTORAL COMPANIES ACTIVE IN THE HYGIENE AND BODY CARE PRODUCTS SECTOR  </w:t>
        <w:br/>
        <w:t xml:space="preserve">a) L’Oréal  </w:t>
        <w:br/>
        <w:t xml:space="preserve">77. Founded in 1909 in France, the L’Oréal group is present in 130 countries and employs nearly 75,000 employees worldwide. L’Oréal is the world leader in cosmetic products and achieved a turnover of 22.98 billion euros in 2013. L’Oréal is listed on the Paris stock exchange. The group is active in both the professional market and the mass market.  </w:t>
        <w:br/>
        <w:t xml:space="preserve">78. In France, the L’Oréal group is the leader in the cosmetic products market. The group's mass market division is structured around three companies. L’Oréal (RCS: 632 012 100), the parent company of the L’Oréal group in France, employs nearly 6,000 employees. It achieved a turnover of 2.78 billion euros in 2013. It manages high-end products sold under the L’Oréal brand. The subsidiary Gemey Maybelline Garnier (RCS: 339 419 962) is responsible for mid-range products, sold for example under the Garnier and Gemey Maybelline brands. The subsidiary Lascad (RCS: 319 472 775) is responsible for standard products, sold for example under the Ushuaia, Narta, Mixa, Mennen, or Eau Jeune brands.  </w:t>
        <w:br/>
        <w:t xml:space="preserve">b) Beiersdorf  </w:t>
        <w:br/>
        <w:t xml:space="preserve">79. Founded in 1882 in Germany, Beiersdorf is active in 150 countries and employs approximately 16,000 people worldwide. The Beiersdorf group is present in the hygiene and body care products market, specializing in skin care. Beiersdorf's products are sold under three main brands: Nivea, Eucerin (a pharmacy brand), and La Prairie (a very high-end brand). Only the Nivea brand is sold in mass distribution. In 2013, the Beiersdorf group achieved a turnover of 6.14 billion euros. It is listed on the Frankfurt stock exchange.  </w:t>
        <w:br/>
        <w:t xml:space="preserve">80. In France, the Beiersdorf group is represented by two companies. Beiersdorf SAS (RCS: 552 088 973) achieved an annual turnover of 249 million euros in 2013. It employs about 300 people. The group is also present through the company Beiersdorf Holding France SARL (RCS: 421 237 702).  </w:t>
        <w:br/>
        <w:t xml:space="preserve">c) Gillette  </w:t>
        <w:br/>
        <w:t xml:space="preserve">81. The Gillette group was active in the hygiene and body care products market until October 2005, when Gillette and Procter &amp; Gamble merged in the United States. In France, Gillette was definitively incorporated into the Procter &amp; Gamble group following the absorption of the company Groupe Gillette France by Procter &amp; Gamble France on January 1, 2007.  </w:t>
        <w:br/>
        <w:t xml:space="preserve">82. Gillette marketed shaving products, oral hygiene products through the Oral-B brand, and care products marketed under the Gillette brand.  </w:t>
        <w:br/>
        <w:t xml:space="preserve">83. In France, the group was active through the company Groupe Gillette France (RCS: 325 420 131). It was removed from the trade and companies register on January 23, 2007, after its absorption by Procter &amp; Gamble France. Following the acquisition of Gillette by Procter &amp; Gamble, all of the group's activities were transferred to Procter &amp; Gamble.  </w:t>
        <w:br/>
        <w:t xml:space="preserve">d) Vania  </w:t>
        <w:br/>
        <w:t xml:space="preserve">84. The company Vania Expansion (RCS: 333 297 760) marketed, at the time of the practices, in France, feminine hygiene products as well as other body care products. In 2013, it achieved a turnover of 828,299 euros.  </w:t>
        <w:br/>
        <w:t xml:space="preserve">85. Initially 50% owned by Georgia Pacific France and 50% by the Johnson &amp; Johnson group, Vania was fully acquired in 2009 by the Johnson &amp; Johnson group, whose activity has been presented above.  </w:t>
        <w:br/>
        <w:t xml:space="preserve">C. THE RELEVANT SECTORS  </w:t>
        <w:br/>
        <w:t xml:space="preserve">1. GENERAL DEFINITION OF THE RELEVANT SECTORS  </w:t>
        <w:br/>
        <w:t xml:space="preserve">86. The companies concerned are active in the supply of hygiene and body care products to large retail chains (hereinafter referred to as "the hygiene sector" or "the hygiene product supply sector") and/or in the supply of maintenance products and household insecticides to large retail chains (hereinafter referred to as "the maintenance sector" or "the maintenance product supply sector").  </w:t>
        <w:br/>
        <w:t xml:space="preserve">87. The practices exclusively concerned the marketing of products from these two sectors to large retail networks (mainly hypermarkets and supermarkets).  </w:t>
        <w:br/>
        <w:t xml:space="preserve">a) Hygiene Sector  </w:t>
        <w:br/>
        <w:t xml:space="preserve">88. Several elements allow for the distinction of the hygiene products sector.  </w:t>
        <w:br/>
        <w:t xml:space="preserve">89. First, the Competition Council indicated, in a 2008 decision, that there exists a sector for cosmetic and body hygiene products defined by Article L. 5131-1 of the Public Health Code.  </w:t>
        <w:br/>
        <w:t>1 Decision No. 08-D-25 of October 29, 2008, regarding practices implemented in the distribution sector of cosmetic and body hygiene products sold on pharmaceutical advice, paragraph 5.</w:t>
      </w:r>
    </w:p>
    <w:p>
      <w:r>
        <w:rPr>
          <w:b/>
        </w:rPr>
        <w:t>[Pages 19–21]</w:t>
      </w:r>
    </w:p>
    <w:p>
      <w:r>
        <w:t xml:space="preserve">90. At the time of the facts, this article stated: "a cosmetic product is understood to be any substance or preparation intended to be brought into contact with the various superficial parts of the human body, notably the epidermis, hair and scalp systems, nails, lips, and external genital organs, or with the teeth and oral mucous membranes, with the exclusive or primary aim of cleaning them, perfuming them, altering their appearance, protecting them, keeping them in good condition, or correcting body odors." This definition, slightly modified by the law of January 5, 2011, is supplemented by the decree of June 30, 2000, which lists, in its Article 1, a non-exhaustive list of cosmetic products, the content of which shows the uniqueness of hygiene products compared to maintenance products.  </w:t>
        <w:br/>
        <w:t xml:space="preserve">91. Subsequently, in the decisions of the competition authorities regarding the supply market for large distribution, adopted both at the European and French levels, the supply of perfumery and hygiene products has been identified as a distinct product market.  </w:t>
        <w:br/>
        <w:t xml:space="preserve">92. Finally, the autonomy of the hygiene sector is reflected in the conduct of negotiations between suppliers and distributors. Within the brands, the individuals in charge of negotiations concerning hygiene products are the main interlocutors of suppliers in the hygiene sector. The latter do not negotiate with those in charge of maintenance products, as negotiators are exclusively responsible for one or the other of the sectors.  </w:t>
        <w:br/>
        <w:t xml:space="preserve">b) Maintenance Sector  </w:t>
        <w:br/>
        <w:t xml:space="preserve">93. Several elements allow for the distinction of the maintenance products sector.  </w:t>
        <w:br/>
        <w:t xml:space="preserve">94. First, the EEC Recommendation No. 89/542 of September 13, 1989, concerning the labeling of detergents and maintenance products, distinguishes maintenance products by defining them as "products that are designed for washing, or cleaning, or involved in such processes (such as products with scrubbing, rinsing, pre-washing, and soaking principles) and which are known to be likely to be discharged into the aquatic environment after their use."  </w:t>
        <w:br/>
        <w:t xml:space="preserve">95. Next, the decisions of the competition authorities regarding the supply market for large distribution, adopted both at the French and European levels, identify a distinct market for the supply of drugstore products.  </w:t>
        <w:br/>
        <w:t xml:space="preserve">96. Finally, panelists and distributors also identify a drugstore sector (also referred to as the maintenance sector). In particular, regarding distributors, the autonomy of the maintenance sector is reflected in the conduct of negotiations: the brands group all consumer goods intended for "household maintenance." Furthermore, the individuals in charge of negotiations concerning maintenance products are the main interlocutors of suppliers in the maintenance sector, excluding those in charge of negotiations in the hygiene sector.  </w:t>
        <w:br/>
        <w:t xml:space="preserve">2. THE OFFER OF HYGIENE AND MAINTENANCE PRODUCTS IN LARGE DISTRIBUTION  </w:t>
        <w:br/>
        <w:t xml:space="preserve">97. Despite the existence of companies active in both sectors, there are differences between the characteristics of the offer of hygiene products (a) and that of maintenance products (b).  </w:t>
        <w:br/>
        <w:t xml:space="preserve">a) Characteristics of the Offer in the Hygiene Sector  </w:t>
        <w:br/>
        <w:t xml:space="preserve">98. The hygiene sector occupies a significant place in the spending of French consumers. They spend an average of 190 euros on cosmetic and hygiene products per year. A very large portion of these purchases is made in large distribution, which alone represented more than 90% of the outlets for industry players in the sector in 2004. The total turnover of the hygiene sector was, in 2006, over 5 billion euros.  </w:t>
        <w:br/>
        <w:t xml:space="preserve">99. Within the hygiene sector, several categories of products can be distinguished, on which the practices of the implicated parties focused, notably the following: toothbrushes, toothpaste, deodorants, shower gels, feminine hygiene, blades and manual razors, makeup, shampoos, etc.  </w:t>
        <w:br/>
        <w:t xml:space="preserve">100. As a preliminary point, it should be noted that the offer of products in the hygiene sector is regulated, in accordance with the provisions of the Public Health Code (Articles L. 5131-2 and following). The marketing of hygiene products is subject to a declaration made, at the time of the practices, to the French Agency for Health Product Safety. There are also specific rules regarding packaging and consumer information.  </w:t>
        <w:br/>
        <w:t xml:space="preserve">101. First, the hygiene sector is characterized by the presence of large companies, with strong brand recognition, that specialize in the beauty sector, such as the L'Oréal group or Beiersdorf, or that belong to large diversified groups, such as Unilever or Procter &amp; Gamble.  </w:t>
        <w:br/>
        <w:t xml:space="preserve">102. The market shares of players in the hygiene products sector, at the time of the practices, are shown in the table seized from Lascad, reproduced below:  </w:t>
        <w:br/>
        <w:t xml:space="preserve">Estimation of market shares  </w:t>
        <w:br/>
        <w:t xml:space="preserve">Market Shares 2004 Market Shares 2005  </w:t>
        <w:br/>
        <w:t xml:space="preserve">(as of 03/06) (in value) (in value)  </w:t>
        <w:br/>
        <w:t xml:space="preserve">Category – Total Hyg Beauty 100 100 100  </w:t>
        <w:br/>
        <w:t xml:space="preserve">TOTAL L'Oréal Group 28.6 28.4 28.8  </w:t>
        <w:br/>
        <w:t xml:space="preserve">L'Oréal Paris 10.2 10.2 10.4  </w:t>
        <w:br/>
        <w:t xml:space="preserve">Gemey Maybelline Garnier 9.6 9.3 9.6  </w:t>
        <w:br/>
        <w:t xml:space="preserve">Lascad 8.9 8.8 8.9  </w:t>
        <w:br/>
        <w:t xml:space="preserve">Lever Fabergé 8.4 8.2 8.3  </w:t>
        <w:br/>
        <w:t xml:space="preserve">BDF - Nivea 6.5 6.7 6.6  </w:t>
        <w:br/>
        <w:t xml:space="preserve">Henkel 5.3 5.3 5.4  </w:t>
        <w:br/>
        <w:t xml:space="preserve">Gillette 4.9 5.0 5.2  </w:t>
        <w:br/>
        <w:t xml:space="preserve">Procter &amp; Gamble 4.9 4.8 4.9  </w:t>
        <w:br/>
        <w:t xml:space="preserve">Colgate-Palmolive 4.2 4.1 4.0  </w:t>
        <w:br/>
        <w:t xml:space="preserve">Sara Lee 2.1 2.1 2.1  </w:t>
        <w:br/>
        <w:t xml:space="preserve">Reckitt Benckiser 1.4 1.4 1.1  </w:t>
        <w:br/>
        <w:t xml:space="preserve">Eugène Perma 1.1 1.1 1.1  </w:t>
        <w:br/>
        <w:t xml:space="preserve">Santé beauté 1.1 1.0 0.9  </w:t>
        <w:br/>
        <w:t xml:space="preserve">Bourjois 0.8 0.7 0.7  </w:t>
        <w:br/>
        <w:t xml:space="preserve">Private Labels 7.9 8.1 8.2  </w:t>
        <w:br/>
        <w:t xml:space="preserve">Others 22.9 23.0 22.6  </w:t>
        <w:br/>
        <w:t xml:space="preserve">Source: IRI data from the L'Oréal HB database (excluding PH, paper towels, tissues, incontinence, wipes, and baby changes)  </w:t>
        <w:br/>
        <w:t xml:space="preserve">103. Thus, the hygiene products sector is characterized by the presence of a limited number of global players: the top eight market players account for more than 70% of the total turnover of the sector, with the top three alone totaling approximately 43% of the market, of which an average of 28.6% for the leading group, L'Oréal.  </w:t>
        <w:br/>
        <w:t xml:space="preserve">104. Secondly, there is a certain stability in the market: the respective shares of the main players in the hygiene sector are relatively constant throughout the period presented, between 2004 and mid-2006.  </w:t>
        <w:br/>
        <w:t xml:space="preserve">105. Thirdly, this market stability is reinforced by entry barriers that require any new entrant to have significant resources in research and development and advertising.  </w:t>
        <w:br/>
        <w:t xml:space="preserve">106. The entry barriers stem, first of all, from the advertising policy, "historically a key element of market access, compared to other markets," essential in the case of a "brand and image market." They also result from the importance of product innovation. It is noteworthy, however, that in the hygiene sector, innovations are essentially incremental: they consist more of improving existing products than of developing radically new products. These innovations allow for increased profitability in the sector without causing a real upheaval in the market or the situation of companies. All these constraints generate high fixed costs, which are more easily absorbed by large companies already present in the market, benefiting from significant economies of scale.  </w:t>
        <w:br/>
        <w:t>107. The difficulties related to access to supermarket shelves, a necessary prerequisite for suppliers of consumer goods, also constitute an entry barrier for new products. Thus, the Competition Council noted in decision No. 04-D-13 of April 8, 2004, regarding practices implemented by the company of Caves and producers united of Roquefort in the sector of blue-veined cheeses that the shelves constitute a "rare resource for [companies marketing consumer goods], access to which is subject to strong competition among [producers]."</w:t>
      </w:r>
    </w:p>
    <w:p>
      <w:r>
        <w:rPr>
          <w:b/>
        </w:rPr>
        <w:t>[Pages 22–24]</w:t>
      </w:r>
    </w:p>
    <w:p>
      <w:r>
        <w:t xml:space="preserve">108. If market entries have been observed in recent years, they have generally been limited to niche market segments, such as organic products, similar to the brands Léa Nature or Le Petit Olivier. These new brands constitute only a limited source of competitive pressure. It is also noteworthy that none of the companies manufacturing these products appear in the table reproduced in point 102 above.  </w:t>
        <w:br/>
        <w:t xml:space="preserve">109. Lastly, the hygiene sector is characterized by a low price elasticity of demand for products marketed in the downstream distribution market, as illustrated by the statement of Mr. Etienne X... (Vania Expansion): "this is a sector where, except in exceptional cases, competition is more about brand strength and marketing communication of the players than about prices. These are products that are generally not very price elastic" (reference 40 071).  </w:t>
        <w:br/>
        <w:t xml:space="preserve">b) Characteristics of the supply in the maintenance sector  </w:t>
        <w:br/>
        <w:t xml:space="preserve">110. The maintenance products sector includes several categories of products, on which the practices of the implicated parties focused, notably the following: air fresheners, insecticides, laundry detergents, fabric softeners, floor and window cleaners, dishwashing products for hand or machine washing, etc. The turnover of the maintenance products sector in France was €4.2 billion in 2006 (reference 24 389).  </w:t>
        <w:br/>
        <w:t xml:space="preserve">111. It presents a set of specific characteristics.  </w:t>
        <w:br/>
        <w:t xml:space="preserve">112. Firstly, the market is characterized by the presence of large companies, with the top eight companies (all involved in this case) accounting for nearly 70% of the sector's turnover. This is evident from the following table, taken from a document seized on February 3, 2006 (reference 11 508):  </w:t>
        <w:br/>
        <w:t xml:space="preserve">Market share by value – June 2004  </w:t>
        <w:br/>
        <w:t xml:space="preserve">Market share by value – June 2005  </w:t>
        <w:br/>
        <w:t xml:space="preserve">Procter &amp; Gamble 14.9% 14.2%  </w:t>
        <w:br/>
        <w:t xml:space="preserve">Unilever 13.9% 14.9%  </w:t>
        <w:br/>
        <w:t xml:space="preserve">Reckitt Benckiser 11.7% 12.4%  </w:t>
        <w:br/>
        <w:t xml:space="preserve">Henkel 10.1% 9.9%  </w:t>
        <w:br/>
        <w:t xml:space="preserve">Colgate-Palmolive 9.0% 8.2%  </w:t>
        <w:br/>
        <w:t xml:space="preserve">SC Johnson 4.7% 4.8%  </w:t>
        <w:br/>
        <w:t xml:space="preserve">Sara Lee 2.3% 2.1%  </w:t>
        <w:br/>
        <w:t xml:space="preserve">Bolton Solitaire 1.2% 1.2%  </w:t>
        <w:br/>
        <w:t xml:space="preserve">Werner &amp; Mertz 0.3% 0.3%  </w:t>
        <w:br/>
        <w:t xml:space="preserve">Distributors 17.7% 18.7%  </w:t>
        <w:br/>
        <w:t xml:space="preserve">Others 14.2% 13.4%  </w:t>
        <w:br/>
        <w:t xml:space="preserve">Source: AC Nielsen, June 2005  </w:t>
        <w:br/>
        <w:t xml:space="preserve">113. Secondly, the market is marked by a certain symmetry and stability of market shares, with the five main market players having relatively homogeneous market shares (between 9% and 15%). The smaller operators in the market do not constitute a real source of competitive pressure, given the "overwhelming weight of the leaders" (reference 44 535).  </w:t>
        <w:br/>
        <w:t xml:space="preserve">114. Thirdly, the market is characterized by the existence of barriers to entry. These arise from regulatory and technological constraints related to the polluting nature of the production process of maintenance products (reference 44 511). They also relate to the importance of advertising and research and development investments (references 30 263 and 30 264 (VC) / references 31 111 and 31 112 (VNC)), even if, the maintenance products market being mature, "consumers are less receptive to innovation" (reference 38 835). Finally, they are the consequence of difficulties related to access to the shelves of large retailers, due to the scarcity of available space in these sales areas and their saturation by companies already present.  </w:t>
        <w:br/>
        <w:t xml:space="preserve">115. Given these constraints, the entry of new operators into the maintenance sector is very limited. New entrants have often been confined to restricted niche markets and did not constitute, in 2006, significant players in the sector.  </w:t>
        <w:br/>
        <w:t xml:space="preserve">116. Lastly, the maintenance sector is characterized by a low price elasticity of demand for products marketed in the downstream distribution market, as illustrated by the statement of Ms. Nathalie Y... (Colgate-Palmolive) that the products were "not very price elastic, except during promotions" (reference 39 913).  </w:t>
        <w:br/>
        <w:t xml:space="preserve">3. DEMAND IN THE MAINTENANCE AND HYGIENE SECTORS  </w:t>
        <w:br/>
        <w:t xml:space="preserve">a) Characteristics of demand  </w:t>
        <w:br/>
        <w:t xml:space="preserve">117. This decision concerns only practices that took place in the sectors of supply to large retailers for hygiene and maintenance products.  </w:t>
        <w:br/>
        <w:t xml:space="preserve">118. In these two sectors, even though the supply of hygiene and/or maintenance product suppliers ultimately targets end consumers, there is no direct commercial transaction between these two categories of stakeholders. Regarding consumer goods, suppliers rely on large retail brands to access their end customers. It is therefore these operators, responsible for "purchasing for resale" of consumer goods, who are the "direct" demanders of the products marketed by suppliers.  </w:t>
        <w:br/>
        <w:t xml:space="preserve">119. The competition between suppliers of hygiene products on one hand, and those of maintenance products on the other, is analyzed upstream, in the market for supplying large retail brands, and not downstream, in the market for distributing consumer goods to consumers by these same brands.  </w:t>
        <w:br/>
        <w:t xml:space="preserve">120. However, in each of these sectors (hygiene or maintenance), products that are not substitutable from the consumer's perspective are, to a greater or lesser extent, substitutable from the distributor's perspective. Indeed, as explained by Mr. Sylvain Z..., director of PGC (consumer goods) products at Carrefour: "[for a] buyer in large retail, provided that a minimum assortment meets consumer expectations, all hygiene and maintenance products are substitutable for each other, to a greater or lesser extent" (reference 44 886).  </w:t>
        <w:br/>
        <w:t xml:space="preserve">121. Subject to the necessity of having a minimum assortment capable of satisfying consumer demand for hygiene or maintenance products, the buyer may decide to favor the product that generates the highest margin. They thus make a trade-off (reference 44 885) that may lead them to "delist" a low-margin product in favor of a product that would be more profitable, even if it is not directly substitutable for the delisted product from the consumers' perspective.  </w:t>
        <w:br/>
        <w:t xml:space="preserve">122. Given this configuration of negotiations, "suppliers in the same sector compete for limited space on store shelves. In the event of difficult negotiations, the buyer can leverage this competition among their suppliers for access to the shelves and decide to remove [the] products [of a supplier] from their shelves, to replace them with products that are not necessarily direct competitors" (reference 40 046). The competition that suppliers engage in within the supply sector is therefore significantly broader than that which they engage in downstream, with consumers.  </w:t>
        <w:br/>
        <w:t xml:space="preserve">123. It is therefore important for suppliers not to be "atypical" and to offer commercial conditions that are not significantly out of line with those of other interlocutors of the buyer, even if they are not direct competitors, as evidenced by the statement of the director of consumer goods purchasing at Carrefour (reference 44 885):  </w:t>
        <w:br/>
        <w:t xml:space="preserve">"The buyer manages negotiations with [several] suppliers. If they have several suppliers from the same sector coming with the same increase and the same explanations, this legitimizes this increase by leading the buyer to think that there is a set of real elements justifying it.  </w:t>
        <w:br/>
        <w:t xml:space="preserve">Even if I know that some products in the hygiene or maintenance sector use specific raw materials (for example, razors use steel), as a buyer, I do not know what steel represents in the price of the razor. I also do not know if the supplier has modified their manufacturing method to account for this increase and has therefore ultimately reduced their manufacturing cost. I cannot therefore assess the impact of the increase of each specific raw material on the price of each product. I do not take these specificities into account and I compare, overall, the increases of suppliers relative to each other."  </w:t>
        <w:br/>
        <w:t xml:space="preserve">124. This statement illustrates the fact that the buyer in large retail analyzes the relative positioning of one interlocutor compared to that of other suppliers. Offering homogeneous commercial conditions among suppliers in the same sector, even if they are not competitors from the consumers' perspective, legitimizes the proposed commercial conditions and reassures buyers.  </w:t>
        <w:br/>
        <w:t xml:space="preserve">125. This requirement for "consistency" in the commercial conditions of suppliers in the same sector is particularly evident from the statements of participants in the practices that highlight the dangers associated with adopting isolated positions (references 44 886, 40 046, 39 762, and 39 763).  </w:t>
        <w:br/>
        <w:t xml:space="preserve">b) The bargaining power of large retail brands  </w:t>
        <w:br/>
        <w:t>126. In the sector of supplying large retailers with maintenance and hygiene products, demand presents an oligopolistic character, as has been notably</w:t>
      </w:r>
    </w:p>
    <w:p>
      <w:r>
        <w:rPr>
          <w:b/>
        </w:rPr>
        <w:t>[Pages 25–27]</w:t>
      </w:r>
    </w:p>
    <w:p>
      <w:r>
        <w:t xml:space="preserve">b) The negotiating power of large retail brands  </w:t>
        <w:br/>
        <w:t xml:space="preserve">126. In the supply sector of large retail for cleaning and hygiene products, demand exhibits an oligopolistic nature, as highlighted in the report submitted by Mr. Guy Canivet in October 2004 (hereinafter, "Canivet Report").  </w:t>
        <w:br/>
        <w:t xml:space="preserve">127. Demand is primarily driven by seven major brands (Carrefour, Auchan, Casino, Système U, Intermarché, Leclerc, and Cora), present across all segments of traditional retail (convenience store, supermarket, and hypermarket). Three of them are also active in the discount store segment. The concentration is even more significant at the level of purchasing centers: the five main ones represented, alone, 86% of the market in 2004 (Canivet Report, p. 46). Furthermore, some of these purchasing centers are affiliated with European purchasing centers. Consequently, the weight of each brand in the total turnover of manufacturers is significant.  </w:t>
        <w:br/>
        <w:t xml:space="preserve">128. In this context, the brands had significant negotiating power, especially since the shelf space of the brands constituted a scarce resource for suppliers. This power is manifested in the most extreme cases by threats of delisting products or actual delistings (Canivet Report, p. 75). Such a sanction has a considerable impact on the financial performance of suppliers who find themselves excluded from part of the market, at least temporarily.  </w:t>
        <w:br/>
        <w:t xml:space="preserve">129. Nevertheless, the negotiating power of retailers vis-à-vis suppliers in the hygiene and cleaning sectors must be strongly relativized.  </w:t>
        <w:br/>
        <w:t xml:space="preserve">130. First, once their products are listed by retailers, suppliers face a regular and relatively predictable annual demand from their clients, who must satisfy the demand of end consumers for cleaning and hygiene products, which is itself characterized by relatively regular purchasing cycles for fast-moving consumer goods.  </w:t>
        <w:br/>
        <w:t xml:space="preserve">131. Second, the negotiations of commercial agreements take place between suppliers and purchasing managers within the brands, who only intervene in a specific sector – namely, the hygiene or cleaning sector. Therefore, to assess the balance of power between a supplier and its retailer, it is necessary to consider the share of this supplier, not in the total purchases of the brand, but in the purchases related to the sector in which it is active.  </w:t>
        <w:br/>
        <w:t xml:space="preserve">132. Third, the situation of the main suppliers in the hygiene and cleaning sectors vis-à-vis large retail is incomparable to that of producers operating in sectors where supply is less concentrated, particularly in the agri-food sector. In its opinion No. 08-A-07 of May 7, 2008, the Authority noted the particularly fragmented nature of supply in the fruit and vegetable sector, which included 300 professional organizations and numerous individual producers. By comparison, in the two sectors concerned by this case, the top eight suppliers represented approximately 70% of market shares at the time of the facts.  </w:t>
        <w:br/>
        <w:t xml:space="preserve">133. Furthermore, unlike the agri-food sector, which markets numerous fresh or semi-fresh products with a short shelf life, thereby increasing the dependence of suppliers in the sector on buyers, the cleaning and hygiene sectors are characterized by long-lasting and easily storable products.  </w:t>
        <w:br/>
        <w:t xml:space="preserve">134. Fourth, the power of large retail is exercised more difficultly when manufacturers have so-called "essential" brands. However, suppliers in the hygiene and cleaning sectors manufacture and sell to retailers products that have an extremely strong reputation among consumers, which are difficult to imitate. As one retailer indicated, "the hygiene and cleaning market is particular because all operators, in one area or another, are essential" (reference 34 232). Similarly, at the time of the implementation of the Dutreil law, the head of the Carrefour group stated, "The products that experience the highest price increases are often essential. I cannot remove them from the shelves" (reference 23 692). In this regard, the companies involved in the practices represent almost all major national brands in each of the sectors concerned, and thus most of the "essential" products.  </w:t>
        <w:br/>
        <w:t xml:space="preserve">135. Finally, this significant weight of national brands is confirmed by the penetration rate of private label brands, which is relatively low for both the hygiene and cleaning sectors compared to other fast-moving consumer goods. Thus, according to IRI data obtained from ILEC, the penetration rate of private label brands (PLB) in "other fast-moving consumer goods" increased from 25.0% in January 2003 (beginning of the practices) to 28.6% in January 2006 (end of the practices), a gain of 3.6 points, while this rate increased from 15.5% to 16.5% for the cleaning sector (a gain of 1 point), and from 8.3% to 9.5% (a gain of 1.2 points) for the hygiene sector over the same period.  </w:t>
        <w:br/>
        <w:t xml:space="preserve">136. All these elements show that, while at the time of the pursued practices, suppliers in the hygiene and cleaning sectors were indeed facing powerful buyers, their situation allowed them to largely counterbalance the power of retailers.  </w:t>
        <w:br/>
        <w:t xml:space="preserve">4. NEGOTIATIONS BETWEEN SUPPLIERS AND RETAILERS AT THE TIME OF THE PRACTICES  </w:t>
        <w:br/>
        <w:t xml:space="preserve">137. The process of negotiating commercial agreements was identical, at the time of the practices, in both sectors; this section will provide a global presentation.  </w:t>
        <w:br/>
        <w:t xml:space="preserve">a) Conduct of negotiations  </w:t>
        <w:br/>
        <w:t xml:space="preserve">138. In practice, each manufacturer active in the sectors concerned by this case concludes contracts with each brand that frame their relationships for the upcoming year.  </w:t>
        <w:br/>
        <w:t xml:space="preserve">139. To understand the conduct of negotiations, the content of commercial agreements and the timeline of negotiations will be detailed.  </w:t>
        <w:br/>
        <w:t xml:space="preserve">The content of the contractual documents formalizing the commercial relationship  </w:t>
        <w:br/>
        <w:t xml:space="preserve">140. The commercial relationship between suppliers and retailers is organized around two main documents: (i) the general terms and conditions of sale (hereinafter "GTCS") which include the pricing grids and (ii) the annual commercial cooperation agreement which specifies the commercial cooperation services provided by the retailer on behalf of the supplier as well as the price at which they are charged.  </w:t>
        <w:br/>
        <w:t xml:space="preserve">141. The GTCS, common to all retailers, allow the supplier to inform the retailer of the applicable price scale (tariffs) and its sales conditions. The GTCS contain indications on price reductions directly related to the purchase-sale transaction. The price reductions included in the GTCS are distinguished by their conditional or unconditional nature. While discounts are granted on the day of sale, this is not the case for rebates, which are conditioned on achieving a target (in terms of volume or turnover, for example). These are therefore price reductions not granted on the day of sale that are not taken into account in the calculation of the resale price threshold (see points 185 and following for the definition of the resale price threshold).  </w:t>
        <w:br/>
        <w:t xml:space="preserve">142. The commercial cooperation services contained in the commercial cooperation agreement cover all actions likely to stimulate the resale of suppliers' products by retailers, such as product promotions or advertising at the point of sale. These services are billed by the retailer to the supplier, most often in the form of a percentage of the total turnover achieved by the supplier with the concerned brand.  </w:t>
        <w:br/>
        <w:t xml:space="preserve">143. Price reductions not granted on the day of sale, whether included in the GTCS or in the commercial cooperation contract, constitute the retailer's margin.  </w:t>
        <w:br/>
        <w:t xml:space="preserve">144. Therefore, commercial negotiations between suppliers and retailers are organized around tariffs and GTCS and the commercial cooperation contract, which determine, at the end of the negotiation, the "triple net" price paid by the retailer to the supplier.  </w:t>
        <w:br/>
        <w:t xml:space="preserve">145. At the time of the practices in question, one can indeed distinguish:  </w:t>
        <w:br/>
        <w:t xml:space="preserve">- the net price, equal to the gross selling price of the product minus the price reductions on the invoice granted on the day of sale;  </w:t>
        <w:br/>
        <w:t xml:space="preserve">- the double net price, equal to the gross selling price minus (i) the price reductions on the invoice granted on the day of sale minus (ii) the price reductions on the invoice not granted at the time of sale (rebates);  </w:t>
        <w:br/>
        <w:t xml:space="preserve">- the triple net price equal to the gross selling price minus (i) the price reductions on the invoice granted on the day of sale minus (ii) the price reductions on the invoice not granted at the time of sale, minus (iii) the commercial cooperation services and, from the Dutreil law, the distinct services.  </w:t>
        <w:br/>
        <w:t xml:space="preserve">146. All elements contained in the commercial cooperation contract are negotiated step by step according to the following process.  </w:t>
        <w:br/>
        <w:t xml:space="preserve">The timeline of negotiations  </w:t>
        <w:br/>
        <w:t xml:space="preserve">147. For the period concerned by the practice, the "negotiation cycle" consisted of three main stages.  </w:t>
        <w:br/>
        <w:t xml:space="preserve">The sending of tariffs and GTCS  </w:t>
        <w:br/>
        <w:t xml:space="preserve">148. Initially, generally starting in October, the new tariffs, accompanied by the GTCS, were sent to all players in large retail.  </w:t>
        <w:br/>
        <w:t xml:space="preserve">149. In principle, the new tariffs came into effect two to three months later and were valid for a duration of one year.  </w:t>
        <w:br/>
        <w:t>150. The receipt of new tariffs from a supplier allows the retailer to identify, on the one hand, the price increases line by line for each category of products and, on the other hand, the</w:t>
      </w:r>
    </w:p>
    <w:p>
      <w:r>
        <w:rPr>
          <w:b/>
        </w:rPr>
        <w:t>[Pages 28–30]</w:t>
      </w:r>
    </w:p>
    <w:p>
      <w:r>
        <w:t>new products marketed by the company. It also allows them to determine the overall level of gross price increases that their client had communicated to them, by weighting the increases of each product by the revenue generated from that product. It is on this basis that commercial negotiations began.</w:t>
      </w:r>
    </w:p>
    <w:p>
      <w:r>
        <w:t xml:space="preserve">Negotiation of the drift  </w:t>
        <w:br/>
        <w:t xml:space="preserve">151. In a second phase, the supplier and the buyer negotiated the content of the commercial cooperation contract, within the framework of a bilateral process, which was opaque to other suppliers and other distributors.  </w:t>
        <w:br/>
        <w:t xml:space="preserve">152. The stakes of this negotiation were the evolution of the remuneration for commercial cooperation services, commonly referred to as "drift." Given the lack of price differentiation resulting from the definition of the resale price threshold, it was, for distributors, the only real parameter of differentiation between suppliers. The "drift" thus played a central role in the competition among them.  </w:t>
        <w:br/>
        <w:t xml:space="preserve">153. This negotiation period was therefore focused on the issue of the drift of the commercial cooperation rate contained in the contract, that is to say, its increase compared to the previous year, intrinsically linked to the weighted average increase in prices.  </w:t>
        <w:br/>
        <w:t xml:space="preserve">154. The negotiation of the drift consisted of a succession of frequent and regular exchanges between the supplier and its distributor, during which requests and offers of drift were exchanged between the two parties.  </w:t>
        <w:br/>
        <w:t>155. At the end of these exchanges between the supplier's representative and the distributor's buyer, a commercial cooperation contract was signed, which set a commercial cooperation rate for the products concerned, as well as a number of commercial cooperation services and, starting from the Dutreil law, distinct services.</w:t>
      </w:r>
    </w:p>
    <w:p>
      <w:r>
        <w:t xml:space="preserve">Negotiation of other price elements after the contract is signed  </w:t>
        <w:br/>
        <w:t xml:space="preserve">156. Once the commercial cooperation contract was concluded, exchanges between the supplier and the distributor continued, most often at a less intense pace. They could then concern elements of commercial policy that were not included in the contract, such as new promotional instruments (hereinafter "NIP") or specific requests occurring during the year (promotions related to an anniversary event, for example).  </w:t>
        <w:br/>
        <w:t>157. In conclusion, the commercial negotiation between suppliers and retail actors is characterized by the length of the process and the frequency of exchanges between the supplier and the buyer, as well as the continuous nature of contacts throughout the year. The frequency of meetings thus allows distributors and manufacturers to constantly adjust their positioning, as negotiations progress, based on the information they have.</w:t>
      </w:r>
    </w:p>
    <w:p>
      <w:r>
        <w:t xml:space="preserve">b) Negotiation methods  </w:t>
        <w:br/>
        <w:t xml:space="preserve">158. The negotiation mode adopted by distributors largely fits into a competitive view of the supplier/distributor relationship, which leaves a significant place for the balance of power. The distributor's objective is to isolate their interlocutor from other suppliers in order to obtain more favorable commercial conditions from them.  </w:t>
        <w:br/>
        <w:t xml:space="preserve">159. To achieve this, one of the classic strategies employed by buyers is to refer, during negotiations with a manufacturer, to the status of their exchanges with their other interlocutors, in order to highlight the isolation of the manufacturer with whom they are negotiating, regarding prices, drifts, or more generally the progress of the signatures of the relevant commercial cooperation agreements.  </w:t>
        <w:br/>
        <w:t xml:space="preserve">160. Thus, the buyer puts suppliers in competition by indicating, where applicable, that they are offering conditions deemed less favorable than those of their other interlocutors. The comparisons made by buyers can concern directly competing companies or not, as it is true that the subject of the negotiation is less about the products themselves than about the overall commercial advantages that the distributor can benefit from.  </w:t>
        <w:br/>
        <w:t xml:space="preserve">161. The individuals in charge of commercial negotiations at distributors could transmit deliberately false information about the situation of competitors, of which suppliers were not unaware.  </w:t>
        <w:br/>
        <w:t xml:space="preserve">162. This "bluff" game created a need to assess the veracity of the information communicated to them by the brands, to "understand the buyers' strategy, [...] decipher as much as possible their negotiation strategy and thus [...] identify the situations in which [they] were bluffing" (reference 34 260).  </w:t>
        <w:br/>
        <w:t xml:space="preserve">163. The interest for suppliers in having information about the status of negotiations of other operators active in the same sector was, on the one hand, to know whether they were indeed isolated compared to their competitors or if the distributor was providing them with erroneous information, and on the other hand, to pinpoint the best moment to sign. As Mr. Alain A... (Gillette) explains: "the difficulty [of the job] is knowing the breaking point of the retail sector" (reference 22 612) and knowing when to make the necessary compromises before commercial relations are broken off by the distributor.  </w:t>
        <w:br/>
        <w:t>164. In conclusion, the inherent "bluff" in negotiations between suppliers and distributors, the importance of the relative positioning of each supplier compared to that of other manufacturers in the sector, and the comparisons made by distributors during negotiations have increased the suppliers' need for information, in order to assess whether they were or were not in an isolated situation compared to other operators in their sector.</w:t>
      </w:r>
    </w:p>
    <w:p>
      <w:r>
        <w:t xml:space="preserve">c) Information available to suppliers  </w:t>
        <w:br/>
        <w:t xml:space="preserve">165. The development of the commercial policy of manufacturers and the determination of the attitude to adopt during negotiations with distributors require an increased knowledge of the market situation and a constant search for relevant information.  </w:t>
        <w:br/>
        <w:t xml:space="preserve">166. Firstly, the general and specialized press (such as LSA, l’Usine nouvelle) provides general information about the positioning of clients, or other manufacturers, whether competitors or not.  </w:t>
        <w:br/>
        <w:t xml:space="preserve">167. Secondly, manufacturers have employees who are permanently present in the field (sales teams with buyers or sales forces in stores) and who allow companies to obtain feedback.  </w:t>
        <w:br/>
        <w:t xml:space="preserve">168. Thirdly, panels, such as Nielsen or IRI, provide past information regarding market sizes, segmentation, growth, consumer resale prices, market shares of brands, or even the performance of brands, when the latter allow it. The information collected by the panels is returned to clients in exchange for a subscription payment.  </w:t>
        <w:br/>
        <w:t xml:space="preserve">169. The PBMO institute also constitutes a source of information for suppliers. This consulting company conducts more targeted market studies and provides suppliers with aggregated information by sector.  </w:t>
        <w:br/>
        <w:t xml:space="preserve">170. Fourthly, there are cross-sector exchange circles in which participants in the practices took part. The most important ones were part of the ILEC. This professional association represents the interests of suppliers of consumer goods sold under nationally and internationally recognized brands. It brings together manufacturers of food and non-food products. Almost all companies involved in the identified practices were members of the ILEC during the analyzed period.  </w:t>
        <w:br/>
        <w:t xml:space="preserve">171. Mr. Dominique B..., general delegate of the ILEC, explained the structure of the association: "The ILEC is structured at three levels. At the first level, there is a commercial committee open to all. The members are often sales directors (...) At the second level, there is a commercial bureau where commercial directors sit (...) The board of directors forms the third level. It gathers the CEOs or general directors of companies" (reference 34 236).  </w:t>
        <w:br/>
        <w:t xml:space="preserve">172. ILEC members regularly communicate to the association information regarding the status of negotiations with retail (turnover by brand, progress of negotiations). This data is collected using two methods:  </w:t>
        <w:br/>
        <w:t xml:space="preserve">- every month, the ILEC conducts a survey via email among its members;  </w:t>
        <w:br/>
        <w:t xml:space="preserve">- during commercial committees, questions are posed to participants, who respond using an electronic device, anonymously.  </w:t>
        <w:br/>
        <w:t xml:space="preserve">173. Once collected, the results of these surveys are sent, in an aggregated manner (that is to say, all suppliers combined), to the members of the association or presented to members during commercial committees.  </w:t>
        <w:br/>
        <w:t xml:space="preserve">174. The ILEC also publishes annual surveys regarding the evolution of relations between distributors and suppliers. On these occasions, past information is collected from members regarding the evolution of price tariffs, invoice prices, commercial cooperation, as well as certain aspects of the commercial relationship. At the time of the facts, some of this data was broken down by sector. However, these were past and aggregated data, at least by sector of activity.  </w:t>
        <w:br/>
        <w:t xml:space="preserve">175. Given the nature of this information, the ILEC is vigilant during its collection and restitution. In this regard, repeated requests from ILEC members to broaden the scope of exchanged information have systematically been rejected by the general delegate of the ILEC (see also the decision of the Competition Council No. 05-D-33 of June 27, 2005, regarding practices implemented by the ILEC, point 40).  </w:t>
        <w:br/>
        <w:t>176. Finally, while it is possible to obtain information through distributors about the positioning of competitors, this is often conditioned on the communication of data in return. As Ms. Amélie C..., former sales director of the detergent branch of Henkel, indicated, "with [distributors], it is always a give-and-take" (reference 22 680). Obtaining information about the situation of</w:t>
      </w:r>
    </w:p>
    <w:p>
      <w:r>
        <w:rPr>
          <w:b/>
        </w:rPr>
        <w:t>[Pages 31–33]</w:t>
      </w:r>
    </w:p>
    <w:p>
      <w:r>
        <w:t xml:space="preserve">concurrents is therefore conditioned by a certain effort of transparency from suppliers towards their clients and only allows for obtaining partial information about other operators active in the sector.  </w:t>
        <w:br/>
        <w:t xml:space="preserve">Conclusion  </w:t>
        <w:br/>
        <w:t xml:space="preserve">177. It follows from the above that, in order to cope with the inherent uncertainty of negotiations with distributors, suppliers active in the hygiene sector and those active in the maintenance sector had various sources of information.  </w:t>
        <w:br/>
        <w:t xml:space="preserve">178. All these exchanges helped to reduce the uncertainty inherent in the commercial negotiation process described above. Nevertheless, they were essentially general information, not individualized by company, allowing for an understanding of the overall context in which the negotiations took place, and not information relating to the individual position of certain competitors.  </w:t>
        <w:br/>
        <w:t xml:space="preserve">179. This information was not, in itself, sufficiently individualized to have a significant restrictive effect on competition. They proved sufficient to allow suppliers to manage the course of their discussions with distributors as best as possible, in the stable legislative context of the time, namely the Galland law.  </w:t>
        <w:br/>
        <w:t xml:space="preserve">D. THE EVOLUTION OF THE LEGAL FRAMEWORK  </w:t>
        <w:br/>
        <w:t xml:space="preserve">180. As of the beginning of 2003, in order to put an end to the inflationary spiral of prices resulting from the existing legal framework, the public authorities amended or modified the rules applicable to the relationships between suppliers and large retail chains.  </w:t>
        <w:br/>
        <w:t xml:space="preserve">1. THE LEGAL FRAMEWORK PREVAILING UNTIL THE BEGINNING OF 2003  </w:t>
        <w:br/>
        <w:t xml:space="preserve">181. The practices concerned by this procedure were formalized, at the latest, at the time of the first reforms to Law No. 96-588 of July 1, 1996, known as the "Galland law." After recalling the legal framework established by this law (a.), the effects of this regulation will be analyzed (b.).  </w:t>
        <w:br/>
        <w:t xml:space="preserve">a) The legal framework established by the Galland law  </w:t>
        <w:br/>
        <w:t xml:space="preserve">182. From 1996 until the beginning of 2003, commercial relations between manufacturers and distributors were organized by the Galland law, which redefined the threshold for resale at a loss.  </w:t>
        <w:br/>
        <w:t xml:space="preserve">183. The amending finance law No. 63-628 of July 2, 1963 prohibited resale at a loss by stipulating that "the resale of any product in its current state at a price lower than its actual purchase price is prohibited."  </w:t>
        <w:br/>
        <w:t xml:space="preserve">184. The ordinance of December 1, 1986 specified that the actual purchase price of the distributor from its supplier was "presumed to be the price stated on the purchase invoice." This was a simple presumption that the distributor could overturn by providing proof that the actual purchase price was different from the price mentioned on the invoice. This possibility of challenging the price stated on the invoice led to certain abuses in billing.  </w:t>
        <w:br/>
        <w:t xml:space="preserve">185. To put an end to these practices, the Galland law returned to a strict definition of the actual purchase price, stipulating that "the actual purchase price is the unit price stated on the invoice." Hence, the net price charged by the supplier became unequivocally the minimum price at which the distributor could resell its products to the consumer.  </w:t>
        <w:br/>
        <w:t xml:space="preserve">186. Furthermore, the Galland law established new rules regarding billing. Suppliers established an annual price list that applied uniformly to all distributors, with price discrimination being prohibited.  </w:t>
        <w:br/>
        <w:t xml:space="preserve">b) The effects of the Galland law  </w:t>
        <w:br/>
        <w:t xml:space="preserve">187. The Galland law led to a very high level of price transparency and neutralized competition among brands at the price level. The stakes of the commercial negotiation between suppliers and distributors now revolved around the back margin, which consisted notably of the remuneration for the commercial cooperation services provided by the distributor on behalf of the supplier. This situation led to an increase in gross prices, an increase in back margins, and a rise in retail prices.  </w:t>
        <w:br/>
        <w:t xml:space="preserve">The increase in gross prices  </w:t>
        <w:br/>
        <w:t xml:space="preserve">188. The definition by the Galland law of the threshold for resale at a loss as the net price charged and the principle of non-discrimination among distributors contributed to the increase in gross prices. Indeed, the legislation allowed suppliers to decide on a minimum resale price for their products, which created a mechanism for upward alignment of suppliers' prices, reinforced by the requirement for transparency of general sales conditions and the limitation of possibilities for discrimination among buyers (see in this sense the Canivet report, pp. 54 to 56).  </w:t>
        <w:br/>
        <w:t xml:space="preserve">189. The upward alignment of prices favored by the Galland law was reinforced, in the hygiene and maintenance sectors, by the low price elasticity of the products concerned. This phenomenon was notably described by Ms. Nathalie Y... (Colgate-Palmolive): "At the time of the Galland law, the price was passed into the prices. If you knew that a competitor was increasing their prices, normally you had an interest in increasing yours to avoid losing margin because the drop would not necessarily have been significant enough to have an effect on the consumer, as the products were not very elastic to prices outside of promotions" (reference 39 913).  </w:t>
        <w:br/>
        <w:t xml:space="preserve">The increase in commercial cooperation rates  </w:t>
        <w:br/>
        <w:t xml:space="preserve">190. Alongside the effects of the regulation on prices, the Galland law had a significant impact on commercial cooperation rates. The negotiation of the back margin and its evolution from year to year became, at the time, the central issue of annual negotiations between suppliers of consumer goods and the chains, especially since, due to the legal impossibility of passing on back margins in the selling price to consumers, they constituted a guaranteed margin for distributors. The demands from the chains regarding the evolution of back margins thus became increasingly strong as the Galland law was applied. They were systematically passed on by suppliers in the following year through increases in their gross prices.  </w:t>
        <w:br/>
        <w:t xml:space="preserve">191. An internal presentation, established by the commercial director of Colgate-Palmolive in May 2004, illustrates this upward trend in back margins, prior to 2003, in the maintenance sector (reference 15 300). It contains a comparative graph of the average commercial cooperation rates for Procter &amp; Gamble, Unilever, Henkel, and Colgate-Palmolive, that is to say, the four main companies active in the maintenance products sector.  </w:t>
        <w:br/>
        <w:t xml:space="preserve">192. This graph, reproduced below, shows, on the one hand, the existence of a significant increase in the back margin rates of the main players in the maintenance sector, between 1999 and 2003, and, on the other hand, the gradual convergence of commercial cooperation rates. The gap significantly narrowed between 1999 (from 13.5% to 20.6%) and 2003 (from 21.7% to 23.7%).  </w:t>
        <w:br/>
        <w:t xml:space="preserve">193. The Galland law thus led to a significant increase in the gross prices of products marketed to large retail chains as well as to a convergence, upwards, of commercial cooperation rates. It benefited both manufacturers and distributors (see in this sense the Canivet report p. 56).  </w:t>
        <w:br/>
        <w:t xml:space="preserve">194. This observation was also made by the Competition Council in its opinion No. 07-A-12 of October 11, 2007, regarding legislation on commercial equipment. On this occasion, the Council analyzed the impact of the Galland law on the relationships between suppliers and distributors and, ultimately, on resale prices to consumers: "[The Galland law] thus favored the increase in back margins for distributors, to the detriment of their front margins. The increase in the thresholds for resale at a loss obtained by producers in exchange for high back margins allowed them to encourage distributors to align their final selling prices with the threshold for resale at a loss, largely eliminating intra-brand competition. The standardization of the final selling price facilitated tacit collusion among producers, affecting inter-brand competition" (point 55).  </w:t>
        <w:br/>
        <w:t>195. The Galland law, by imposing a minimum selling price for consumer goods and prohibiting any discrimination among distributors, thus contributed to the emergence of a tacit equilibrium among the various suppliers, which facilitated a phenomenon of convergent increases in gross prices, abuses, and, ultimately, resale prices to consumers. The economic data gathered by ILEC show that, at the same time, the net income of suppliers remained stable (reference 38 742). Thus, the equilibrium reached by the operators directly and negatively impacted the situation of consumers, who saw the prices of consumer goods increase significantly.</w:t>
      </w:r>
    </w:p>
    <w:p>
      <w:r>
        <w:rPr>
          <w:b/>
        </w:rPr>
        <w:t>[Pages 34–36]</w:t>
      </w:r>
    </w:p>
    <w:p>
      <w:r>
        <w:t xml:space="preserve">196. The increase in resale prices to consumers was quantified at 17.7% for hygiene-beauty-maintenance products between 1998 and 2004, this sector achieving "the highest increases" (references 39 260 and 39 261).  </w:t>
        <w:br/>
        <w:t xml:space="preserve">2. THE MODIFICATION OF THE LEGAL FRAMEWORK  </w:t>
        <w:br/>
        <w:t xml:space="preserve">197. From the year 2003, public authorities attempted to curb the inflationary spiral resulting from the Galland law, through the adoption of a succession of reforms to the legal framework (a) which introduced an increasing uncertainty in the relationship between suppliers and distributors (b).  </w:t>
        <w:br/>
        <w:t xml:space="preserve">a) Presentation of the modifications to the legal framework  </w:t>
        <w:br/>
        <w:t xml:space="preserve">The Dutreil circular  </w:t>
        <w:br/>
        <w:t xml:space="preserve">198. The circular of May 16, 2003, known as the "Dutreil circular," reaffirmed the possibility for suppliers to make price differentiations between distributors, which was likely to lower consumer selling prices (CSP) through a reduction in the threshold for resale at a loss.  </w:t>
        <w:br/>
        <w:t xml:space="preserve">199. The objective of the Dutreil circular was to energize commercial negotiations by emphasizing the freedom left to economic actors in the application of the Galland law.  </w:t>
        <w:br/>
        <w:t xml:space="preserve">200. In particular, the circular:  </w:t>
        <w:br/>
        <w:t xml:space="preserve">- reminded of the scope of commercial cooperation by encouraging suppliers to transfer at the level of sales conditions, and thus in the front margin, the financial advantages, previously in the back margin, not falling into the category of "specific services detachable from the sole obligations resulting from purchases and sales";  </w:t>
        <w:br/>
        <w:t xml:space="preserve">- reminded suppliers of the possibility to make price differentiations between different distributors (notably regarding logistical services and payment terms);  </w:t>
        <w:br/>
        <w:t xml:space="preserve">- encouraged suppliers to equip themselves with general sales conditions;  </w:t>
        <w:br/>
        <w:t xml:space="preserve">- framed its implementation in "a context of price moderation."  </w:t>
        <w:br/>
        <w:t xml:space="preserve">201. By facilitating the transfer of part of the back margin to the front margin and promoting uncertainty in commercial negotiations through price differentiations, the objective of the circular was to lead to a decrease in consumer selling prices. In the face of the failure of this first attempt to lower net prices, public authorities worked towards the adoption of a commitment between suppliers and distributors.  </w:t>
        <w:br/>
        <w:t xml:space="preserve">The Commitment for a Sustainable Reduction in Consumer Prices  </w:t>
        <w:br/>
        <w:t xml:space="preserve">202. The commitment for a sustainable reduction in consumer prices of June 17, 2004 (hereinafter "the Sarkozy commitment" or "the commitment"), under the auspices of the Minister of Economy, attempted to put an end to the inflation of prices for consumer goods through an intervention on consumer selling prices.  </w:t>
        <w:br/>
        <w:t xml:space="preserve">203. On this occasion, the main representatives of agriculture, industry, and distribution committed to the public authorities to implement "a reduction of at least 2% on average on branded products from major manufacturers, based on an effort equally shared between distributors and manufacturers starting in September 2004." This price reduction was to be reflected by "a decrease in the prices of nationally and internationally recognized brands, appearing on invoices, and a reduction in the back margins of distributors," through an amendment to the commercial cooperation contract. This effort made by economic operators was to continue in 2005, thanks to a new reduction in back margins and a commitment to price moderation from suppliers. In the commitment, the signatory companies "reaffirm[ed] their attachment to the determination of prices through free, fair, and balanced competition."  </w:t>
        <w:br/>
        <w:t xml:space="preserve">204. The Sarkozy commitment thus set a general objective of a 2% reduction in consumer prices and indicated that this reduction was to occur through a decrease in supplier prices and a reduction in back margins. The effort was also to be equally shared between manufacturers and distributors.  </w:t>
        <w:br/>
        <w:t xml:space="preserve">205. Suppliers were also to limit their price increases for 2005, in application of the principle of price moderation, counter to their previous attitude regarding price evolution. In return, distributors were to agree to a new reduction in back margins in 2005, thus putting an end to the practice of high drift.  </w:t>
        <w:br/>
        <w:t xml:space="preserve">206. Beyond these general guidelines, the commitment, whose application was optional for companies, provided no details on its implementation modalities or on the exact method to be followed by economic actors. It therefore referred these questions to individual negotiation, notably through the reaffirmation of the signatories' attachment to the determination of prices through free competition.  </w:t>
        <w:br/>
        <w:t xml:space="preserve">207. Thus, by setting a simple objective of results, the commitment led to instilling uncertainty in commercial negotiations regarding the means to be implemented to achieve it. This inherent uncertainty in the commitment was to promote competition among operators.  </w:t>
        <w:br/>
        <w:t xml:space="preserve">208. These first two attempts were not sufficient to put an end to the increase in back margins and consumer prices. In the face of the failure of the commitment, public authorities resorted to legislative means.  </w:t>
        <w:br/>
        <w:t xml:space="preserve">The Dutreil Law  </w:t>
        <w:br/>
        <w:t xml:space="preserve">209. The Galland law was amended by the law of August 2, 2005, known as the Dutreil law, which, among other things, redefined the effective purchase price as the "net unit price appearing on the invoice (...) reduced by the amount of all financial advantages granted by the seller expressed as a percentage of the net unit price of the product, and exceeding a threshold of 20% from January 1, 2006. This threshold is 15% from January 1, 2007" (Article L. 442-2 of the Commercial Code, in force from August 3, 2005, to January 5, 2008).  </w:t>
        <w:br/>
        <w:t xml:space="preserve">210. This legislative reform thus allowed for the reintroduction of part of the amount of back margins into the threshold for resale at a loss, which permitted a reduction in selling prices to consumers.  </w:t>
        <w:br/>
        <w:t xml:space="preserve">211. In order to delineate the exact scope of financial advantages that could be deducted from the price appearing on the invoice, the Dutreil law introduced a legal definition of the notion of commercial cooperation and distinct services from commercial cooperation, included in the overall concept of back margin.  </w:t>
        <w:br/>
        <w:t xml:space="preserve">b) The consequences of the reforms of the legal framework  </w:t>
        <w:br/>
        <w:t xml:space="preserve">A source of uncertainty in the relationships between suppliers and distributors  </w:t>
        <w:br/>
        <w:t xml:space="preserve">212. The modifications to the legal framework had a destabilizing impact on the conduct of negotiations with distributors.  </w:t>
        <w:br/>
        <w:t xml:space="preserve">213. Firstly, the Dutreil circular generated uncertainties, reinforced by its non-binding nature, regarding both the negotiation of prices, general sales conditions, and drifts.  </w:t>
        <w:br/>
        <w:t xml:space="preserve">214. By defining the notion of commercial cooperation, the circular encouraged suppliers to remove from back margins the elements constituting false commercial cooperation or abusive commercial cooperation to reintegrate them into the general sales conditions, which constituted a salient issue for suppliers.  </w:t>
        <w:br/>
        <w:t xml:space="preserve">215. As a result, the implementation of the Dutreil circular was likely to modify commercial relationships. It plunged manufacturers into uncertainty regarding their clients' reactions to their pricing proposals. In particular, suppliers did not know if all distributors would wish to proceed with a reintegration of the back margin into the front margin. Furthermore, they anticipated requests for increased back margin drift, in order to compensate for the loss of front margin used to finance reductions in selling prices to consumers (reference 39 759).  </w:t>
        <w:br/>
        <w:t xml:space="preserve">216. Moreover, the Dutreil circular generated uncertainty regarding the level of gross price increases that could be passed. The "price moderation" inscribed in the text of the circular could be interpreted either as a freeze on prices, or as an increase equal to inflation, or as a median increase.  </w:t>
        <w:br/>
        <w:t xml:space="preserve">217. Finally, by reaffirming the possibility offered to suppliers to discriminate between their different clients, as long as the differentiated treatment is justified by a counterparty, the circular increased competition among suppliers, and thus contributed to questioning the tacit balance that existed among them.  </w:t>
        <w:br/>
        <w:t xml:space="preserve">218. Secondly, the Sarkozy commitment was a source of uncertainties regarding its concrete application. Indeed, beyond the general principles of price reduction and freeze on back margins that it set, the text referred to individual negotiation the responsibility of determining the exact modalities of its implementation, through the reaffirmation, in conclusion, of its attachment to "the determination of prices through free, fair, and balanced competition."  </w:t>
        <w:br/>
        <w:t>219. In a document titled "Commitment of June 17, 2004 – Toolbox," dated July 21, 2004, the ILEC provided its industrial members with general indications on the steps to follow to apply the Sarkozy commitment. This text illustrates that, on many points, a wide latitude was left to the partners of commercial negotiation: on the modalities of the 2% price reduction, on the effective date of the reductions, on the method of sharing the effort between manufacturers and distributors, on the formalization of the negotiation between supplier and distributor, on the freeze and then the reduction of back margins in 2005, on the notion of price moderation.</w:t>
      </w:r>
    </w:p>
    <w:p>
      <w:r>
        <w:rPr>
          <w:b/>
        </w:rPr>
        <w:t>[Pages 37–39]</w:t>
      </w:r>
    </w:p>
    <w:p>
      <w:r>
        <w:t xml:space="preserve">220. Thirdly and finally, the Dutreil law disrupted the previous course of negotiations by making it possible to reintegrate part of the margin back into the resale price to the consumer. Suppliers were concerned about possible demands for very significant deviations from distributors, in order to allow them to finance the price wars they were likely to engage in.  </w:t>
        <w:br/>
        <w:t xml:space="preserve">221. It follows from the above that the reforms of the legal framework constituted a source of uncertainty likely to gradually undermine the tacit balance established by the Galland law (Canivet report, p. 56). By altering the usual terms of negotiation between suppliers and distributors, these reforms led to a disruption of the commercial and financial stakes involved.  </w:t>
        <w:br/>
        <w:t xml:space="preserve">The response of the distributors  </w:t>
        <w:br/>
        <w:t xml:space="preserve">222. In the face of these changes that affected all consumer goods, distributors adopted global policies, identical across all sectors, which influenced the course of negotiations for all categories of products they marketed.  </w:t>
        <w:br/>
        <w:t xml:space="preserve">223. Furthermore, the negotiations were not confined to the classic level of discussions between those in charge of negotiations at the retail chains and the sales representatives of suppliers. They included the highest levels of the commercial hierarchy of both suppliers and distributors. The DPH directors ("Droguerie, parfumerie et hygiène") of the chains frequently intervened, possibly in place of the buyers. The presidents of distribution groups also took an active part, either directly with suppliers or through statements in the press to denounce the alleged abuses of manufacturers.  </w:t>
        <w:br/>
        <w:t xml:space="preserve">The reaction of the suppliers  </w:t>
        <w:br/>
        <w:t xml:space="preserve">224. In this context, the need for information among suppliers of cleaning and hygiene products significantly increased. Companies responded in several ways.  </w:t>
        <w:br/>
        <w:t xml:space="preserve">225. On the one hand, they strengthened existing systems for gathering information from the field, in order to have better visibility on the evolution of the market situation.  </w:t>
        <w:br/>
        <w:t xml:space="preserve">226. On the other hand, during the Sarkozy engagement, the ILEC temporarily adjusted its way of working and posed more specific questions to its members, while ensuring that no recommendations were issued.  </w:t>
        <w:br/>
        <w:t xml:space="preserve">227. However, the numerous sources of information available and the multiple aforementioned professional exchange circles were clearly not considered sufficient by some suppliers to cope with the successive modifications of the legal framework and to allow them to maintain the profitability they derived from the previous tacit balance. This is why suppliers active in the cleaning and hygiene sectors organized, in each of these two sectors, a system of explicit consultation.  </w:t>
        <w:br/>
        <w:t xml:space="preserve">E. DESCRIPTION OF THE PRACTICES PURSUED  </w:t>
        <w:br/>
        <w:t xml:space="preserve">1. MODALITIES FOR IMPLEMENTING THE PRACTICES  </w:t>
        <w:br/>
        <w:t xml:space="preserve">228. The observed practices consisted of consultation on pricing policy in the form of exchanges of commercially sensitive information and, where applicable, more advanced acts of cooperation between companies active in the hygiene sector on the one hand, and between companies active in the cleaning sector on the other.  </w:t>
        <w:br/>
        <w:t xml:space="preserve">229. These exchanges focused on the commercial policies of suppliers and the course of negotiations with retail chains. They aimed to reduce the uncertainty inherent in any commercial negotiation and to improve the position of suppliers in their discussions with retail chains.  </w:t>
        <w:br/>
        <w:t xml:space="preserve">230. The practices were primarily based on structured meetings within the framework of three distinct circles bringing together 1) the sales directors of companies active in the hygiene sector, 2) those of companies active in the cleaning sector, and 3) the sales managers of companies active in both sectors. During these meetings, commercially sensitive information was presented and discussed among competitors (a). These meetings were accompanied by exchanges of written documents sent by mail between the companies, which will hereinafter be referred to as "correspondences" (b). In addition to these formalized practices, there were bilateral or multilateral contacts between companies (c).  </w:t>
        <w:br/>
        <w:t xml:space="preserve">a) The three meeting circles  </w:t>
        <w:br/>
        <w:t xml:space="preserve">231. The majority of participants assigned a specific name to these meeting circles. For the clarity of the presentation, they will be designated according to the name chosen by Colgate-Palmolive, namely:  </w:t>
        <w:br/>
        <w:t xml:space="preserve">- "Team PCP" (for Personal Care Products) for the meetings of sales directors of companies active in the hygiene sector;  </w:t>
        <w:br/>
        <w:t xml:space="preserve">- "Team HP" (for Home Product) for the meetings of sales directors of companies active in the cleaning sector;  </w:t>
        <w:br/>
        <w:t xml:space="preserve">- "Friends" for the meetings of sales managers of companies active in both sectors.  </w:t>
        <w:br/>
        <w:t xml:space="preserve">232. These three meeting circles were organized on a regular basis, in a formalized manner, starting from the year 2003 at the latest, which corresponds to the period of the first reform projects of the Galland law, the Dutreil circular dating from May 16, 2003. Only the "Friends" circle began later, in September 2004.  </w:t>
        <w:br/>
        <w:t xml:space="preserve">233. All these meetings ceased on February 3, 2006, the date of the first operation of visit and seizure at the headquarters of several companies active in the cleaning sector.  </w:t>
        <w:br/>
        <w:t xml:space="preserve">The "Team HP" meetings  </w:t>
        <w:br/>
        <w:t xml:space="preserve">234. The "Team HP" meetings brought together the sales directors of companies active in the cleaning sector.  </w:t>
        <w:br/>
        <w:t xml:space="preserve">The origin of the "Team HP" meetings  </w:t>
        <w:br/>
        <w:t xml:space="preserve">235. It emerges from the statements of certain participants in the practices that these meetings had existed since at least 2002. Mr. Denys E..., former sales director of Colgate-Palmolive, stated that "this kind of meeting already existed when [he] arrived at [his] position as sales director [that is to say, at the latest on October 1, 1998]" (reference 22 564). Mr. Philippe F... from Unilever also indicated that he had participated in at least one meeting during the year 2002 (reference 23 943; see also reference 318 of dossier 08/0044AC).  </w:t>
        <w:br/>
        <w:t xml:space="preserve">236. However, the material elements (meeting notes, mentions in agendas, room reservations) allowing for the precise identification of the dates and the purpose of the "Team HP" meetings date back at the earliest to the entry into force of the Dutreil circular, during the summer of 2003. This date will therefore be retained as the starting point for the "Team HP" meetings.  </w:t>
        <w:br/>
        <w:t xml:space="preserve">237. The "Team HP" meetings presented below took place between July 2003 at the latest and February 3, 2006, in hotels and restaurants, primarily at the Marriott hotel in Neuilly-sur-Seine.  </w:t>
        <w:br/>
        <w:t xml:space="preserve">The participants in the "Team HP" meetings  </w:t>
        <w:br/>
        <w:t xml:space="preserve">238. After identifying the participants in the "Team HP" meetings, the specific role played by Colgate-Palmolive in the meetings will be highlighted.  </w:t>
        <w:br/>
        <w:t xml:space="preserve">239. Five companies participated in the "Team HP" meetings. They are identified in the following table:  </w:t>
        <w:br/>
        <w:t xml:space="preserve">COMPANIES REPRESENTATIVES FUNCTIONS Period of participation  </w:t>
        <w:br/>
        <w:t xml:space="preserve">Until early 2004 (then  </w:t>
        <w:br/>
        <w:t xml:space="preserve">Denys E... Sales director  </w:t>
        <w:br/>
        <w:t xml:space="preserve">retirement)  </w:t>
        <w:br/>
        <w:t xml:space="preserve">COLGATE-PALMOLIVE  </w:t>
        <w:br/>
        <w:t xml:space="preserve">From the second half  </w:t>
        <w:br/>
        <w:t xml:space="preserve">Jean-François Q... Sales director  </w:t>
        <w:br/>
        <w:t xml:space="preserve">of 2003  </w:t>
        <w:br/>
        <w:t xml:space="preserve">Alain G... Sales director Until early 2004  </w:t>
        <w:br/>
        <w:t xml:space="preserve">HENKEL Amélie C… Sales director From March 2004  </w:t>
        <w:br/>
        <w:t xml:space="preserve">Director of National Replaced Amélie C... between  </w:t>
        <w:br/>
        <w:t xml:space="preserve">Gérard H...  </w:t>
        <w:br/>
        <w:t xml:space="preserve">Accounts July and December 2004  </w:t>
        <w:br/>
        <w:t xml:space="preserve">Philippe F... Sales director Until early 2004  </w:t>
        <w:br/>
        <w:t xml:space="preserve">LEVER-FABERGE  </w:t>
        <w:br/>
        <w:t xml:space="preserve">From the meeting of  </w:t>
        <w:br/>
        <w:t xml:space="preserve">UNILEVER Pierre I... Sales director  </w:t>
        <w:br/>
        <w:t xml:space="preserve">06/09/04  </w:t>
        <w:br/>
        <w:t xml:space="preserve">National Account May have replaced P. I... once  </w:t>
        <w:br/>
        <w:t xml:space="preserve">Olivier J...  </w:t>
        <w:br/>
        <w:t xml:space="preserve">or twice before January 2005  </w:t>
        <w:br/>
        <w:t xml:space="preserve">General Sales From June 2004 until the end  </w:t>
        <w:br/>
        <w:t xml:space="preserve">Paolo K…  </w:t>
        <w:br/>
        <w:t xml:space="preserve">Director of Sales 2004  </w:t>
        <w:br/>
        <w:t xml:space="preserve">PROCTER &amp; GAMBLE  </w:t>
        <w:br/>
        <w:t xml:space="preserve">Accompanied at the beginning P. K...  </w:t>
        <w:br/>
        <w:t xml:space="preserve">Guillaume L... National Account  </w:t>
        <w:br/>
        <w:t xml:space="preserve">as a translator  </w:t>
        <w:br/>
        <w:t>RECKITT BENCKISER Rémy M... Sales director From June 2004</w:t>
      </w:r>
    </w:p>
    <w:p>
      <w:r>
        <w:rPr>
          <w:b/>
        </w:rPr>
        <w:t>[Pages 40–42]</w:t>
      </w:r>
    </w:p>
    <w:p>
      <w:r>
        <w:t xml:space="preserve">240. The participants in the "Team HP" meetings were identified from the statements of companies from the leniency applicants (references 14 of dossier 06/0018AC, 319 of dossier 08/0044AC, and 41 966) and from the statements of the individuals concerned, all of whom acknowledged having participated in meetings with the sales directors of other companies active in the maintenance sector.  </w:t>
        <w:br/>
        <w:t xml:space="preserve">241. When asked about the participants in these sales directors' meetings in the maintenance sector, Mr. Denys E… (Colgate-Palmolive) stated: "the number of participants in the meetings was limited for reasons of trust, trust being a key element" (references 22 564 and 22 570). When invited to clarify the meaning of his statement, he explained that: "to participate in these meetings, a certain experience was required, to be able to read through the attitudes of the large distribution. There also had to be mutual trust, to be certain of the quality of the information exchanged." One of the elements highlighted by the former sales director of Colgate-Palmolive to maintain this trust is the exchange of accurate information: "Trust was the golden rule. One could possibly choose not to respond if one did not want to, but if we spoke, we had to tell the truth" (reference 39 770).  </w:t>
        <w:br/>
        <w:t xml:space="preserve">242. It follows from the above that entry into the circle of sales directors' meetings in the maintenance products sector was conditioned both by the competence of the person and by the trust that the other members of the group placed in them.  </w:t>
        <w:br/>
        <w:t xml:space="preserve">243. While no company that participated in the "Team HP" meetings played a predominant role in the material organization of the meetings, this is not the case regarding the invitation of new individuals to participate in the meetings.  </w:t>
        <w:br/>
        <w:t xml:space="preserve">244. The converging statements of the participants in the meetings show that Mr. Jean-François Q... of Colgate-Palmolive, and Mr. Denys E… before him, played a singular role in the conduct and sustainability of the "Team HP" meetings, in that they took charge of inviting new participants. Thus, Mr. E... M... of Reckitt Benckiser stated: "It was Mr. Q... who contacted me for these meetings." (reference 23 014). This is also evident from the statement of Mr. Philippe F... of Unilever who indicated: "The first time I was contacted for these meetings was during a forum where someone from Colgate offered me to participate in meetings related to general interest topics that could interest salespeople (industry-commerce relations, ...). It seems to me that it was Mr. E…." (reference 23 939; see also references 43 894, 43 909, 23 294, and 22 879).  </w:t>
        <w:br/>
        <w:t xml:space="preserve">Presentation of the "Team HP" meetings  </w:t>
        <w:br/>
        <w:t>245. The following developments allow for the establishment of the materiality of each of the "Team HP" meetings for which the date could be precisely determined. For each of them, the participating companies and the evidence allowing for the establishment of their presence are specified, where applicable in the form of a table. The proof of the presence of each company at each meeting relies, for each occurrence, on a set of serious, precise, and consistent indications consisting, depending on the meeting in question, of statements, notably from leniency applicants, meeting notes, internal reports, agenda excerpts, or even room reservations.</w:t>
      </w:r>
    </w:p>
    <w:p>
      <w:r>
        <w:t xml:space="preserve">♦ Meeting of Summer 2003  </w:t>
        <w:br/>
        <w:t xml:space="preserve">246. It emerges from a handwritten note by Mr. Eric N... dated July 30, 2003 (Bolton Solitaire) (references 9 520 and 9 521), from the company statement of Colgate-Palmolive, and from those of former employees of the companies concerned included in the file (references 22 466, 38 835, 39 772, 40 213 (VC) and 40 598 (VNC) and 40 516) that a meeting between the sales directors of Henkel, Colgate-Palmolive, Procter &amp; Gamble, and Unilever took place during the summer of 2003, at the latest in July, in the maintenance sector.  </w:t>
        <w:br/>
        <w:t xml:space="preserve">♦ Meeting of December 9, 2003  </w:t>
        <w:br/>
        <w:t xml:space="preserve">COMPANIES EVIDENCE  </w:t>
        <w:br/>
        <w:t xml:space="preserve">Agenda (reference 711 of dossier 06/0018AC) and meeting notes of J.-F. Q... (references 1173 to 1175 of dossier 06/0018AC)  </w:t>
        <w:br/>
        <w:t xml:space="preserve">Colgate- Company statement of Colgate-Palmolive (reference 707 of dossier 06/0018AC)  </w:t>
        <w:br/>
        <w:t xml:space="preserve">Palmolive Meeting notes of J.-F. Q...  </w:t>
        <w:br/>
        <w:t xml:space="preserve">Henkel Company statement of Henkel (reference 319 of dossier 08/0044AC)  </w:t>
        <w:br/>
        <w:t xml:space="preserve">Meeting notes of J.-F. Q...  </w:t>
        <w:br/>
        <w:t xml:space="preserve">Unilever Minutes of June 22, 2012 from Mr. A (reference 40 212 (confidential version, hereinafter "VC")/reference 40 597 (non-confidential version, hereinafter "VNC"))  </w:t>
        <w:br/>
        <w:t xml:space="preserve">♦ Meeting of June 9, 2004  </w:t>
        <w:br/>
        <w:t xml:space="preserve">COMPANIES EVIDENCE  </w:t>
        <w:br/>
        <w:t xml:space="preserve">Agenda (reference 715 of dossier 06/0018AC) and meeting notes of J.-F. Q... (reference 1177 of dossier 06/0018AC)  </w:t>
        <w:br/>
        <w:t xml:space="preserve">Colgate- Room reservation (reference 24 338), account statement and invoice (references 716 and 717 of dossier 06/0018AC)  </w:t>
        <w:br/>
        <w:t xml:space="preserve">Palmolive Company statements of Colgate-Palmolive (reference 707 of dossier 06/0018AC) and Henkel (reference 319 of dossier 08/0044AC)  </w:t>
        <w:br/>
        <w:t xml:space="preserve">Minutes of P. I... of September 20, 2007 (reference 23 924)  </w:t>
        <w:br/>
        <w:t xml:space="preserve">Unilever Meeting notes of J.-F. Q...  </w:t>
        <w:br/>
        <w:t xml:space="preserve">Company statements of Colgate-Palmolive and Henkel  </w:t>
        <w:br/>
        <w:t xml:space="preserve">Meeting notes of J.-F. Q...  </w:t>
        <w:br/>
        <w:t xml:space="preserve">Procter &amp; Minutes of P. K... of October 25, 2007 (reference 22 882)  </w:t>
        <w:br/>
        <w:t xml:space="preserve">Gamble Company statements of Colgate-Palmolive and Henkel  </w:t>
        <w:br/>
        <w:t xml:space="preserve">Meeting notes of J.-F. Q...  </w:t>
        <w:br/>
        <w:t xml:space="preserve">Reckitt Company statements of Colgate-Palmolive and Henkel  </w:t>
        <w:br/>
        <w:t xml:space="preserve">Benckiser Minutes of R. M... of June 25, 2012 (reference 40 188)  </w:t>
        <w:br/>
        <w:t xml:space="preserve">♦ Meeting of July 5, 2004  </w:t>
        <w:br/>
        <w:t xml:space="preserve">COMPANIES EVIDENCE  </w:t>
        <w:br/>
        <w:t xml:space="preserve">Agenda of J.-F. Q... (reference 721 of dossier 06/0018AC)  </w:t>
        <w:br/>
        <w:t xml:space="preserve">Colgate- Meeting notes of P. I... (reference 18 807)  </w:t>
        <w:br/>
        <w:t>Palmolive Company statements of Henkel (reference 319 of dossier 08/0044AC) and Colgate-Palmolive (reference 707 of dossier 06/0018AC)</w:t>
      </w:r>
    </w:p>
    <w:p>
      <w:r>
        <w:t xml:space="preserve">Meeting notes and minutes of P. I... of September 20, 2007 (reference 23 926)  </w:t>
        <w:br/>
        <w:t xml:space="preserve">Unilever Company statement of Henkel  </w:t>
        <w:br/>
        <w:t xml:space="preserve">Meeting notes of P. I...  </w:t>
        <w:br/>
        <w:t xml:space="preserve">Procter &amp; Company statement of Henkel  </w:t>
        <w:br/>
        <w:t xml:space="preserve">Gamble Statement of A. C... (reference 22 683 (VC)/reference 43 913 (VNC))  </w:t>
        <w:br/>
        <w:t xml:space="preserve">Meeting notes of P. I...  </w:t>
        <w:br/>
        <w:t xml:space="preserve">Henkel Minutes of September 11, 2006 (reference 22 664 (VC)/reference 43 894 (VNC)) and agenda of G. H... (reference 10 996)  </w:t>
        <w:br/>
        <w:t xml:space="preserve">Company statement of Henkel  </w:t>
        <w:br/>
        <w:t xml:space="preserve">Meeting notes of P. I...  </w:t>
        <w:br/>
        <w:t xml:space="preserve">Reckitt Room reservation (reference 24 339)  </w:t>
        <w:br/>
        <w:t xml:space="preserve">Benckiser Company statement of Henkel  </w:t>
        <w:br/>
        <w:t xml:space="preserve">♦ Meeting of August 24, 2004  </w:t>
        <w:br/>
        <w:t xml:space="preserve">COMPANIES EVIDENCE  </w:t>
        <w:br/>
        <w:t xml:space="preserve">Agenda (reference 723 of dossier 06/0018AC) and "handwritten agenda" of J.-F. Q... (reference 1 179 of dossier 06/0018AC)  </w:t>
        <w:br/>
        <w:t xml:space="preserve">Colgate- Company statements of Henkel (reference 319 of dossier 08/0044AC) and Colgate-Palmolive (reference 707 of dossier 06/0018AC)  </w:t>
        <w:br/>
        <w:t xml:space="preserve">Palmolive Minutes of September 20, 2007 from P. I... (reference 23 925)  </w:t>
        <w:br/>
        <w:t xml:space="preserve">Unilever Room reservation (reference 24 340)  </w:t>
        <w:br/>
        <w:t xml:space="preserve">Company statement of Henkel  </w:t>
        <w:br/>
        <w:t xml:space="preserve">Agenda (reference 11 010) and minutes of September 11, 2006 from G. H... (reference 22 664 (VC)/reference 43 894 (VNC))  </w:t>
        <w:br/>
        <w:t xml:space="preserve">Henkel Company statement of Henkel  </w:t>
        <w:br/>
        <w:t xml:space="preserve">♦ Meeting of November 15, 2004  </w:t>
        <w:br/>
        <w:t xml:space="preserve">COMPANIES EVIDENCE  </w:t>
        <w:br/>
        <w:t xml:space="preserve">Agenda (reference 726 of dossier 06/0018AC) and meeting notes of J.-F. Q... (references 1 181 and 1 182 of dossier 06/0018AC)  </w:t>
        <w:br/>
        <w:t xml:space="preserve">Colgate- Company statement of Colgate-Palmolive (reference 707 of dossier 06/0018AC)  </w:t>
        <w:br/>
        <w:t xml:space="preserve">Palmolive Statement of P. K... of October 25, 2007 (reference 22 882)  </w:t>
        <w:br/>
        <w:t xml:space="preserve">Procter &amp; Meeting notes of J.-F. Q...  </w:t>
        <w:br/>
        <w:t xml:space="preserve">Gamble Company statements of Henkel (reference 319 of dossier 08/0044AC) and Colgate-Palmolive  </w:t>
        <w:br/>
        <w:t xml:space="preserve">Minutes of September 11, 2006 from G. H... (reference 22 664 (VC)/reference 43 894 (VNC))  </w:t>
        <w:br/>
        <w:t xml:space="preserve">Henkel Meeting notes of J.-F. Q...  </w:t>
        <w:br/>
        <w:t>Company statements of Henkel and Colgate-Palmolive</w:t>
      </w:r>
    </w:p>
    <w:p>
      <w:r>
        <w:rPr>
          <w:b/>
        </w:rPr>
        <w:t>[Pages 43–45]</w:t>
      </w:r>
    </w:p>
    <w:p>
      <w:r>
        <w:t xml:space="preserve">♦ Meeting of December 6, 2004  </w:t>
        <w:br/>
        <w:t xml:space="preserve">COMPANIES EVIDENCE  </w:t>
        <w:br/>
        <w:t xml:space="preserve">Agenda (reference 730 of dossier 06/0018AC) and meeting notes of J.-F. Q... (references 1 184 to 1 186 of dossier 06/0018AC)  </w:t>
        <w:br/>
        <w:t xml:space="preserve">Colgate-  </w:t>
        <w:br/>
        <w:t xml:space="preserve">Meeting notes of A. C... (references 159 and 160 of dossier 08/0044AC)  </w:t>
        <w:br/>
        <w:t xml:space="preserve">Palmolive  </w:t>
        <w:br/>
        <w:t xml:space="preserve">Company statements from Henkel (reference 319 of dossier 08/0044AC) and Colgate-Palmolive (reference 707 of dossier 06/0018AC)  </w:t>
        <w:br/>
        <w:t xml:space="preserve">Meeting notes of J.-F. Q... and A. C...  </w:t>
        <w:br/>
        <w:t xml:space="preserve">Unilever  </w:t>
        <w:br/>
        <w:t xml:space="preserve">Company statements from Henkel and Colgate-Palmolive  </w:t>
        <w:br/>
        <w:t xml:space="preserve">Minutes of September 25, 2007, from P. K... (reference 22 882)  </w:t>
        <w:br/>
        <w:t xml:space="preserve">Meeting notes of J.-F. Q... and A. C...  </w:t>
        <w:br/>
        <w:t xml:space="preserve">Procter &amp;  </w:t>
        <w:br/>
        <w:t xml:space="preserve">Gamble Room reservation (reference 24 342)  </w:t>
        <w:br/>
        <w:t xml:space="preserve">Company statements from Henkel and Colgate-Palmolive  </w:t>
        <w:br/>
        <w:t xml:space="preserve">Statement of September 18, 2007 (reference 22 683 (VC)/reference 43 913 (VNC)) and meeting notes of A. C...  </w:t>
        <w:br/>
        <w:t xml:space="preserve">Henkel Meeting notes of J.-F. Q...  </w:t>
        <w:br/>
        <w:t xml:space="preserve">Company statements from Henkel and Colgate-Palmolive  </w:t>
        <w:br/>
        <w:t xml:space="preserve">Minutes of June 25, 2012, from R. M... (reference 40 188)  </w:t>
        <w:br/>
        <w:t xml:space="preserve">Reckitt  </w:t>
        <w:br/>
        <w:t xml:space="preserve">Meeting notes of J.-F. Q... and A. C...  </w:t>
        <w:br/>
        <w:t xml:space="preserve">Benckiser  </w:t>
        <w:br/>
        <w:t xml:space="preserve">Company statements from Henkel and Colgate-Palmolive  </w:t>
        <w:br/>
        <w:t xml:space="preserve">♦ Meeting of early February 2005  </w:t>
        <w:br/>
        <w:t xml:space="preserve">COMPANIES EVIDENCE  </w:t>
        <w:br/>
        <w:t xml:space="preserve">Internal notes from Guy O... following the report from A.C... (reference 334 of dossier 08/0044AC)  </w:t>
        <w:br/>
        <w:t xml:space="preserve">Colgate-  </w:t>
        <w:br/>
        <w:t xml:space="preserve">Palmolive Company statement from Henkel (reference 320 of dossier 08/0044AC (VC)/reference 41 966 (VNC))  </w:t>
        <w:br/>
        <w:t xml:space="preserve">Internal notes from G. O... following the report from A.C...  </w:t>
        <w:br/>
        <w:t xml:space="preserve">Unilever  </w:t>
        <w:br/>
        <w:t xml:space="preserve">Company statement from Henkel  </w:t>
        <w:br/>
        <w:t xml:space="preserve">Internal notes from G. O... following the report from A.C...  </w:t>
        <w:br/>
        <w:t xml:space="preserve">Procter &amp;  </w:t>
        <w:br/>
        <w:t xml:space="preserve">Gamble Company statement from Henkel  </w:t>
        <w:br/>
        <w:t xml:space="preserve">Internal notes from G. O... following the report from A.C...  </w:t>
        <w:br/>
        <w:t xml:space="preserve">Henkel  </w:t>
        <w:br/>
        <w:t xml:space="preserve">Company statement from Henkel  </w:t>
        <w:br/>
        <w:t xml:space="preserve">Internal notes from G. O... following the report from A.C...  </w:t>
        <w:br/>
        <w:t xml:space="preserve">Reckitt  </w:t>
        <w:br/>
        <w:t xml:space="preserve">Benckiser Company statement from Henkel  </w:t>
        <w:br/>
        <w:t xml:space="preserve">♦ Meeting of June 23, 2005  </w:t>
        <w:br/>
        <w:t xml:space="preserve">COMPANIES EVIDENCE  </w:t>
        <w:br/>
        <w:t xml:space="preserve">Agenda from J.-F. Q... (reference 734 of dossier 06/0018AC)  </w:t>
        <w:br/>
        <w:t xml:space="preserve">Colgate-  </w:t>
        <w:br/>
        <w:t xml:space="preserve">Minutes of September 18, 2007, from A. C... (reference 22 683 (VC)/reference 43 913 (VNC))  </w:t>
        <w:br/>
        <w:t xml:space="preserve">Palmolive  </w:t>
        <w:br/>
        <w:t xml:space="preserve">Company statement from Colgate-Palmolive (reference 708 of dossier 06/0018AC)  </w:t>
        <w:br/>
        <w:t>43</w:t>
      </w:r>
    </w:p>
    <w:p>
      <w:r>
        <w:t xml:space="preserve">Minutes of September 18, 2007, from A.C...  </w:t>
        <w:br/>
        <w:t xml:space="preserve">Henkel  </w:t>
        <w:br/>
        <w:t xml:space="preserve">Company statement from Henkel (reference 319 of dossier 08/0044AC)  </w:t>
        <w:br/>
        <w:t xml:space="preserve">♦ Meeting of November 22, 2005  </w:t>
        <w:br/>
        <w:t xml:space="preserve">COMPANIES EVIDENCE  </w:t>
        <w:br/>
        <w:t xml:space="preserve">Meeting notes (references 1 188 and 1 189 of dossier 06/0018AC) and agenda from J.-F. Q... (reference 737 of dossier 06/0018AC)  </w:t>
        <w:br/>
        <w:t xml:space="preserve">Colgate-  </w:t>
        <w:br/>
        <w:t xml:space="preserve">Palmolive Company statements from Henkel (reference 319 of dossier 08/0044AC) and Colgate-Palmolive (reference 708 of dossier 06/0018AC)  </w:t>
        <w:br/>
        <w:t xml:space="preserve">Minutes of March 28, 2007, from R. M... (reference 23 017)  </w:t>
        <w:br/>
        <w:t xml:space="preserve">Room reservation (reference 24 343)  </w:t>
        <w:br/>
        <w:t xml:space="preserve">Reckitt  </w:t>
        <w:br/>
        <w:t xml:space="preserve">Benckiser Meeting notes of J.-F. Q...  </w:t>
        <w:br/>
        <w:t xml:space="preserve">Company statements from Henkel and Colgate-Palmolive  </w:t>
        <w:br/>
        <w:t xml:space="preserve">Minutes of September 18, 2007, from A.C... (reference 22 683 (VC)/reference 43 913 (VNC))  </w:t>
        <w:br/>
        <w:t xml:space="preserve">Henkel Meeting notes of J.-F. Q...  </w:t>
        <w:br/>
        <w:t xml:space="preserve">Company statements from Henkel and Colgate-Palmolive  </w:t>
        <w:br/>
        <w:t xml:space="preserve">♦ Meeting of January 5, 2006  </w:t>
        <w:br/>
        <w:t xml:space="preserve">COMPANIES EVIDENCE  </w:t>
        <w:br/>
        <w:t xml:space="preserve">Meeting notes (references 1 191 to 1 194 of dossier 06/0018AC) and agenda from J.-F. Q... (reference 742 of dossier 06/0018AC)  </w:t>
        <w:br/>
        <w:t xml:space="preserve">Colgate-  </w:t>
        <w:br/>
        <w:t xml:space="preserve">Restaurant reservation invoice (reference 1 214 of dossier 06/0018AC)  </w:t>
        <w:br/>
        <w:t xml:space="preserve">Palmolive  </w:t>
        <w:br/>
        <w:t xml:space="preserve">Company statements from Henkel (reference 319 of dossier 08/0044AC) and Colgate-Palmolive (reference 708 of dossier 06/0018AC)  </w:t>
        <w:br/>
        <w:t xml:space="preserve">Minutes of March 28, 2007, from R. M... (reference 23 017)  </w:t>
        <w:br/>
        <w:t xml:space="preserve">Reckitt  </w:t>
        <w:br/>
        <w:t xml:space="preserve">Meeting notes of J.-F. Q...  </w:t>
        <w:br/>
        <w:t xml:space="preserve">Benckiser  </w:t>
        <w:br/>
        <w:t xml:space="preserve">Company statements from Henkel and Colgate-Palmolive  </w:t>
        <w:br/>
        <w:t xml:space="preserve">Minutes of September 18, 2007, from A.C... (reference 22 683 (VC)/reference 43 913 (VNC))  </w:t>
        <w:br/>
        <w:t xml:space="preserve">Henkel Meeting notes of J.-F. Q...  </w:t>
        <w:br/>
        <w:t xml:space="preserve">Company statements from Henkel and Colgate-Palmolive  </w:t>
        <w:br/>
        <w:t xml:space="preserve">Conclusion on the "Team HP" meetings  </w:t>
        <w:br/>
        <w:t xml:space="preserve">247. Between the summer of 2003 (July at the latest) and February 3, 2006 (date of the first inspection and seizure operation in the maintenance sector that ended the practices), the sales directors in charge of marketing cleaning products from Henkel, Unilever, Procter &amp; Gamble, Colgate-Palmolive, and Reckitt Benckiser met several times at regular intervals.  </w:t>
        <w:br/>
        <w:t xml:space="preserve">248. Similar exchanges took place between the sales directors of companies active in the hygiene sector, within the framework of meetings known as "Team PCP."  </w:t>
        <w:br/>
        <w:t xml:space="preserve">The "Team PCP" meetings  </w:t>
        <w:br/>
        <w:t xml:space="preserve">249. The "Team PCP" meetings brought together the sales directors of certain companies active in the hygiene sector.  </w:t>
        <w:br/>
        <w:t>44</w:t>
      </w:r>
    </w:p>
    <w:p>
      <w:r>
        <w:t xml:space="preserve">250. The following developments establish the materiality of these meetings.  </w:t>
        <w:br/>
        <w:t xml:space="preserve">The origin of the "Team PCP" meetings  </w:t>
        <w:br/>
        <w:t xml:space="preserve">251. It emerges from the statements of the majority of participants and the director of the site "La maison des Arts et métiers" (references 24 282 to 24 333) that the "Team PCP" meetings began before the start of the year 2003, even at the entry into force of the Galland law in 1996 (references 22 568, 39 808, 40 044, and 723 of dossier 08/0084AC). Mr. Alain P..., former sales director of Beiersdorf, indicated that he became aware of the existence of this working group "at the end of 2002, beginning of 2003" (reference 22 321). Mr. Philippe F..., former sales director of Unilever, stated that he had his first contact with members of the "Team PCP" group during the year 2002 (rather at the end of the year) (reference 23 939).  </w:t>
        <w:br/>
        <w:t xml:space="preserve">252. The sporadic nature of these meetings (two to three times a year) combined with their age (3 to 4 years before the inspection and seizure operations) explains the absence of minutes or handwritten notes concerning them. The material elements allowing for the precise identification of the dates and the subject of the "Team PCP" meetings date, for the most part, to the earliest entry into force of the Dutreil circular, in July 2003. This date will be retained as the starting point for the "Team PCP" meetings.  </w:t>
        <w:br/>
        <w:t xml:space="preserve">The participants in the "Team PCP" meetings  </w:t>
        <w:br/>
        <w:t xml:space="preserve">253. After identifying the participants in the "Team PCP" meetings, the particular role played by Colgate-Palmolive in the meetings will be highlighted.  </w:t>
        <w:br/>
        <w:t xml:space="preserve">♦ Identification of participants in the "Team PCP" meetings  </w:t>
        <w:br/>
        <w:t xml:space="preserve">254. The eight companies that participated in the "Team PCP" meetings are identified in the following table:  </w:t>
        <w:br/>
        <w:t xml:space="preserve">Particular period of  </w:t>
        <w:br/>
        <w:t xml:space="preserve">COMPANIES REPRESENTATIVES FUNCTIONS  </w:t>
        <w:br/>
        <w:t xml:space="preserve">participation  </w:t>
        <w:br/>
        <w:t xml:space="preserve">BEIERSDORF Alain P... Sales Director Throughout the period  </w:t>
        <w:br/>
        <w:t xml:space="preserve">Until early 2004 (then  </w:t>
        <w:br/>
        <w:t xml:space="preserve">Denys E... Sales Director  </w:t>
        <w:br/>
        <w:t xml:space="preserve">retirement)  </w:t>
        <w:br/>
        <w:t xml:space="preserve">COLGATE-PALMOLIVE  </w:t>
        <w:br/>
        <w:t xml:space="preserve">From the second half of  </w:t>
        <w:br/>
        <w:t xml:space="preserve">Jean-François Q... Sales Director  </w:t>
        <w:br/>
        <w:t xml:space="preserve">the year 2003  </w:t>
        <w:br/>
        <w:t xml:space="preserve">Thierry R… Sales Director Until the end of 2004  </w:t>
        <w:br/>
        <w:t xml:space="preserve">GILLETTE  </w:t>
        <w:br/>
        <w:t xml:space="preserve">Alain A… Sales Director From February 2005  </w:t>
        <w:br/>
        <w:t xml:space="preserve">Maxime S... Sales Director Until the end of April 2005  </w:t>
        <w:br/>
        <w:t xml:space="preserve">HENKEL  </w:t>
        <w:br/>
        <w:t xml:space="preserve">Frédéric T... Sales Director From May 2005  </w:t>
        <w:br/>
        <w:t>45</w:t>
      </w:r>
    </w:p>
    <w:p>
      <w:r>
        <w:rPr>
          <w:b/>
        </w:rPr>
        <w:t>[Pages 46–48]</w:t>
      </w:r>
    </w:p>
    <w:p>
      <w:r>
        <w:t xml:space="preserve">Philippe F... Sales Director Until May 2004  </w:t>
        <w:br/>
        <w:t xml:space="preserve">LEVER-FABERGE  </w:t>
        <w:br/>
        <w:t xml:space="preserve">From the meeting of  </w:t>
        <w:br/>
        <w:t xml:space="preserve">UNILEVER Pierre I... Sales Director From 10/5/2004 until October 2005  </w:t>
        <w:br/>
        <w:t xml:space="preserve">Client Manager Was able to replace P. I... once  </w:t>
        <w:br/>
        <w:t xml:space="preserve">Olivier J... national or two before December 2004  </w:t>
        <w:br/>
        <w:t xml:space="preserve">VANIA Etienne X... Sales Director Throughout the period  </w:t>
        <w:br/>
        <w:t xml:space="preserve">PROCTER &amp; GAMBLE Thierry V… Sales Director Until the end of 2003  </w:t>
        <w:br/>
        <w:t xml:space="preserve">Commercial Manager within  </w:t>
        <w:br/>
        <w:t xml:space="preserve">Until the end of March 2004  </w:t>
        <w:br/>
        <w:t xml:space="preserve">Dominique W... the consumer products division  </w:t>
        <w:br/>
        <w:t xml:space="preserve">L’OREAL Sales Director of  </w:t>
        <w:br/>
        <w:t xml:space="preserve">Hervé 1... From November 2005  </w:t>
        <w:br/>
        <w:t xml:space="preserve">Lascad  </w:t>
        <w:br/>
        <w:t xml:space="preserve">255. Participants in the "Team PCP" meetings have been identified from the statements of companies from leniency applicants (references 13 and 14 of dossier 06/0019AC, 2 and 746 to 748 of dossier 08/0084AC) and from the statements of the individuals concerned, who, for the vast majority, acknowledged having participated in meetings with the sales directors of other companies active in the hygiene sector.  </w:t>
        <w:br/>
        <w:t xml:space="preserve">256. Regarding L’Oréal, it appears from the case documents that it participated in the "Team PCP" meetings during two distinct periods:  </w:t>
        <w:br/>
        <w:t xml:space="preserve">- until March 24, 2004, L’Oréal was represented by Mr. Dominique W..., an employee of L’Oréal (SA), commercial manager within the "consumer products" division;  </w:t>
        <w:br/>
        <w:t xml:space="preserve">- from November 2005, L’Oréal was represented by Mr. Hervé 1..., sales director of Lascad, a subsidiary of L’Oréal (references 8 156 to 8 158 (VC) / references 46 775 to 46 777 (VNC).  </w:t>
        <w:br/>
        <w:t xml:space="preserve">257. As with the findings regarding the "Team HP" meetings, the entry of a new participant into the group resulted from a form of co-optation, or, according to one of the participants, "knighthood" (reference 40 072).  </w:t>
        <w:br/>
        <w:t xml:space="preserve">258. The case documents show that the refusal to allow certain individuals access to the group aimed to limit the number of participants at the meetings (references 15 448, 22 550, and 22 548) or to ensure that the new entrant was of sufficient size (reference 22 550).  </w:t>
        <w:br/>
        <w:t xml:space="preserve">259. There was therefore a mechanism of co-optation, based both on the qualities of the employee likely to represent the company and the characteristics of the latter.  </w:t>
        <w:br/>
        <w:t xml:space="preserve">♦ The particular role of Colgate-Palmolive  </w:t>
        <w:br/>
        <w:t xml:space="preserve">260. While no company that participated in the "Team PCP" meetings played a predominant role in the material organization of the meetings, the case documents highlight the unique role played by Colgate-Palmolive in convening participants to the meetings (references 22 671, 44 137, and 23 939).  </w:t>
        <w:br/>
        <w:t xml:space="preserve">Presentation of the "Team PCP" meetings  </w:t>
        <w:br/>
        <w:t xml:space="preserve">261. The following developments allow for the establishment of the materiality of the "Team PCP" meetings, the dates of which could be determined. For each of them, the identity of the participating companies will be specified in tabular form, and for each, the evidence allowing to establish their presence. The proof of the presence of each company at each meeting relies, for each occurrence, on statements, notably from leniency applicants, meeting notes, internal reports, agenda excerpts, or even room reservations.  </w:t>
        <w:br/>
        <w:t xml:space="preserve">♦ Meeting of July 7, 2003  </w:t>
        <w:br/>
        <w:t xml:space="preserve">262. It emerges from the statements of six participants in the "Team PCP" meetings who acknowledge having discussed the interpretation of the Dutreil circular, immediately after its adoption or during the summer of 2003 (references 39 772, 39 809, 40 175, 40 212 (VC)/40597 (VNC), 40 044, and 40 507) combined with the agenda of Mr. Alain P... (Beiersdorf) (reference 40 116), the reservation on July 7, 2003, for 7 people at the restaurant Les Arts et Métiers, in the name of L’Oréal (reference 24 285) and the note of July 30, 2003, from Mr. Eric N... (reference 41 401), that a meeting took place on July 7, 2003, and brought together the sales directors of several companies active in the hygiene sector, namely Colgate-Palmolive, Vania, Beiersdorf, Unilever, Henkel, Gillette, and L’Oréal.  </w:t>
        <w:br/>
        <w:t xml:space="preserve">♦ Meeting of September 18, 2003  </w:t>
        <w:br/>
        <w:t xml:space="preserve">COMPANIES EVIDENCE  </w:t>
        <w:br/>
        <w:t xml:space="preserve">Notes from Benoit 2... taken during an internal meeting at Beiersdorf (references 14 850 and 14 851)  </w:t>
        <w:br/>
        <w:t xml:space="preserve">Beiersdorf  </w:t>
        <w:br/>
        <w:t xml:space="preserve">Minutes of August 29, 2006, from A. P... (reference 22 324) and August 30, 2006, from B. 2... (reference 22 328)  </w:t>
        <w:br/>
        <w:t xml:space="preserve">Procter &amp;  </w:t>
        <w:br/>
        <w:t xml:space="preserve">Meeting notes from B. 2...  </w:t>
        <w:br/>
        <w:t xml:space="preserve">Gamble  </w:t>
        <w:br/>
        <w:t xml:space="preserve">Colgate-  </w:t>
        <w:br/>
        <w:t xml:space="preserve">Meeting notes from B. 2...  </w:t>
        <w:br/>
        <w:t xml:space="preserve">Palmolive  </w:t>
        <w:br/>
        <w:t xml:space="preserve">Meeting notes from B. 2...  </w:t>
        <w:br/>
        <w:t xml:space="preserve">Henkel Room reservation (reference 24 252)  </w:t>
        <w:br/>
        <w:t xml:space="preserve">Minutes of July 9, 2012, from Mr. S... (reference 40 507)  </w:t>
        <w:br/>
        <w:t xml:space="preserve">Minutes of June 7, 2012, from T. R... (reference 40 043)  </w:t>
        <w:br/>
        <w:t xml:space="preserve">Gillette  </w:t>
        <w:br/>
        <w:t xml:space="preserve">Meeting notes from B. 2...  </w:t>
        <w:br/>
        <w:t xml:space="preserve">L’Oréal Meeting notes from B. 2...  </w:t>
        <w:br/>
        <w:t xml:space="preserve">Meeting notes from B. 2... containing information identified as concerning J&amp;J  </w:t>
        <w:br/>
        <w:t xml:space="preserve">Vania  </w:t>
        <w:br/>
        <w:t xml:space="preserve">Email from Johnson &amp; Johnson (reference 41 066)  </w:t>
        <w:br/>
        <w:t xml:space="preserve">♦ Meeting of October 21, 2003  </w:t>
        <w:br/>
        <w:t xml:space="preserve">COMPANIES EVIDENCE  </w:t>
        <w:br/>
        <w:t xml:space="preserve">Agenda of J.-F. Q... (reference 192 of dossier 06/0019AC)  </w:t>
        <w:br/>
        <w:t xml:space="preserve">Colgate-  </w:t>
        <w:br/>
        <w:t xml:space="preserve">Palmolive Company statement from Colgate-Palmolive (reference 186 of dossier 06/0019AC)  </w:t>
        <w:br/>
        <w:t xml:space="preserve">Procter &amp;  </w:t>
        <w:br/>
        <w:t xml:space="preserve">Room reservation (reference 24 253)  </w:t>
        <w:br/>
        <w:t xml:space="preserve">Gamble  </w:t>
        <w:br/>
        <w:t xml:space="preserve">♦ Meeting of November 26, 2003  </w:t>
        <w:br/>
        <w:t xml:space="preserve">COMPANIES EVIDENCE  </w:t>
        <w:br/>
        <w:t xml:space="preserve">Expense report from Mr. S... (reference 49 of dossier 08/0084AC)  </w:t>
        <w:br/>
        <w:t xml:space="preserve">Beiersdorf  </w:t>
        <w:br/>
        <w:t xml:space="preserve">Company statement from Henkel (reference 744 of dossier 08/0084AC)  </w:t>
        <w:br/>
        <w:t xml:space="preserve">Expense report from Mr. S...  </w:t>
        <w:br/>
        <w:t xml:space="preserve">Colgate-  </w:t>
        <w:br/>
        <w:t xml:space="preserve">Company statement from Henkel  </w:t>
        <w:br/>
        <w:t xml:space="preserve">Palmolive  </w:t>
        <w:br/>
        <w:t xml:space="preserve">Expense report from Mr. S...  </w:t>
        <w:br/>
        <w:t xml:space="preserve">L’Oréal  </w:t>
        <w:br/>
        <w:t xml:space="preserve">Company statement from Henkel  </w:t>
        <w:br/>
        <w:t xml:space="preserve">Expense report from Mr. S...  </w:t>
        <w:br/>
        <w:t xml:space="preserve">Henkel  </w:t>
        <w:br/>
        <w:t xml:space="preserve">Company statement from Henkel  </w:t>
        <w:br/>
        <w:t xml:space="preserve">♦ Meeting of December 2, 2003  </w:t>
        <w:br/>
        <w:t xml:space="preserve">COMPANIES EVIDENCE  </w:t>
        <w:br/>
        <w:t xml:space="preserve">Meeting notes from J.-F. Q... (references 708 to 710 of dossier 06/0019AC)  </w:t>
        <w:br/>
        <w:t xml:space="preserve">Beiersdorf Company statement from Colgate-Palmolive (reference 186 of dossier 06/0019AC)  </w:t>
        <w:br/>
        <w:t xml:space="preserve">Agenda of A. P... (reference 40 119)  </w:t>
        <w:br/>
        <w:t xml:space="preserve">Agenda (reference 194 of dossier 06/0019AC) and meeting notes from J.-F. Q...  </w:t>
        <w:br/>
        <w:t xml:space="preserve">Colgate-  </w:t>
        <w:br/>
        <w:t xml:space="preserve">Company statement from Colgate-Palmolive  </w:t>
        <w:br/>
        <w:t xml:space="preserve">Palmolive  </w:t>
        <w:br/>
        <w:t xml:space="preserve">Minutes of October 13, 2006, from D. E… (reference 22 570)  </w:t>
        <w:br/>
        <w:t xml:space="preserve">Meeting notes from J.-F. Q...  </w:t>
        <w:br/>
        <w:t xml:space="preserve">L’Oréal  </w:t>
        <w:br/>
        <w:t xml:space="preserve">Company statement from Colgate-Palmolive  </w:t>
        <w:br/>
        <w:t xml:space="preserve">Company statements from Henkel (reference 744 of dossier 08/0084AC) and Colgate-Palmolive  </w:t>
        <w:br/>
        <w:t xml:space="preserve">Henkel  </w:t>
        <w:br/>
        <w:t xml:space="preserve">Meeting notes from J.-F. Q...  </w:t>
        <w:br/>
        <w:t xml:space="preserve">Meeting notes from J.-F. Q...  </w:t>
        <w:br/>
        <w:t xml:space="preserve">Unilever Company statement from Colgate-Palmolive  </w:t>
        <w:br/>
        <w:t xml:space="preserve">Minutes of October 31, 2007, from P. F... (reference 23 942)  </w:t>
        <w:br/>
        <w:t xml:space="preserve">Meeting notes from J.-F. Q...  </w:t>
        <w:br/>
        <w:t xml:space="preserve">Company statement from Colgate-Palmolive  </w:t>
        <w:br/>
        <w:t xml:space="preserve">Vania  </w:t>
        <w:br/>
        <w:t xml:space="preserve">Room reservation (reference 24 254)  </w:t>
        <w:br/>
        <w:t xml:space="preserve">Minutes of April 23, 2012, from E. X... (reference 39 808)  </w:t>
        <w:br/>
        <w:t xml:space="preserve">♦ Meeting of March 24, 2004  </w:t>
        <w:br/>
        <w:t xml:space="preserve">COMPANIES EVIDENCE  </w:t>
        <w:br/>
        <w:t xml:space="preserve">Meeting notes from J.-F. Q... (references 716 and 717 of dossier 06/0019AC) and report from E. X... (reference 21 122)  </w:t>
        <w:br/>
        <w:t xml:space="preserve">Beiersdorf  </w:t>
        <w:br/>
        <w:t xml:space="preserve">Company statement from Colgate-Palmolive (reference 186 of dossier 06/0019AC)  </w:t>
        <w:br/>
        <w:t>Agenda of A. P... (reference 40 121)</w:t>
      </w:r>
    </w:p>
    <w:p>
      <w:r>
        <w:rPr>
          <w:b/>
        </w:rPr>
        <w:t>[Pages 49–51]</w:t>
      </w:r>
    </w:p>
    <w:p>
      <w:r>
        <w:t xml:space="preserve">Agenda (references 202 and 203 of dossier 06/0019AC) and meeting notes of J.-F. Q...  </w:t>
        <w:br/>
        <w:t xml:space="preserve">Meeting report of E. X...  </w:t>
        <w:br/>
        <w:t xml:space="preserve">Colgate-  </w:t>
        <w:br/>
        <w:t xml:space="preserve">Company statement of Colgate-Palmolive  </w:t>
        <w:br/>
        <w:t xml:space="preserve">Palmolive  </w:t>
        <w:br/>
        <w:t xml:space="preserve">Room reservation (reference 24 255)  </w:t>
        <w:br/>
        <w:t xml:space="preserve">Minutes of April 13, 2012, from D. E… (reference 39 770)  </w:t>
        <w:br/>
        <w:t xml:space="preserve">Minutes of October 31, 2007, from P. F... (reference 23 942)  </w:t>
        <w:br/>
        <w:t xml:space="preserve">Unilever Meeting notes of J.-F. Q... and meeting report of E. X...  </w:t>
        <w:br/>
        <w:t xml:space="preserve">Company statement of Colgate-Palmolive  </w:t>
        <w:br/>
        <w:t xml:space="preserve">Meeting notes of J.-F. Q... and meeting report of E. X...  </w:t>
        <w:br/>
        <w:t xml:space="preserve">L’Oréal Minutes of April 23, 2012, from E. X... (reference 39 810)  </w:t>
        <w:br/>
        <w:t xml:space="preserve">Company statement of Colgate-Palmolive  </w:t>
        <w:br/>
        <w:t xml:space="preserve">Meeting notes of J.-F. Q... and meeting report of E. X...  </w:t>
        <w:br/>
        <w:t xml:space="preserve">Gillette Company statement of Colgate-Palmolive  </w:t>
        <w:br/>
        <w:t xml:space="preserve">Minutes of June 7, 2012, from T. R... (reference 40 043)  </w:t>
        <w:br/>
        <w:t xml:space="preserve">Meeting report and minutes of October 10, 2006, from E. X... (reference 24 117)  </w:t>
        <w:br/>
        <w:t xml:space="preserve">Vania Meeting notes of J.-F. Q...  </w:t>
        <w:br/>
        <w:t xml:space="preserve">Company statement of Colgate-Palmolive  </w:t>
        <w:br/>
        <w:t xml:space="preserve">Meeting notes of J.-F. Q... and meeting report of E. X...  </w:t>
        <w:br/>
        <w:t xml:space="preserve">Henkel  </w:t>
        <w:br/>
        <w:t xml:space="preserve">Minutes of July 9, 2012, from M. S... (reference 40 507)  </w:t>
        <w:br/>
        <w:t xml:space="preserve">♦ Meeting of May 4, 2004  </w:t>
        <w:br/>
        <w:t xml:space="preserve">COMPANIES EVIDENCE  </w:t>
        <w:br/>
        <w:t xml:space="preserve">Meeting notes of J.-F. Q... (references 719 to 721 of dossier 06/0019AC)  </w:t>
        <w:br/>
        <w:t xml:space="preserve">Reservation made by A. P... (reference 24 256)  </w:t>
        <w:br/>
        <w:t xml:space="preserve">Beiersdorf  </w:t>
        <w:br/>
        <w:t xml:space="preserve">Company statement of Colgate-Palmolive (reference 186 of dossier 06/0019AC)  </w:t>
        <w:br/>
        <w:t xml:space="preserve">Minutes of June 15, 2012, from A. P... (reference 40 174)  </w:t>
        <w:br/>
        <w:t xml:space="preserve">Agenda (reference 208 of dossier 06/0019AC) and meeting notes of J.-F. Q...  </w:t>
        <w:br/>
        <w:t xml:space="preserve">Colgate-  </w:t>
        <w:br/>
        <w:t xml:space="preserve">Palmolive Company statement of Colgate-Palmolive  </w:t>
        <w:br/>
        <w:t xml:space="preserve">Meeting notes of J.-F. Q...  </w:t>
        <w:br/>
        <w:t xml:space="preserve">Gillette Company statement of Colgate-Palmolive  </w:t>
        <w:br/>
        <w:t xml:space="preserve">Minutes of June 7, 2012, from T. R... (reference 40 043)  </w:t>
        <w:br/>
        <w:t xml:space="preserve">Company statements of Henkel (reference 744 of dossier 08/0084AC) and Colgate-Palmolive  </w:t>
        <w:br/>
        <w:t xml:space="preserve">Henkel  </w:t>
        <w:br/>
        <w:t xml:space="preserve">Meeting notes of J.-F. Q...  </w:t>
        <w:br/>
        <w:t xml:space="preserve">Meeting notes of J.-F. Q...  </w:t>
        <w:br/>
        <w:t xml:space="preserve">Unilever  </w:t>
        <w:br/>
        <w:t xml:space="preserve">Company statement of Colgate-Palmolive  </w:t>
        <w:br/>
        <w:t xml:space="preserve">Meeting notes of J.-F. Q...  </w:t>
        <w:br/>
        <w:t xml:space="preserve">Vania Company statement of Colgate-Palmolive  </w:t>
        <w:br/>
        <w:t xml:space="preserve">Minutes of April 23, 2012, from E. X... (reference 39 808)  </w:t>
        <w:br/>
        <w:t xml:space="preserve">♦ Meeting of July 1, 2004  </w:t>
        <w:br/>
        <w:t xml:space="preserve">COMPANIES EVIDENCE  </w:t>
        <w:br/>
        <w:t xml:space="preserve">Meeting notes of A. P... (references 14 902 to 14 907)  </w:t>
        <w:br/>
        <w:t xml:space="preserve">Beiersdorf  </w:t>
        <w:br/>
        <w:t xml:space="preserve">Company statement of Colgate-Palmolive (reference 187 of dossier 06/0019AC)  </w:t>
        <w:br/>
        <w:t xml:space="preserve">Agenda of J.-F. Q... (reference 213 of dossier 06/0019AC)  </w:t>
        <w:br/>
        <w:t xml:space="preserve">Meeting notes of A. P...  </w:t>
        <w:br/>
        <w:t xml:space="preserve">Colgate-  </w:t>
        <w:br/>
        <w:t xml:space="preserve">Palmolive Company statement of Colgate-Palmolive  </w:t>
        <w:br/>
        <w:t xml:space="preserve">Room reservation (reference 24 257) and acceptance of commercial reservation (references 214 and 215 of dossier 06/0019AC)  </w:t>
        <w:br/>
        <w:t xml:space="preserve">Company statement of Colgate-Palmolive  </w:t>
        <w:br/>
        <w:t xml:space="preserve">Gillette Meeting notes of A. P...  </w:t>
        <w:br/>
        <w:t xml:space="preserve">Minutes of June 7, 2012, from T. R... (reference 40 043)  </w:t>
        <w:br/>
        <w:t xml:space="preserve">Company statements of Colgate-Palmolive and Henkel (reference 745 of dossier 08/0084AC)  </w:t>
        <w:br/>
        <w:t xml:space="preserve">Henkel  </w:t>
        <w:br/>
        <w:t xml:space="preserve">Meeting notes of A. P...  </w:t>
        <w:br/>
        <w:t xml:space="preserve">Meeting notes of A. P...  </w:t>
        <w:br/>
        <w:t xml:space="preserve">Vania Company statement of Colgate-Palmolive  </w:t>
        <w:br/>
        <w:t xml:space="preserve">Minutes of April 23, 2012, from E. X... (reference 39 808)  </w:t>
        <w:br/>
        <w:t xml:space="preserve">♦ Meeting of August 30, 2004  </w:t>
        <w:br/>
        <w:t xml:space="preserve">COMPANIES EVIDENCE  </w:t>
        <w:br/>
        <w:t xml:space="preserve">Meeting notes of J.-F. Q... (references 723 to 725 of dossier 06/0019AC)  </w:t>
        <w:br/>
        <w:t xml:space="preserve">Beiersdorf Company statement of Colgate-Palmolive (reference 187 of dossier 06/0019AC)  </w:t>
        <w:br/>
        <w:t xml:space="preserve">Agenda of A. P... (reference 40 125)  </w:t>
        <w:br/>
        <w:t xml:space="preserve">Agenda (reference 217 of dossier 06/0019AC) and meeting notes of J.-F. Q...  </w:t>
        <w:br/>
        <w:t xml:space="preserve">Colgate-  </w:t>
        <w:br/>
        <w:t xml:space="preserve">Palmolive Company statement of Colgate-Palmolive  </w:t>
        <w:br/>
        <w:t xml:space="preserve">Meeting notes of J.-F. Q...  </w:t>
        <w:br/>
        <w:t xml:space="preserve">Gillette Room reservation (reference 24 258)  </w:t>
        <w:br/>
        <w:t xml:space="preserve">Company statement of Colgate-Palmolive  </w:t>
        <w:br/>
        <w:t xml:space="preserve">Meeting notes of J.-F. Q...  </w:t>
        <w:br/>
        <w:t xml:space="preserve">Henkel  </w:t>
        <w:br/>
        <w:t xml:space="preserve">Company statements of Henkel (reference 745 of dossier 08/0084AC) and Colgate-Palmolive  </w:t>
        <w:br/>
        <w:t xml:space="preserve">Meeting notes of J.-F. Q...  </w:t>
        <w:br/>
        <w:t xml:space="preserve">Vania Company statement of Colgate-Palmolive  </w:t>
        <w:br/>
        <w:t xml:space="preserve">Minutes of April 23, 2012, from E. X... (reference 39 808)  </w:t>
        <w:br/>
        <w:t xml:space="preserve">♦ Meeting of October 5, 2004  </w:t>
        <w:br/>
        <w:t xml:space="preserve">COMPANIES EVIDENCE  </w:t>
        <w:br/>
        <w:t xml:space="preserve">Meeting notes of J.-F. Q... (references 727 to 729 of dossier 06/0019AC)  </w:t>
        <w:br/>
        <w:t xml:space="preserve">Beiersdorf Company statement of Colgate-Palmolive (reference 187 of dossier 06/0019AC)  </w:t>
        <w:br/>
        <w:t>Agenda of A. P... (reference 40 126)</w:t>
      </w:r>
    </w:p>
    <w:p>
      <w:r>
        <w:t xml:space="preserve">Agenda (reference 223 of dossier 06/0019AC) and meeting notes of J.-F. Q...  </w:t>
        <w:br/>
        <w:t xml:space="preserve">Colgate-  </w:t>
        <w:br/>
        <w:t xml:space="preserve">Palmolive Company statement of Colgate-Palmolive  </w:t>
        <w:br/>
        <w:t xml:space="preserve">Company statements of Henkel (reference 745 of dossier 08/0084AC) and Colgate-Palmolive  </w:t>
        <w:br/>
        <w:t xml:space="preserve">Henkel Restaurant reservation (reference 24 259)  </w:t>
        <w:br/>
        <w:t xml:space="preserve">Meeting notes of J.-F. Q...  </w:t>
        <w:br/>
        <w:t xml:space="preserve">Meeting notes of J.-F. Q...  </w:t>
        <w:br/>
        <w:t xml:space="preserve">Unilever  </w:t>
        <w:br/>
        <w:t xml:space="preserve">Company statement of Colgate-Palmolive  </w:t>
        <w:br/>
        <w:t xml:space="preserve">Meeting notes of J.-F. Q...  </w:t>
        <w:br/>
        <w:t xml:space="preserve">Vania Company statement of Colgate-Palmolive  </w:t>
        <w:br/>
        <w:t xml:space="preserve">Minutes of April 23, 2012, from E. X... (reference 39 808)  </w:t>
        <w:br/>
        <w:t xml:space="preserve">Meeting notes of J.-F. Q...  </w:t>
        <w:br/>
        <w:t xml:space="preserve">Gillette  </w:t>
        <w:br/>
        <w:t xml:space="preserve">Minutes of June 7, 2012, from T. R... (reference 40 043)  </w:t>
        <w:br/>
        <w:t xml:space="preserve">♦ Meeting of November 9, 2004  </w:t>
        <w:br/>
        <w:t xml:space="preserve">COMPANIES EVIDENCE  </w:t>
        <w:br/>
        <w:t xml:space="preserve">Meeting notes of J.-F. Q... (references 731 to 734 of dossier 06/0019AC)  </w:t>
        <w:br/>
        <w:t xml:space="preserve">Beiersdorf Company statement of Colgate-Palmolive (reference 187 of dossier 06/0019AC)  </w:t>
        <w:br/>
        <w:t xml:space="preserve">Agenda of A. P... (reference 40 127)  </w:t>
        <w:br/>
        <w:t xml:space="preserve">Agenda (reference 229 of dossier 06/0019AC) and meeting notes of J.-F. Q...  </w:t>
        <w:br/>
        <w:t xml:space="preserve">Colgate-  </w:t>
        <w:br/>
        <w:t xml:space="preserve">Restaurant reservation (reference 24 260)  </w:t>
        <w:br/>
        <w:t xml:space="preserve">Palmolive  </w:t>
        <w:br/>
        <w:t xml:space="preserve">Company statement of Colgate-Palmolive  </w:t>
        <w:br/>
        <w:t xml:space="preserve">Company statements of Henkel (reference 745 of dossier 08/0084AC) and Colgate-Palmolive  </w:t>
        <w:br/>
        <w:t xml:space="preserve">Henkel  </w:t>
        <w:br/>
        <w:t xml:space="preserve">Meeting notes of J.-F. Q...  </w:t>
        <w:br/>
        <w:t xml:space="preserve">Meeting notes of J.-F. Q...  </w:t>
        <w:br/>
        <w:t xml:space="preserve">Vania Company statement of Colgate-Palmolive  </w:t>
        <w:br/>
        <w:t xml:space="preserve">Minutes of April 23, 2012, from E. X... (reference 39 808)  </w:t>
        <w:br/>
        <w:t xml:space="preserve">Meeting notes of J.-F. Q...  </w:t>
        <w:br/>
        <w:t xml:space="preserve">Gillette Company statement of Colgate-Palmolive  </w:t>
        <w:br/>
        <w:t xml:space="preserve">Minutes of June 7, 2012, from T. R... (reference 40 044)  </w:t>
        <w:br/>
        <w:t xml:space="preserve">♦ Meeting of December 7, 2004  </w:t>
        <w:br/>
        <w:t xml:space="preserve">COMPANIES EVIDENCE  </w:t>
        <w:br/>
        <w:t xml:space="preserve">Agenda of J.-F. Q... (reference 239 of dossier 06/0019AC)  </w:t>
        <w:br/>
        <w:t xml:space="preserve">Colgate-  </w:t>
        <w:br/>
        <w:t xml:space="preserve">Palmolive Company statement of Colgate-Palmolive (reference 187 of dossier 06/0019AC)  </w:t>
        <w:br/>
        <w:t xml:space="preserve">Henkel Company statement of Henkel (reference 745 of dossier 08/0084AC)  </w:t>
        <w:br/>
        <w:t xml:space="preserve">Unilever Agenda (reference 18 657) and minutes of September 20, 2007, from P. I... (reference 23 926)  </w:t>
        <w:br/>
        <w:t xml:space="preserve">Room reservation (reference 24 261)  </w:t>
        <w:br/>
        <w:t xml:space="preserve">Vania  </w:t>
        <w:br/>
        <w:t>Minutes of April 23, 2012, from E. X... (reference 39 808)</w:t>
      </w:r>
    </w:p>
    <w:p>
      <w:r>
        <w:rPr>
          <w:b/>
        </w:rPr>
        <w:t>[Pages 52–54]</w:t>
      </w:r>
    </w:p>
    <w:p>
      <w:r>
        <w:t xml:space="preserve">♦ Meeting in mid-January 2005  </w:t>
        <w:br/>
        <w:t>263. It results from the leniency applications of Colgate-Palmolive (file reference 187 of dossier 06/0019AC) and Henkel (file reference 745 of dossier 08/0084AC), from the agenda and statements of Mr. Jean-François Q... (Colgate-Palmolive) (file references 241 of dossier 06/0019AC and 39 840), from a reservation of rooms at Arts et Métiers in Paris made by Unilever for 5 people (file references 24 300 to 24 302), from meeting notes and statements of Mr. Benoît 2... (Beiersdorf) (file references 14 797 and 14 798, 22 328), that a "Team PCP" meeting took place between January 17 and 20, 2005, among Beiersdorf, Unilever, Vania, Colgate-Palmolive, and Henkel.</w:t>
      </w:r>
    </w:p>
    <w:p>
      <w:r>
        <w:t xml:space="preserve">♦ Meeting of February 14, 2005  </w:t>
        <w:br/>
        <w:t xml:space="preserve">COMPANIES EVIDENCE  </w:t>
        <w:br/>
        <w:t xml:space="preserve">Notes from B. 2... (file references 14 795 and 14 796) and minutes of August 29, 2006, from A. P... (file reference 22 324)  </w:t>
        <w:br/>
        <w:t xml:space="preserve">Beiersdorf Meeting notes from J.-F. Q... (file references 736 to 738 of dossier 06/0019AC)  </w:t>
        <w:br/>
        <w:t xml:space="preserve">Company statement of Colgate-Palmolive (file reference 188 of dossier 06/0019AC)  </w:t>
        <w:br/>
        <w:t xml:space="preserve">Agenda (file reference 243 of dossier 06/0019AC) and meeting notes from J.-F. Q...  </w:t>
        <w:br/>
        <w:t xml:space="preserve">Colgate-  </w:t>
        <w:br/>
        <w:t xml:space="preserve">Room reservation (file reference 24 262)  </w:t>
        <w:br/>
        <w:t xml:space="preserve">Palmolive  </w:t>
        <w:br/>
        <w:t xml:space="preserve">Company statement of Colgate-Palmolive  </w:t>
        <w:br/>
        <w:t xml:space="preserve">Company statements of Henkel (file reference 745 of dossier 08/0084AC) and Colgate-Palmolive  </w:t>
        <w:br/>
        <w:t xml:space="preserve">Henkel Meeting notes from J.-F. Q...  </w:t>
        <w:br/>
        <w:t xml:space="preserve">Agenda (file reference 18 677) and minutes of July 17, 2007, from P. I... (file reference 23 931)  </w:t>
        <w:br/>
        <w:t xml:space="preserve">Unilever Meeting notes from J.-F. Q...  </w:t>
        <w:br/>
        <w:t xml:space="preserve">Company statement of Colgate-Palmolive  </w:t>
        <w:br/>
        <w:t xml:space="preserve">Meeting notes from J.-F. Q...  </w:t>
        <w:br/>
        <w:t xml:space="preserve">Vania Company statement of Colgate-Palmolive  </w:t>
        <w:br/>
        <w:t xml:space="preserve">Minutes of April 23, 2012, from E. X... (file reference 39 808)  </w:t>
        <w:br/>
        <w:t xml:space="preserve">Meeting notes from J.-F. Q...  </w:t>
        <w:br/>
        <w:t>Gillette Company statement of Colgate-Palmolive</w:t>
      </w:r>
    </w:p>
    <w:p>
      <w:r>
        <w:t xml:space="preserve">♦ Meeting of March 9, 2005  </w:t>
        <w:br/>
        <w:t xml:space="preserve">COMPANIES EVIDENCE  </w:t>
        <w:br/>
        <w:t xml:space="preserve">Agenda (file reference 251 of dossier 06/0019AC) and meeting notes from J.-F. Q... (file references 742 to 745 of dossier 06/0019AC)  </w:t>
        <w:br/>
        <w:t xml:space="preserve">Colgate-  </w:t>
        <w:br/>
        <w:t xml:space="preserve">Documents provided by Colgate-Palmolive that were exchanged during this meeting (file references 255 to 263 and 265 to 269 of dossier 06/0019AC)  </w:t>
        <w:br/>
        <w:t xml:space="preserve">Palmolive Company statement of Colgate-Palmolive (file reference 188 of dossier 06/0019AC)  </w:t>
        <w:br/>
        <w:t xml:space="preserve">Company statements of Henkel (file reference 745 of dossier 08/0084AC) and Colgate-Palmolive  </w:t>
        <w:br/>
        <w:t xml:space="preserve">Henkel Meeting notes from J.-F. Q...  </w:t>
        <w:br/>
        <w:t xml:space="preserve">Room reservation (file reference 24 263)  </w:t>
        <w:br/>
        <w:t xml:space="preserve">Meeting notes from J.-F. Q...  </w:t>
        <w:br/>
        <w:t xml:space="preserve">Vania Company statement of Colgate-Palmolive  </w:t>
        <w:br/>
        <w:t>Minutes of April 23, 2012, from E. X... (file reference 39 808)</w:t>
      </w:r>
    </w:p>
    <w:p>
      <w:r>
        <w:t xml:space="preserve">Notes from J.-F. Q...  </w:t>
        <w:br/>
        <w:t xml:space="preserve">Gillette Company statement of Colgate-Palmolive  </w:t>
        <w:br/>
        <w:t>Minutes of December 7, 2007, from A. A... (file reference 22 616)</w:t>
      </w:r>
    </w:p>
    <w:p>
      <w:r>
        <w:t xml:space="preserve">♦ Meeting of April 11, 2005  </w:t>
        <w:br/>
        <w:t xml:space="preserve">COMPANIES EVIDENCE  </w:t>
        <w:br/>
        <w:t xml:space="preserve">Meeting notes from J.-F. Q... (file references 747 to 750 of dossier 06/0019AC)  </w:t>
        <w:br/>
        <w:t xml:space="preserve">Beiersdorf Company statement of Colgate-Palmolive (file reference 188 of dossier 06/0019AC)  </w:t>
        <w:br/>
        <w:t xml:space="preserve">Agenda from A. P... (file reference 40 133)  </w:t>
        <w:br/>
        <w:t xml:space="preserve">Agenda (file reference 271 of dossier 06/0019AC) and meeting notes from J.-F. Q...  </w:t>
        <w:br/>
        <w:t xml:space="preserve">Colgate-  </w:t>
        <w:br/>
        <w:t xml:space="preserve">Palmolive Company statement of Colgate-Palmolive  </w:t>
        <w:br/>
        <w:t xml:space="preserve">Company statements of Henkel (file reference 745 of dossier 08/0084AC) and Colgate-Palmolive  </w:t>
        <w:br/>
        <w:t xml:space="preserve">Henkel Meeting notes from J.-F. Q...  </w:t>
        <w:br/>
        <w:t xml:space="preserve">Agenda from P. I... (file reference 18 693)  </w:t>
        <w:br/>
        <w:t xml:space="preserve">Unilever Meeting notes from J.-F. Q...  </w:t>
        <w:br/>
        <w:t xml:space="preserve">Company statement of Colgate-Palmolive  </w:t>
        <w:br/>
        <w:t xml:space="preserve">Minutes of April 23, 2012, from E. X... (file reference 39 808)  </w:t>
        <w:br/>
        <w:t xml:space="preserve">Room reservation (file reference 24 264)  </w:t>
        <w:br/>
        <w:t xml:space="preserve">Vania  </w:t>
        <w:br/>
        <w:t xml:space="preserve">Meeting notes from J.-F. Q...  </w:t>
        <w:br/>
        <w:t xml:space="preserve">Company statement of Colgate-Palmolive  </w:t>
        <w:br/>
        <w:t xml:space="preserve">Meeting notes from J.-F. Q...  </w:t>
        <w:br/>
        <w:t xml:space="preserve">Gillette Company statement of Colgate-Palmolive  </w:t>
        <w:br/>
        <w:t>Minutes of July 13, 2012, from A. A... (file reference 40 523)</w:t>
      </w:r>
    </w:p>
    <w:p>
      <w:r>
        <w:t xml:space="preserve">♦ Meeting of June 15, 2005  </w:t>
        <w:br/>
        <w:t xml:space="preserve">COMPANIES EVIDENCE  </w:t>
        <w:br/>
        <w:t xml:space="preserve">Agenda (file reference 281 of dossier 06/0019AC) and meeting notes from J.-F. Q... (file references 755 to 757 of dossier 06/0019AC)  </w:t>
        <w:br/>
        <w:t xml:space="preserve">Colgate-  </w:t>
        <w:br/>
        <w:t xml:space="preserve">Meeting notes from F. T... (file reference 462 of dossier 08/0084AC)  </w:t>
        <w:br/>
        <w:t xml:space="preserve">Palmolive Company statements of Colgate-Palmolive (file reference 189 of dossier 06/0019AC) and Henkel (file reference 746 of dossier 08/0084AC)  </w:t>
        <w:br/>
        <w:t xml:space="preserve">Meeting notes from F. T...  </w:t>
        <w:br/>
        <w:t xml:space="preserve">Henkel Company statements of Henkel (file reference 745 of dossier 08/0084AC) and Colgate-Palmolive  </w:t>
        <w:br/>
        <w:t xml:space="preserve">Meeting notes from J.-F. Q...  </w:t>
        <w:br/>
        <w:t xml:space="preserve">Minutes of April 23, 2012, from E. X... (file reference 39 808)  </w:t>
        <w:br/>
        <w:t xml:space="preserve">Vania Meeting notes from J.-F. Q... and F. T...  </w:t>
        <w:br/>
        <w:t xml:space="preserve">Company statements of Colgate-Palmolive and Henkel (file reference 748 of dossier 08/0084AC)  </w:t>
        <w:br/>
        <w:t xml:space="preserve">Room reservation (file reference 24269)  </w:t>
        <w:br/>
        <w:t xml:space="preserve">Meeting notes from J.-F. Q... and F. T...  </w:t>
        <w:br/>
        <w:t xml:space="preserve">Gillette  </w:t>
        <w:br/>
        <w:t xml:space="preserve">Company statements of Colgate-Palmolive and Henkel (file reference 747 of dossier 08/0084AC)  </w:t>
        <w:br/>
        <w:t>Minutes of July 13, 2012, from A. A... (file reference 40 523)</w:t>
      </w:r>
    </w:p>
    <w:p>
      <w:r>
        <w:t xml:space="preserve">♦ Meeting of July 11, 2005  </w:t>
        <w:br/>
        <w:t xml:space="preserve">COMPANIES EVIDENCE  </w:t>
        <w:br/>
        <w:t xml:space="preserve">Meeting notes from J.-F. Q... (file references 759 and 760 of dossier 06/0019AC) and F. T... (file reference 461 of dossier 08/0084AC)  </w:t>
        <w:br/>
        <w:t xml:space="preserve">Company statements of Henkel (file reference 746 of dossier 08/0084AC) and Colgate-Palmolive (file reference 789 of dossier 06/0019AC)  </w:t>
        <w:br/>
        <w:t xml:space="preserve">Beiersdorf Agenda from A. P... (file reference 40135)  </w:t>
        <w:br/>
        <w:t xml:space="preserve">Internal report from Benoit 2... (file references 14 804 and 14 805)  </w:t>
        <w:br/>
        <w:t xml:space="preserve">Meeting notes from J.-F. Q... and internal report from Benoit 2...  </w:t>
        <w:br/>
        <w:t xml:space="preserve">Room reservation (file reference 24 306)  </w:t>
        <w:br/>
        <w:t xml:space="preserve">Colgate-  </w:t>
        <w:br/>
        <w:t xml:space="preserve">Palmolive Meeting notes from F. T...  </w:t>
        <w:br/>
        <w:t xml:space="preserve">Company statements of Henkel (file reference 746 of dossier 08/0084AC) and Colgate-Palmolive  </w:t>
        <w:br/>
        <w:t xml:space="preserve">Meeting notes from F. T...  </w:t>
        <w:br/>
        <w:t xml:space="preserve">Henkel Meeting notes from J.-F. Q... and internal report from Benoit 2...  </w:t>
        <w:br/>
        <w:t xml:space="preserve">Company statements of Henkel (file reference 745 of dossier 08/0084AC) and Colgate-Palmolive  </w:t>
        <w:br/>
        <w:t xml:space="preserve">Company statements of Henkel (file reference 748 of dossier 08/0084AC) and Colgate-Palmolive  </w:t>
        <w:br/>
        <w:t xml:space="preserve">Vania Meeting notes from J.-F. Q... and F. T... and internal report from Benoit 2...  </w:t>
        <w:br/>
        <w:t>Minutes of April 23, 2012, from E. X... (file reference 39 808)</w:t>
      </w:r>
    </w:p>
    <w:p>
      <w:r>
        <w:rPr>
          <w:b/>
        </w:rPr>
        <w:t>[Pages 55–57]</w:t>
      </w:r>
    </w:p>
    <w:p>
      <w:r>
        <w:t xml:space="preserve">Notes from the meeting of J.-F. Q... and F. T... and internal report from Benoit 2...  </w:t>
        <w:br/>
        <w:t xml:space="preserve">Gillette Minutes of July 13, 2012, from A. A... (reference 40 523)  </w:t>
        <w:br/>
        <w:t xml:space="preserve">Company statement from Colgate-Palmolive  </w:t>
        <w:br/>
        <w:t xml:space="preserve">♦ Meeting of September 6, 2005  </w:t>
        <w:br/>
        <w:t xml:space="preserve">COMPANIES EVIDENCE  </w:t>
        <w:br/>
        <w:t xml:space="preserve">Beiersdorf Room reservation (reference 24270)  </w:t>
        <w:br/>
        <w:t xml:space="preserve">Agenda of J.-F. Q... (reference 285 of dossier 06/0019AC)  </w:t>
        <w:br/>
        <w:t xml:space="preserve">Colgate-  </w:t>
        <w:br/>
        <w:t xml:space="preserve">Palmolive Company statement from Colgate-Palmolive (reference 189 of dossier 06/0019AC)  </w:t>
        <w:br/>
        <w:t xml:space="preserve">Company statement from Henkel (reference 745 of dossier 08/0084AC)  </w:t>
        <w:br/>
        <w:t xml:space="preserve">Henkel Internal emails from F. T... dated 1/09/2005 (reference 33 of dossier 08/0084AC) and dated 7/09/2005 (references 78 and 79 of dossier 08/0084AC)  </w:t>
        <w:br/>
        <w:t xml:space="preserve">♦ Meeting of October 6, 2005  </w:t>
        <w:br/>
        <w:t xml:space="preserve">COMPANIES EVIDENCE  </w:t>
        <w:br/>
        <w:t xml:space="preserve">Agenda (reference 287 of dossier 06/0019AC) and notes from the meeting of J.-F. Q... (reference 762 of dossier 06/0019AC)  </w:t>
        <w:br/>
        <w:t xml:space="preserve">Colgate-  </w:t>
        <w:br/>
        <w:t xml:space="preserve">Company statement from Colgate-Palmolive (reference 189 of dossier 06/0019AC)  </w:t>
        <w:br/>
        <w:t xml:space="preserve">Palmolive  </w:t>
        <w:br/>
        <w:t xml:space="preserve">Notes from the meeting of F. T... (reference 458 of dossier 08/0084AC) and minutes from F. T... dated June 5, 2012 (reference 40 033)  </w:t>
        <w:br/>
        <w:t xml:space="preserve">Company statement from Henkel (reference 745 of dossier 08/0084AC)  </w:t>
        <w:br/>
        <w:t xml:space="preserve">Internal email from F. T... dated 23/09/2005 (reference 34 of dossier 08/0084AC), notes from the meeting of F. T... and minutes of F. T... dated June 5, 2012  </w:t>
        <w:br/>
        <w:t xml:space="preserve">Henkel  </w:t>
        <w:br/>
        <w:t xml:space="preserve">Internal email from Vania dated October 10, 2005 (reference 21 120)  </w:t>
        <w:br/>
        <w:t xml:space="preserve">Room reservation (reference 24271)  </w:t>
        <w:br/>
        <w:t xml:space="preserve">Internal email from Vania dated October 10, 2005  </w:t>
        <w:br/>
        <w:t xml:space="preserve">Unilever  </w:t>
        <w:br/>
        <w:t xml:space="preserve">Notes from the meeting of J.-F. Q...  </w:t>
        <w:br/>
        <w:t xml:space="preserve">Notes from the meeting of F. T... and minutes of F. T... dated June 5, 2012  </w:t>
        <w:br/>
        <w:t xml:space="preserve">Internal email from Vania dated October 10, 2005  </w:t>
        <w:br/>
        <w:t xml:space="preserve">Vania  </w:t>
        <w:br/>
        <w:t xml:space="preserve">Notes from the meeting of F. T... and minutes of F. T... dated June 5, 2012  </w:t>
        <w:br/>
        <w:t xml:space="preserve">Internal email from Vania dated October 10, 2005  </w:t>
        <w:br/>
        <w:t xml:space="preserve">Gillette Minutes of July 13, 2012, from A. A... (reference 40523)  </w:t>
        <w:br/>
        <w:t xml:space="preserve">Notes from the meeting of F. T... and minutes of F. T... dated June 5, 2012  </w:t>
        <w:br/>
        <w:t xml:space="preserve">Internal email from Vania dated October 10, 2005  </w:t>
        <w:br/>
        <w:t xml:space="preserve">Beiersdorf Agenda of A. P... (reference 40 137)  </w:t>
        <w:br/>
        <w:t>Notes from the meeting of F. T... and minutes of F. T... dated June 5, 2012</w:t>
      </w:r>
    </w:p>
    <w:p>
      <w:r>
        <w:t xml:space="preserve">♦ Meeting of November 9, 2005  </w:t>
        <w:br/>
        <w:t xml:space="preserve">COMPANIES EVIDENCE  </w:t>
        <w:br/>
        <w:t xml:space="preserve">Notes from the meeting of J.-F. Q... (references 764 to 766 of dossier 06/0019AC) and of F. T... (references 454 to 457 of dossier 08/0084AC)  </w:t>
        <w:br/>
        <w:t xml:space="preserve">Internal email from F. T... (reference 64 of dossier 08/0084AC)  </w:t>
        <w:br/>
        <w:t xml:space="preserve">Beiersdorf  </w:t>
        <w:br/>
        <w:t xml:space="preserve">Company statement from Henkel (reference 746 of dossier 08/0084AC)  </w:t>
        <w:br/>
        <w:t xml:space="preserve">Agenda of A. P... (reference 40 141)  </w:t>
        <w:br/>
        <w:t xml:space="preserve">Agenda (reference 290 of dossier 06/0019AC) and notes from the meeting of J.-F. Q...  </w:t>
        <w:br/>
        <w:t xml:space="preserve">Colgate- Notes from the meeting and internal email from F. T...  </w:t>
        <w:br/>
        <w:t xml:space="preserve">Palmolive  </w:t>
        <w:br/>
        <w:t xml:space="preserve">Company statements from Henkel (reference 746 of dossier 08/0084AC) and from Colgate-Palmolive (reference 189 of dossier 06/0019AC)  </w:t>
        <w:br/>
        <w:t xml:space="preserve">Notes from the meeting and internal email from F. T...  </w:t>
        <w:br/>
        <w:t xml:space="preserve">Room reservation (reference 24 275)  </w:t>
        <w:br/>
        <w:t xml:space="preserve">Henkel  </w:t>
        <w:br/>
        <w:t xml:space="preserve">Notes from the meeting of J.-F. Q...  </w:t>
        <w:br/>
        <w:t xml:space="preserve">Company statement from Henkel (reference 745 of dossier 08/0084AC)  </w:t>
        <w:br/>
        <w:t xml:space="preserve">Notes from the meeting of J.-F. Q... and of F. T...  </w:t>
        <w:br/>
        <w:t xml:space="preserve">L’Oréal Internal email from F. T...  </w:t>
        <w:br/>
        <w:t xml:space="preserve">Company statement from Henkel (reference 747 of dossier 08/0084AC)  </w:t>
        <w:br/>
        <w:t xml:space="preserve">Notes from the meeting of J.-F. Q... and of F. T...  </w:t>
        <w:br/>
        <w:t xml:space="preserve">Gillette Company statement from Henkel (reference 746 of dossier 08/0084AC)  </w:t>
        <w:br/>
        <w:t xml:space="preserve">Minutes of July 13, 2012, from A. A... (reference 40 523)  </w:t>
        <w:br/>
        <w:t xml:space="preserve">♦ Meeting of December 7, 2005  </w:t>
        <w:br/>
        <w:t xml:space="preserve">COMPANIES EVIDENCE  </w:t>
        <w:br/>
        <w:t xml:space="preserve">Notes from the meeting of J.-F. Q... (references 768 to 770 of dossier 06/0019AC)  </w:t>
        <w:br/>
        <w:t xml:space="preserve">Beiersdorf Company statement from Colgate-Palmolive (reference 189 of dossier 06/0019AC)  </w:t>
        <w:br/>
        <w:t xml:space="preserve">Minutes of June 15, 2012, from A. P... (reference 40 174)  </w:t>
        <w:br/>
        <w:t xml:space="preserve">Agenda (reference 293 of dossier 06/0019AC) and notes from the meeting of J.-F. Q...  </w:t>
        <w:br/>
        <w:t xml:space="preserve">Colgate-  </w:t>
        <w:br/>
        <w:t xml:space="preserve">Palmolive Company statement from Colgate-Palmolive  </w:t>
        <w:br/>
        <w:t xml:space="preserve">Notes from the meeting of J.-F. Q...  </w:t>
        <w:br/>
        <w:t xml:space="preserve">Henkel  </w:t>
        <w:br/>
        <w:t xml:space="preserve">Company statements from Colgate-Palmolive and from Henkel (reference 745 of dossier 08/0084AC)  </w:t>
        <w:br/>
        <w:t xml:space="preserve">Minutes of April 23, 2012, from E. X... (reference 39 808)  </w:t>
        <w:br/>
        <w:t xml:space="preserve">Notes from the meeting of J.-F. Q...  </w:t>
        <w:br/>
        <w:t xml:space="preserve">Vania  </w:t>
        <w:br/>
        <w:t xml:space="preserve">Company statement from Colgate-Palmolive  </w:t>
        <w:br/>
        <w:t xml:space="preserve">Room reservation (reference 24 276)  </w:t>
        <w:br/>
        <w:t xml:space="preserve">Notes from the meeting of J.-F. Q...  </w:t>
        <w:br/>
        <w:t xml:space="preserve">Gillette Company statement from Colgate-Palmolive  </w:t>
        <w:br/>
        <w:t>Minutes of July 13, 2012, from A. A... (reference 40 523)</w:t>
      </w:r>
    </w:p>
    <w:p>
      <w:r>
        <w:t xml:space="preserve">Minutes of March 30, 2007, from H. 1... (reference 22734 (VC)/reference 44 137 (VNC))  </w:t>
        <w:br/>
        <w:t xml:space="preserve">L’Oréal Notes from the meeting of J.-F. Q...  </w:t>
        <w:br/>
        <w:t xml:space="preserve">Company statement from Colgate-Palmolive  </w:t>
        <w:br/>
        <w:t xml:space="preserve">♦ Meeting at the beginning of January 2006  </w:t>
        <w:br/>
        <w:t xml:space="preserve">COMPANIES EVIDENCE  </w:t>
        <w:br/>
        <w:t xml:space="preserve">Notes from the meeting of J.-F. Q... (references 772 to 776 of dossier 06/0019AC)  </w:t>
        <w:br/>
        <w:t xml:space="preserve">Beiersdorf  </w:t>
        <w:br/>
        <w:t xml:space="preserve">Company statement from Colgate-Palmolive (reference 190 of dossier 06/0019AC)  </w:t>
        <w:br/>
        <w:t xml:space="preserve">Notes from the meeting of J.-F. Q...  </w:t>
        <w:br/>
        <w:t xml:space="preserve">Colgate-  </w:t>
        <w:br/>
        <w:t xml:space="preserve">Palmolive Company statement from Colgate-Palmolive  </w:t>
        <w:br/>
        <w:t xml:space="preserve">Notes from the meeting of J.-F. Q...  </w:t>
        <w:br/>
        <w:t xml:space="preserve">Henkel  </w:t>
        <w:br/>
        <w:t xml:space="preserve">Company statements from Henkel (reference 745 of dossier 08/0084AC) and from Colgate-Palmolive  </w:t>
        <w:br/>
        <w:t xml:space="preserve">Minutes of April 23, 2012, from E. X... (reference 39808)  </w:t>
        <w:br/>
        <w:t xml:space="preserve">Vania Notes from the meeting of J.-F. Q...  </w:t>
        <w:br/>
        <w:t xml:space="preserve">Company statement from Colgate-Palmolive  </w:t>
        <w:br/>
        <w:t xml:space="preserve">Notes from the meeting of J.-F. Q...  </w:t>
        <w:br/>
        <w:t xml:space="preserve">Gillette Company statement from Colgate-Palmolive  </w:t>
        <w:br/>
        <w:t xml:space="preserve">Minutes of July 13, 2012, from A. A... (reference 40 523)  </w:t>
        <w:br/>
        <w:t xml:space="preserve">Notes from the meeting of J.-F. Q...  </w:t>
        <w:br/>
        <w:t xml:space="preserve">L’Oréal Minutes of March 30, 2007, from H. 1... (reference 22 734 (VC)/reference 44 137 (VNC))  </w:t>
        <w:br/>
        <w:t xml:space="preserve">Company statement from Colgate-Palmolive  </w:t>
        <w:br/>
        <w:t xml:space="preserve">Conclusion on the "Team PCP" meetings  </w:t>
        <w:br/>
        <w:t xml:space="preserve">264. Between July 7, 2003, at least, and February 3, 2006, the sales directors in charge of the hygiene activity of the companies Beiersdorf, Colgate-Palmolive, Henkel, Vania, Gillette, and Unilever met several times at very regular intervals.  </w:t>
        <w:br/>
        <w:t xml:space="preserve">265. To this core group of participants, L’Oréal was added between the beginning of the practices and March 24, 2004, and then between November 2005 and February 3, 2006, and Procter &amp; Gamble between the beginning of the practices and December 2003.  </w:t>
        <w:br/>
        <w:t xml:space="preserve">266. In addition to these exchanges between sales directors, starting from the end of 2004, the sales directors of certain companies active in the hygiene and/or maintenance sector, or sometimes their commercial director, also met to discuss similar topics, within the framework of the so-called "Friends" meetings, described below.  </w:t>
        <w:br/>
        <w:t xml:space="preserve">The "Friends" meetings  </w:t>
        <w:br/>
        <w:t>267. Unlike the two meeting circles that have just been presented, the circle of "Friends," bisectorial, brought together, for most participants, executives at a hierarchical level lower than that of the sales directors.</w:t>
      </w:r>
    </w:p>
    <w:p>
      <w:r>
        <w:rPr>
          <w:b/>
        </w:rPr>
        <w:t>[Pages 58–60]</w:t>
      </w:r>
    </w:p>
    <w:p>
      <w:r>
        <w:t xml:space="preserve">The origin and evolution of the "Friends" meetings  </w:t>
        <w:br/>
        <w:t xml:space="preserve">♦ The origin of the "Friends" meetings  </w:t>
        <w:br/>
        <w:t xml:space="preserve">268. Unlike the two previously presented meeting circles, the "Friends" circle did not exist before 2004, even in a less organized form.  </w:t>
        <w:br/>
        <w:t xml:space="preserve">269. In their statements, the leniency applicants trace this exchange circle back to April 2004 (references 321 and 322 of dossier 08/0044AC and 839 and 840 of dossier 08/0084AC). However, the first meetings whose existence is established with certainty date back to September 2004.  </w:t>
        <w:br/>
        <w:t xml:space="preserve">270. The process that led to the emergence of the "Friends" group took place in two stages. A preparatory meeting was held on September 7, 2004, following an ILEC meeting. On this occasion, according to Mr. Michel 3... (SC Johnson), some suppliers decided to "organize themselves to resist the demands of large retailers regarding the application conditions of the Sarkozy agreement, as these were manifestly excessive and unbearable for the suppliers" (reference 73).  </w:t>
        <w:br/>
        <w:t xml:space="preserve">271. The "Friends" circle thus emerged within the framework of the Sarkozy commitment, which explains its bisectorial nature, the commitment itself being multisectoral. Following this meeting, which had no formal character, the foundation of the "Friends" group was realized by organizing the first meeting on September 21, 2004, after a commercial committee of the ILEC.  </w:t>
        <w:br/>
        <w:t xml:space="preserve">272. The meetings continued until the end of 2004 and throughout 2005, at an almost monthly pace, despite the end of the application of the Sarkozy commitment.  </w:t>
        <w:br/>
        <w:t xml:space="preserve">♦ The sector specialization of the "Friends" meetings  </w:t>
        <w:br/>
        <w:t xml:space="preserve">273. The disappearance of cross-cutting issues and the specific characteristics of each sector led to a gradual specialization of the "Friends" meetings, which resulted in a split into two groups at the end of 2005, thus duplicating the "Team HP" / "Team PCP" structure at a lower hierarchical level during a period when these latter meetings continued as well (references 1118 and 1119 of dossier 06/0018AC and 648 of dossier 06/0019AC).  </w:t>
        <w:br/>
        <w:t xml:space="preserve">274. This split can be dated to January 2006, with a first preparatory meeting taking place on January 19, 2006, between Colgate-Palmolive, Henkel, Beiersdorf, and Reckitt Benckiser.  </w:t>
        <w:br/>
        <w:t xml:space="preserve">275. This specialization into two structures modified the composition of the group participating in the "Friends" meetings. Indeed, two new companies active in the hygiene sector joined this exchange circle: Lascad, a subsidiary of the L'Oréal group, and Beiersdorf.  </w:t>
        <w:br/>
        <w:t xml:space="preserve">276. The "Friends" meetings, in the hygiene and maintenance sectors, ended as of February 3, 2006.  </w:t>
        <w:br/>
        <w:t xml:space="preserve">The participants in the "Friends" meetings  </w:t>
        <w:br/>
        <w:t xml:space="preserve">277. Compared to the "Team HP" and "Team PCP" meetings, the "Friends" meetings involved new companies. After identifying the companies participating in this third circle, the specific role of certain ones in organizing the meetings will be described.  </w:t>
        <w:br/>
        <w:t>278. The following table identifies the companies that participated in these meetings:</w:t>
      </w:r>
    </w:p>
    <w:p>
      <w:r>
        <w:t>| COMPANIES | REPRESENTATIVES | FUNCTIONS |</w:t>
        <w:br/>
        <w:t>|-----------|-----------------|-----------|</w:t>
        <w:br/>
        <w:t>| BOLTON SOLITAIRE (maintenance sector) | Eric N... | Country Manager |</w:t>
        <w:br/>
        <w:t>| | Grégory 4... | Sales Director |</w:t>
        <w:br/>
        <w:t>| | Nathalie Y... | Key Accounts Sales Director |</w:t>
        <w:br/>
        <w:t>| COLGATE-PALMOLIVE (bisectorial) | Gérard H... | National Accounts Director |</w:t>
        <w:br/>
        <w:t>| | France and International Clients Director |</w:t>
        <w:br/>
        <w:t>| HENKEL (bisectorial) | Guy O... | Brand Director |</w:t>
        <w:br/>
        <w:t>| | Frédéric T... | At the time of his participation, Brand Director. |</w:t>
        <w:br/>
        <w:t>| | Sébastien 5... | Brand Director |</w:t>
        <w:br/>
        <w:t>| SC JOHNSON (maintenance sector) | Michel 3... | Sales Director |</w:t>
        <w:br/>
        <w:t>| LABORATOIRES VENDOME (bisectorial, hygiene sector) | Emmanuel 6... | National Clients Manager since June 2005, previously only in the hygiene sector |</w:t>
        <w:br/>
        <w:t>| RECKITT BENCKISER (bisectorial) | Stéphane 7... | National Clients Director |</w:t>
        <w:br/>
        <w:t>| | Régis 8... | National Accounts Manager |</w:t>
        <w:br/>
        <w:t>| SARA LEE (bisectorial) | François D… | Sales Director |</w:t>
        <w:br/>
        <w:t>| | Daniel 9... | Group Brand Director |</w:t>
      </w:r>
    </w:p>
    <w:p>
      <w:r>
        <w:t xml:space="preserve">279. To this core, additional companies that participated in only one or two "Friends" meetings are added.  </w:t>
        <w:br/>
        <w:t xml:space="preserve">280. These include, on one hand, those that only participated in the meetings specialized in the hygiene sector at the end of the practice, namely Beiersdorf (through Mr. Benoit 2..., Key Accounts Director) and Lascad (through Mr. Jérôme 10..., Business Unit Manager).  </w:t>
        <w:br/>
        <w:t xml:space="preserve">281. On the other hand, there are companies that participated in these meetings for a limited period or on a single occasion: Unilever was represented by Mr. Olivier J..., once, at the very beginning of the practice. As for Gillette, it participated in two meetings, where it was represented by Mr. Denis 11...: those of September 21, 2004, and February 17, 2005.  </w:t>
        <w:br/>
        <w:t xml:space="preserve">282. The participants in the "Friends" meetings were identified from the statements of companies from the leniency applicants (references 3, 841 and 842 of dossier 08/0084AC, 323-324 of dossier 08/0044AC, 12 of dossier 06/0018AC and 11-12 of dossier 06/0019AC) and from the statements of the concerned individuals, all of whom acknowledged having participated in meetings with the sales directors of other companies active in the maintenance and/or hygiene sectors.  </w:t>
        <w:br/>
        <w:t xml:space="preserve">283. Most of the companies that took part in these meetings also participated in the "Team HP" and "Team PCP" circles. Participation at these two levels of meetings allowed these companies to cross-reference the information obtained within these different circles. This was highlighted by the statement of Mr. Alain P... (Beiersdorf) who stated that this "allows for cross-referencing information. It is certain that sometimes the members of group 5 [Team PCP] were spreading disinformation. The important thing is to cross-reference the information to form one's own idea of what is really happening" (reference 22 322).  </w:t>
        <w:br/>
        <w:t xml:space="preserve">♦ The specific role of certain companies in organizing the meetings  </w:t>
        <w:br/>
        <w:t xml:space="preserve">284. The statements of the companies in the context of their leniency applications (references 11 of dossier 06/0018AC, 11 of dossier 06/0019AC, 324 of dossier 08/0044AC and 842 of dossier 08/0084AC), the hearings of participants in the exchanges (references 77 and 46 705 to 46 707) and the reservation book of the restaurant "Le Royal Villiers" (references 24 229 to 24 246) show that the sales directors of Colgate-Palmolive and Henkel and, to a lesser extent, the sales director of SC Johnson played a predominant role in organizing the "Friends" meetings. They were responsible for reserving the restaurant room and convening the participants to the meetings.  </w:t>
        <w:br/>
        <w:t xml:space="preserve">Description of the "Friends" meetings  </w:t>
        <w:br/>
        <w:t xml:space="preserve">285. These meetings almost all took place at the restaurant "Le Royal Villiers." The proof of the presence of the companies at each of the meetings, presented in tabular form, relies on statements, notably from leniency applicants, meeting notes, internal reports, agenda excerpts, or even room reservations.  </w:t>
        <w:br/>
        <w:t xml:space="preserve">♦ Meeting of September 21, 2004  </w:t>
        <w:br/>
        <w:t>| COMPANIES | EVIDENCE |</w:t>
        <w:br/>
        <w:t>|-----------|----------|</w:t>
        <w:br/>
        <w:t>| Colgate-Palmolive | Expense note and agenda (references 548 and 546 of dossier 06/0018AC) and meeting notes from N. Y... (references 1 125 to 1 127 of dossier 06/0018AC) |</w:t>
        <w:br/>
        <w:t>| | Meeting notes from Henkel submitted during its leniency application (references 291 and 292 of dossier 08/0084AC) and seized during the OVS (references 27 808 and 27 809) |</w:t>
        <w:br/>
        <w:t>| | Company statements from Henkel (reference 322 of dossier 08/0044AC) and Colgate-Palmolive (reference 531 of dossier 06/0018AC) |</w:t>
        <w:br/>
        <w:t>| | Certificate from Mr. 3... dated March 8, 2006 (reference 78) |</w:t>
        <w:br/>
        <w:t>| SC Johnson | Meeting notes from N. Y... |</w:t>
        <w:br/>
        <w:t>| | Company statements from Henkel and Colgate-Palmolive |</w:t>
        <w:br/>
        <w:t>| | Minutes of September 11, 2006, from G. H... (reference 22 663) |</w:t>
        <w:br/>
        <w:t>| Henkel | Meeting notes from N. Y... |</w:t>
        <w:br/>
        <w:t>| | Company statements from Henkel and Colgate-Palmolive |</w:t>
        <w:br/>
        <w:t>| | Meeting notes from N. Y... |</w:t>
        <w:br/>
        <w:t>| Reckitt Benckiser | Meeting notes from Henkel |</w:t>
        <w:br/>
        <w:t>| | Company statements from Henkel and Colgate-Palmolive |</w:t>
        <w:br/>
        <w:t>| | Meeting notes from N. Y... |</w:t>
        <w:br/>
        <w:t>| Bolton Solitaire | Company statements from Henkel and Colgate-Palmolive |</w:t>
        <w:br/>
        <w:t>| | Minutes of June 20, 2012, from E. 6... (reference 40 197) |</w:t>
        <w:br/>
        <w:t>| | Meeting notes from N. Y... |</w:t>
        <w:br/>
        <w:t>| Laboratoires Vendôme | Meeting notes from Henkel |</w:t>
        <w:br/>
        <w:t>| | Company statements from Henkel and Colgate-Palmolive |</w:t>
      </w:r>
    </w:p>
    <w:p>
      <w:r>
        <w:rPr>
          <w:b/>
        </w:rPr>
        <w:t>[Pages 61–63]</w:t>
      </w:r>
    </w:p>
    <w:p>
      <w:r>
        <w:t xml:space="preserve">Notes of meeting from N. Y...  </w:t>
        <w:br/>
        <w:t xml:space="preserve">Sara Lee Notes of meeting from Henkel  </w:t>
        <w:br/>
        <w:t xml:space="preserve">Company statements from Henkel and Colgate-Palmolive  </w:t>
        <w:br/>
        <w:t xml:space="preserve">Notes of meeting from N. Y...  </w:t>
        <w:br/>
        <w:t xml:space="preserve">Gillette Notes of meeting from Henkel  </w:t>
        <w:br/>
        <w:t>Company statements from Henkel and Colgate-Palmolive</w:t>
      </w:r>
    </w:p>
    <w:p>
      <w:r>
        <w:t xml:space="preserve">♦ Meeting of November 4, 2004  </w:t>
        <w:br/>
        <w:t xml:space="preserve">COMPANIES EVIDENCE  </w:t>
        <w:br/>
        <w:t xml:space="preserve">Expense report (reference 557 of dossier 06/0018AC), agenda (reference 554 of dossier 06/0018AC) and notes of meeting from N. Y... (references 1 129 to 1 137 of dossier 06/0018AC)  </w:t>
        <w:br/>
        <w:t xml:space="preserve">Colgate-  </w:t>
        <w:br/>
        <w:t xml:space="preserve">Notes of meeting from E. 6... (references 13 702 to 13 704) and from F. D... (references 12 398 to 12 400)  </w:t>
        <w:br/>
        <w:t xml:space="preserve">Palmolive  </w:t>
        <w:br/>
        <w:t xml:space="preserve">Company statements from Colgate-Palmolive (reference 531 of dossier 06/0018AC) and from SC Johnson (reference 37 of dossier 05/0100AC)  </w:t>
        <w:br/>
        <w:t xml:space="preserve">Expense report (reference 14 153) and certificate dated March 8, 2006, from Mr. 3... (reference 77)  </w:t>
        <w:br/>
        <w:t xml:space="preserve">SC Johnson Notes of meeting from N. Y..., from E. 6... and from F. D...  </w:t>
        <w:br/>
        <w:t xml:space="preserve">Company statements from Colgate-Palmolive, SC Johnson and Henkel (reference 322 of dossier 08/0044AC)  </w:t>
        <w:br/>
        <w:t xml:space="preserve">Notes of meeting from N. Y..., from F. D... and from E. 6...  </w:t>
        <w:br/>
        <w:t xml:space="preserve">Henkel Company statements from Colgate-Palmolive, SC Johnson and Henkel  </w:t>
        <w:br/>
        <w:t xml:space="preserve">Minutes of June 5, 2012, from F. T... (reference 40 031)  </w:t>
        <w:br/>
        <w:t xml:space="preserve">Notes of meeting from E. 6..., from F. D... and from N. Y...  </w:t>
        <w:br/>
        <w:t xml:space="preserve">Reckitt  </w:t>
        <w:br/>
        <w:t xml:space="preserve">Benckiser Company statements from Colgate-Palmolive, SC Johnson and Henkel  </w:t>
        <w:br/>
        <w:t xml:space="preserve">Agenda from E. N... (reference 9 751)  </w:t>
        <w:br/>
        <w:t xml:space="preserve">Bolton  </w:t>
        <w:br/>
        <w:t xml:space="preserve">Notes of meeting from E. 6..., from N. Y... and from F. D...  </w:t>
        <w:br/>
        <w:t xml:space="preserve">Solitaire  </w:t>
        <w:br/>
        <w:t xml:space="preserve">Company statements from Colgate-Palmolive, SC Johnson and Henkel  </w:t>
        <w:br/>
        <w:t xml:space="preserve">Notes of meeting from N. Y...  </w:t>
        <w:br/>
        <w:t xml:space="preserve">Laboratoires  </w:t>
        <w:br/>
        <w:t xml:space="preserve">Vendôme Company statements from Colgate-Palmolive and Henkel  </w:t>
        <w:br/>
        <w:t xml:space="preserve">Notes of meeting from E. 6... and from N. Y....  </w:t>
        <w:br/>
        <w:t xml:space="preserve">Minutes of February 7, 2007, from N. Y... (reference 22 581)  </w:t>
        <w:br/>
        <w:t xml:space="preserve">Sara Lee  </w:t>
        <w:br/>
        <w:t xml:space="preserve">Internal notes from F. D...  </w:t>
        <w:br/>
        <w:t>Company statements from Colgate-Palmolive, SC Johnson and Henkel</w:t>
      </w:r>
    </w:p>
    <w:p>
      <w:r>
        <w:t xml:space="preserve">♦ Meeting of December 3, 2004  </w:t>
        <w:br/>
        <w:t xml:space="preserve">COMPANIES EVIDENCE  </w:t>
        <w:br/>
        <w:t xml:space="preserve">Agenda (reference 565 of dossier 06/0018AC), expense report (reference 567 of dossier 06/0018AC) and notes of meeting from N. Y... (references 1 139 to 1 142 of dossier 06/0018AC)  </w:t>
        <w:br/>
        <w:t xml:space="preserve">Notes of meeting from F. D... (reference 12 469), E. N... (references 9 591-9 593) and from E. 6... (references 13 735 and 13 736)  </w:t>
        <w:br/>
        <w:t xml:space="preserve">Colgate-  </w:t>
        <w:br/>
        <w:t xml:space="preserve">Palmolive Report from G. H... (references 343 and 344 of dossier 08/0044AC)  </w:t>
        <w:br/>
        <w:t xml:space="preserve">Company statements from Colgate-Palmolive (reference 531 of dossier 06/0018AC) and from Henkel (reference 322 of dossier 08/0044AC)  </w:t>
        <w:br/>
        <w:t xml:space="preserve">Notes of meeting from F. D..., from E. 6..., from E. N... and from N. Y... and report from G. H...  </w:t>
        <w:br/>
        <w:t xml:space="preserve">SC Johnson Company statements from Colgate-Palmolive and from Henkel  </w:t>
        <w:br/>
        <w:t xml:space="preserve">Minutes of April 12, 2012, from Mr. 3... (reference 39 758)  </w:t>
        <w:br/>
        <w:t xml:space="preserve">Notes of meeting from E. 6..., from E. N..., from N. Y... and from F. D...  </w:t>
        <w:br/>
        <w:t xml:space="preserve">Henkel Internal report and minutes of September 11, 2006, from G. H... (reference 22 664 (VC)/reference 43 894 (VNC))  </w:t>
        <w:br/>
        <w:t xml:space="preserve">Company statements from Henkel and Colgate-Palmolive  </w:t>
        <w:br/>
        <w:t xml:space="preserve">Notes of meeting from N. Y..., from E. N..., from E. 6... and from F. D...  </w:t>
        <w:br/>
        <w:t xml:space="preserve">Reckitt  </w:t>
        <w:br/>
        <w:t xml:space="preserve">Report from G. H...  </w:t>
        <w:br/>
        <w:t xml:space="preserve">Benckiser Company statements from Colgate-Palmolive and Henkel  </w:t>
        <w:br/>
        <w:t xml:space="preserve">Agenda (reference 9 759) and notes of meeting from E. N...  </w:t>
        <w:br/>
        <w:t xml:space="preserve">Notes of meeting from N. Y..., from E. 6... and from F. D...  </w:t>
        <w:br/>
        <w:t xml:space="preserve">Bolton  </w:t>
        <w:br/>
        <w:t xml:space="preserve">Solitaire Report from G. H...  </w:t>
        <w:br/>
        <w:t xml:space="preserve">Company statements from Colgate-Palmolive and Henkel  </w:t>
        <w:br/>
        <w:t xml:space="preserve">Notes of meeting from N. Y... and report from G. H...  </w:t>
        <w:br/>
        <w:t xml:space="preserve">Laboratoires  </w:t>
        <w:br/>
        <w:t xml:space="preserve">Vendôme Company statements from Colgate-Palmolive and Henkel  </w:t>
        <w:br/>
        <w:t xml:space="preserve">Internal email from R. 8... to F. D... (reference 12 735)  </w:t>
        <w:br/>
        <w:t xml:space="preserve">Notes of meeting from F. D..., E. N..., E. 6... and from N. Y... and report from G. H...  </w:t>
        <w:br/>
        <w:t xml:space="preserve">Sara Lee  </w:t>
        <w:br/>
        <w:t xml:space="preserve">Minutes of June 7, 2007, from R. 8... (reference 23 232)  </w:t>
        <w:br/>
        <w:t>Company statements from Colgate-Palmolive and Henkel</w:t>
      </w:r>
    </w:p>
    <w:p>
      <w:r>
        <w:t xml:space="preserve">♦ Meeting of January 14, 2005  </w:t>
        <w:br/>
        <w:t xml:space="preserve">COMPANIES EVIDENCE  </w:t>
        <w:br/>
        <w:t xml:space="preserve">Notes of meeting (references 1 144 to 1 146 of dossier 06/0018AC) and minutes of February 7, 2007, from N. Y... (reference 22 582)  </w:t>
        <w:br/>
        <w:t xml:space="preserve">Colgate-  </w:t>
        <w:br/>
        <w:t xml:space="preserve">Notes of meeting from E. 6... (reference 13767) and from E. N... (references 9 588 and 9 589)  </w:t>
        <w:br/>
        <w:t xml:space="preserve">Palmolive  </w:t>
        <w:br/>
        <w:t xml:space="preserve">Company statements from Colgate-Palmolive (reference 532 of dossier 06/0018AC) and from Henkel (reference 323 of dossier 08/0044AC)  </w:t>
        <w:br/>
        <w:t xml:space="preserve">Notes of meeting from N. Y... and from E. N...  </w:t>
        <w:br/>
        <w:t xml:space="preserve">Henkel  </w:t>
        <w:br/>
        <w:t xml:space="preserve">Company statements from Colgate-Palmolive and from Henkel  </w:t>
        <w:br/>
        <w:t xml:space="preserve">Agenda (reference 9 771) and notes of meeting from E. N...  </w:t>
        <w:br/>
        <w:t xml:space="preserve">Company statements from Colgate-Palmolive and from Henkel  </w:t>
        <w:br/>
        <w:t xml:space="preserve">Bolton  </w:t>
        <w:br/>
        <w:t xml:space="preserve">Solitaire Agenda (reference 22 461) and minutes of May 23, 2006, from G. 4... (reference 22 352)  </w:t>
        <w:br/>
        <w:t xml:space="preserve">Notes of meeting from N. Y...  </w:t>
        <w:br/>
        <w:t xml:space="preserve">Notes of meeting from N. Y...  </w:t>
        <w:br/>
        <w:t xml:space="preserve">Laboratoires  </w:t>
        <w:br/>
        <w:t xml:space="preserve">Vendôme Company statements from Colgate-Palmolive and from Henkel  </w:t>
        <w:br/>
        <w:t xml:space="preserve">Notes of meeting from N. Y..., from E. N... and from E. 6...  </w:t>
        <w:br/>
        <w:t xml:space="preserve">Sara Lee  </w:t>
        <w:br/>
        <w:t>Company statements from Colgate-Palmolive and from Henkel</w:t>
      </w:r>
    </w:p>
    <w:p>
      <w:r>
        <w:t xml:space="preserve">♦ Meeting of February 17, 2005  </w:t>
        <w:br/>
        <w:t xml:space="preserve">COMPANIES EVIDENCE  </w:t>
        <w:br/>
        <w:t xml:space="preserve">Agenda (reference 582 of dossier 06/0018AC), expense report (reference 584 of dossier 06/0018AC) and notes of meeting from N. Y... (references 1 148 to 1 151 of dossier 06/0018AC).  </w:t>
        <w:br/>
        <w:t xml:space="preserve">Colgate- Notes of meeting from E. 6... (references 13 812 to 13 815), from G. O... (references 346, 348 and 349 of dossier  </w:t>
        <w:br/>
        <w:t xml:space="preserve">Palmolive 08/0044AC), from G. 4... (references 10 271 and 10 272) and from E. N... (references 9 586 and 9 587)  </w:t>
        <w:br/>
        <w:t xml:space="preserve">Company statements from Colgate-Palmolive (reference 532 of dossier 06/0018AC), SC Johnson (reference 38 of  </w:t>
        <w:br/>
        <w:t xml:space="preserve">dossier 05/0100AC) and from Henkel (reference 323 of dossier 08/0044AC)  </w:t>
        <w:br/>
        <w:t xml:space="preserve">Expense report (reference 14 155) and certificate from Mr. 3... (reference 77)  </w:t>
        <w:br/>
        <w:t xml:space="preserve">SC Johnson Company statements from Colgate-Palmolive, SC Johnson and from Henkel  </w:t>
        <w:br/>
        <w:t xml:space="preserve">Notes of meeting from N. Y..., from G. 4..., from G. O..., from E. 6... and from E. N...  </w:t>
        <w:br/>
        <w:t xml:space="preserve">Notes of meeting from G. O...  </w:t>
        <w:br/>
        <w:t xml:space="preserve">Notes of meeting from E. 6..., from G. 4... and from E. N...  </w:t>
        <w:br/>
        <w:t xml:space="preserve">Henkel Notes of meeting from N. Y...  </w:t>
        <w:br/>
        <w:t xml:space="preserve">Company statements from Colgate-Palmolive, from SC Johnson and from Henkel  </w:t>
        <w:br/>
        <w:t xml:space="preserve">Room reservation (reference 24 233)  </w:t>
        <w:br/>
        <w:t xml:space="preserve">Notes of meeting from E. 6..., from G. 4..., from G. O..., from E. N... and from N. Y...  </w:t>
        <w:br/>
        <w:t xml:space="preserve">Reckitt  </w:t>
        <w:br/>
        <w:t xml:space="preserve">Benckiser Company statements from Colgate-Palmolive, SC Johnson and from Henkel  </w:t>
        <w:br/>
        <w:t xml:space="preserve">Agenda (reference 9 781) and notes of meeting from E. N...  </w:t>
        <w:br/>
        <w:t xml:space="preserve">Bolton  </w:t>
        <w:br/>
        <w:t xml:space="preserve">Company statements from Colgate-Palmolive, SC Johnson and from Henkel  </w:t>
        <w:br/>
        <w:t xml:space="preserve">Solitaire  </w:t>
        <w:br/>
        <w:t>Notes of meeting from G. 4..., from G. O..., from E. 6... and from N. Y...</w:t>
      </w:r>
    </w:p>
    <w:p>
      <w:r>
        <w:rPr>
          <w:b/>
        </w:rPr>
        <w:t>[Pages 64–66]</w:t>
      </w:r>
    </w:p>
    <w:p>
      <w:r>
        <w:t xml:space="preserve">Declarations of Colgate-Palmolive and Henkel  </w:t>
        <w:br/>
        <w:t xml:space="preserve">Laboratoires  </w:t>
        <w:br/>
        <w:t xml:space="preserve">Vendôme Meeting notes from N. Y... and G. O...  </w:t>
        <w:br/>
        <w:t xml:space="preserve">Meeting notes from E. N... and E. 6...  </w:t>
        <w:br/>
        <w:t xml:space="preserve">Sara Lee  </w:t>
        <w:br/>
        <w:t xml:space="preserve">Company declaration from SC Johnson  </w:t>
        <w:br/>
        <w:t xml:space="preserve">Meeting notes from G. O... and N. Y...  </w:t>
        <w:br/>
        <w:t xml:space="preserve">Gillette  </w:t>
        <w:br/>
        <w:t xml:space="preserve">Declarations of Colgate-Palmolive and Henkel  </w:t>
        <w:br/>
        <w:t xml:space="preserve">♦ Meeting of March 17, 2005  </w:t>
        <w:br/>
        <w:t xml:space="preserve">COMPANIES EVIDENCE  </w:t>
        <w:br/>
        <w:t xml:space="preserve">Agenda (reference 589 of dossier 06/0018AC), expense report (reference 591 of dossier 06/0018AC) and meeting notes from N. Y... (references 1153 to 1157 of dossier 06/0018AC).  </w:t>
        <w:br/>
        <w:t xml:space="preserve">Colgate-  </w:t>
        <w:br/>
        <w:t xml:space="preserve">Meeting notes from S. 7... (references 11 765 and 11 766)  </w:t>
        <w:br/>
        <w:t xml:space="preserve">Palmolive  </w:t>
        <w:br/>
        <w:t xml:space="preserve">Company declarations from Colgate-Palmolive (reference 532 of dossier 06/0018AC) and SC Johnson (reference 38 of dossier 05/0100AC)  </w:t>
        <w:br/>
        <w:t xml:space="preserve">Expense report (reference 14 155) and certificate dated March 8, 2006 from Mr. 3... (reference 77)  </w:t>
        <w:br/>
        <w:t xml:space="preserve">Meeting notes from S. 7...  </w:t>
        <w:br/>
        <w:t xml:space="preserve">SC Johnson  </w:t>
        <w:br/>
        <w:t xml:space="preserve">Company declarations from Colgate-Palmolive, SC Johnson and Henkel (reference 323 of dossier 08/0044AC)  </w:t>
        <w:br/>
        <w:t xml:space="preserve">Meeting notes from N. Y...  </w:t>
        <w:br/>
        <w:t xml:space="preserve">Expense report from G. H... (reference 40 015)  </w:t>
        <w:br/>
        <w:t xml:space="preserve">Meeting notes from N. Y... and S. 7...  </w:t>
        <w:br/>
        <w:t xml:space="preserve">Henkel  </w:t>
        <w:br/>
        <w:t xml:space="preserve">Company declarations from Colgate-Palmolive, SC Johnson and Henkel  </w:t>
        <w:br/>
        <w:t xml:space="preserve">Room reservation (reference 24 234)  </w:t>
        <w:br/>
        <w:t xml:space="preserve">Meeting notes from S. 7... and N. Y...  </w:t>
        <w:br/>
        <w:t xml:space="preserve">Reckitt  </w:t>
        <w:br/>
        <w:t xml:space="preserve">Benckiser Company declarations from Colgate-Palmolive, SC Johnson and Henkel  </w:t>
        <w:br/>
        <w:t xml:space="preserve">Agenda (reference 9 789) and minutes of May 24, 2006 from E. N... (reference 22 465)  </w:t>
        <w:br/>
        <w:t xml:space="preserve">Bolton  </w:t>
        <w:br/>
        <w:t xml:space="preserve">Meeting notes from N. Y... and S. 7...  </w:t>
        <w:br/>
        <w:t xml:space="preserve">Solitaire  </w:t>
        <w:br/>
        <w:t xml:space="preserve">Company declarations from Colgate-Palmolive, SC Johnson and Henkel  </w:t>
        <w:br/>
        <w:t xml:space="preserve">Meeting notes from N. Y...  </w:t>
        <w:br/>
        <w:t xml:space="preserve">Laboratoires  </w:t>
        <w:br/>
        <w:t xml:space="preserve">Vendôme Company declarations from Colgate-Palmolive and Henkel  </w:t>
        <w:br/>
        <w:t xml:space="preserve">Meeting notes from N. Y... and S. 7...  </w:t>
        <w:br/>
        <w:t xml:space="preserve">Sara Lee  </w:t>
        <w:br/>
        <w:t xml:space="preserve">Company declarations from Colgate-Palmolive, SC Johnson and Henkel  </w:t>
        <w:br/>
        <w:t xml:space="preserve">♦ Meeting of April 14, 2005  </w:t>
        <w:br/>
        <w:t xml:space="preserve">COMPANIES EVIDENCE  </w:t>
        <w:br/>
        <w:t xml:space="preserve">Agenda (reference 597 of dossier 06/0018AC), expense report (reference 599 of dossier 06/0018AC) and meeting notes from N. Y... (references 1 159 to 1 161 of dossier 06/0018AC)  </w:t>
        <w:br/>
        <w:t xml:space="preserve">Colgate-  </w:t>
        <w:br/>
        <w:t xml:space="preserve">Meeting notes from G. 4... (references 10 306 to 10 308), E. N... (references 9 594 and 9 595), E. 6... (reference 13606)  </w:t>
        <w:br/>
        <w:t xml:space="preserve">Palmolive  </w:t>
        <w:br/>
        <w:t xml:space="preserve">Company declarations from Colgate-Palmolive (reference 532 of dossier 06/0018AC), SC Johnson (reference 38 of dossier 05/0100AC) and Henkel (reference 323 of dossier 08/0044AC)  </w:t>
        <w:br/>
        <w:t>64</w:t>
      </w:r>
    </w:p>
    <w:p>
      <w:r>
        <w:t xml:space="preserve">Expense report from Mr. 3... (reference 14 154) and certificate dated March 8, 2006 (reference 77)  </w:t>
        <w:br/>
        <w:t xml:space="preserve">SC Johnson Meeting notes from N. Y..., E. N..., E. 6... and G. 4...  </w:t>
        <w:br/>
        <w:t xml:space="preserve">Company declarations from Colgate-Palmolive, SC Johnson and Henkel  </w:t>
        <w:br/>
        <w:t xml:space="preserve">Expense report from G. H... (reference 40 016)  </w:t>
        <w:br/>
        <w:t xml:space="preserve">Meeting notes from E. N..., E. 6... and N. Y...  </w:t>
        <w:br/>
        <w:t xml:space="preserve">Henkel  </w:t>
        <w:br/>
        <w:t xml:space="preserve">Company declarations from Colgate-Palmolive, SC Johnson and Henkel  </w:t>
        <w:br/>
        <w:t xml:space="preserve">Room reservation (reference 24 235)  </w:t>
        <w:br/>
        <w:t xml:space="preserve">Meeting notes from E. N... and G. 4...  </w:t>
        <w:br/>
        <w:t xml:space="preserve">Bolton  </w:t>
        <w:br/>
        <w:t xml:space="preserve">Meeting notes from N. Y... and E. 6...  </w:t>
        <w:br/>
        <w:t xml:space="preserve">Solitaire  </w:t>
        <w:br/>
        <w:t xml:space="preserve">Company declarations from Colgate-Palmolive, SC Johnson and Henkel  </w:t>
        <w:br/>
        <w:t xml:space="preserve">Meeting notes from N. Y...  </w:t>
        <w:br/>
        <w:t xml:space="preserve">Laboratoires  </w:t>
        <w:br/>
        <w:t xml:space="preserve">Company declarations from Colgate-Palmolive and Henkel  </w:t>
        <w:br/>
        <w:t xml:space="preserve">Vendôme  </w:t>
        <w:br/>
        <w:t xml:space="preserve">Minutes of June 20, 2012 from E. 6... (reference 40 198)  </w:t>
        <w:br/>
        <w:t xml:space="preserve">Minutes of September 27, 2006 from F. D... (reference 23 225)  </w:t>
        <w:br/>
        <w:t xml:space="preserve">Sara Lee Meeting notes from N. Y...  </w:t>
        <w:br/>
        <w:t xml:space="preserve">Company declarations from Colgate-Palmolive and Henkel  </w:t>
        <w:br/>
        <w:t xml:space="preserve">♦ Meeting of October 27, 2005  </w:t>
        <w:br/>
        <w:t xml:space="preserve">COMPANIES EVIDENCE  </w:t>
        <w:br/>
        <w:t xml:space="preserve">Agenda (reference 647 of dossier 06/0018AC) and expense report from N. Y... (reference 651 of dossier 06/0018AC)  </w:t>
        <w:br/>
        <w:t xml:space="preserve">Colgate-  </w:t>
        <w:br/>
        <w:t xml:space="preserve">Meeting notes from E. 6... (references 13 875 and 13 876) and G. 4... (references 10 138 to 10 141)  </w:t>
        <w:br/>
        <w:t xml:space="preserve">Palmolive  </w:t>
        <w:br/>
        <w:t xml:space="preserve">Company declaration from Colgate-Palmolive (reference 534 of dossier 06/0018AC)  </w:t>
        <w:br/>
        <w:t>65</w:t>
      </w:r>
    </w:p>
    <w:p>
      <w:r>
        <w:t xml:space="preserve">Meeting notes from E. 6... and G. 4...  </w:t>
        <w:br/>
        <w:t xml:space="preserve">SC Johnson  </w:t>
        <w:br/>
        <w:t xml:space="preserve">Minutes of April 12, 2012 from Mr. 3... (reference 39 758)  </w:t>
        <w:br/>
        <w:t xml:space="preserve">Expense report from G. H... (reference 40 025)  </w:t>
        <w:br/>
        <w:t xml:space="preserve">Henkel Meeting notes from G. 4... and E. 6...  </w:t>
        <w:br/>
        <w:t xml:space="preserve">Room reservation (reference 24 238)  </w:t>
        <w:br/>
        <w:t xml:space="preserve">Laboratoires  </w:t>
        <w:br/>
        <w:t xml:space="preserve">Meeting notes from E. 6...  </w:t>
        <w:br/>
        <w:t xml:space="preserve">Vendôme  </w:t>
        <w:br/>
        <w:t xml:space="preserve">Meeting notes from G. 4...  </w:t>
        <w:br/>
        <w:t xml:space="preserve">Bolton  </w:t>
        <w:br/>
        <w:t xml:space="preserve">Solitaire Meeting notes from E. 6...  </w:t>
        <w:br/>
        <w:t xml:space="preserve">Sara Lee Meeting notes from E. 6... and G. 4...  </w:t>
        <w:br/>
        <w:t xml:space="preserve">Reckitt  </w:t>
        <w:br/>
        <w:t xml:space="preserve">Meeting notes from E. 6... and G. 4...  </w:t>
        <w:br/>
        <w:t xml:space="preserve">Benckiser  </w:t>
        <w:br/>
        <w:t xml:space="preserve">♦ Meeting of November 30, 2005  </w:t>
        <w:br/>
        <w:t xml:space="preserve">COMPANIES EVIDENCE  </w:t>
        <w:br/>
        <w:t xml:space="preserve">Agenda (reference 653 of dossier 06/0018AC), expense report (reference 656 of dossier 06/0018AC) and meeting notes from N. Y... (reference 1 168 of dossier 06/0018AC)  </w:t>
        <w:br/>
        <w:t xml:space="preserve">Colgate-  </w:t>
        <w:br/>
        <w:t xml:space="preserve">Palmolive Company declarations from Colgate-Palmolive (reference 534 of dossier 06/0018AC), SC Johnson (reference 38 of dossier 05/0100AC) and Henkel (reference 323 of dossier 08/0044AC)  </w:t>
        <w:br/>
        <w:t xml:space="preserve">Agenda (reference 35) and expense report from Mr. 3... (reference 14 156)  </w:t>
        <w:br/>
        <w:t xml:space="preserve">SC Johnson Meeting notes from N. Y...  </w:t>
        <w:br/>
        <w:t xml:space="preserve">Company declarations from Colgate-Palmolive, SC Johnson and Henkel  </w:t>
        <w:br/>
        <w:t xml:space="preserve">Agenda (reference 10 929), minutes of September 11, 2006 (reference 22 664 (VC)/reference 43 894 (VNC)) and expense report from G. H... (reference 40 027)  </w:t>
        <w:br/>
        <w:t xml:space="preserve">Meeting notes from N. Y...  </w:t>
        <w:br/>
        <w:t xml:space="preserve">Henkel  </w:t>
        <w:br/>
        <w:t xml:space="preserve">Company declarations from Colgate-Palmolive, SC Johnson and Henkel  </w:t>
        <w:br/>
        <w:t xml:space="preserve">Room reservation (reference 24 239)  </w:t>
        <w:br/>
        <w:t xml:space="preserve">Meeting notes from N. Y...  </w:t>
        <w:br/>
        <w:t xml:space="preserve">Bolton  </w:t>
        <w:br/>
        <w:t xml:space="preserve">Solitaire Company declarations from Colgate-Palmolive, SC Johnson and Henkel  </w:t>
        <w:br/>
        <w:t xml:space="preserve">Meeting notes from N. Y...  </w:t>
        <w:br/>
        <w:t xml:space="preserve">Sara Lee Minutes of September 23, 2006 from F. D... (reference 23 225)  </w:t>
        <w:br/>
        <w:t xml:space="preserve">Company declarations from Colgate-Palmolive, SC Johnson and Henkel  </w:t>
        <w:br/>
        <w:t xml:space="preserve">♦ Meeting of January 19, 2006  </w:t>
        <w:br/>
        <w:t xml:space="preserve">COMPANIES EVIDENCE  </w:t>
        <w:br/>
        <w:t xml:space="preserve">Agenda (reference 152 of dossier 06/0019AC) and expense report from N. Y... (reference 154 of dossier 06/0019AC)  </w:t>
        <w:br/>
        <w:t xml:space="preserve">Minutes of February 7, 2007 from N. Y... (reference 22 577)  </w:t>
        <w:br/>
        <w:t xml:space="preserve">Colgate-  </w:t>
        <w:br/>
        <w:t xml:space="preserve">Palmolive Minutes of August 30, 2006 from B. 2... (reference 22 327)  </w:t>
        <w:br/>
        <w:t xml:space="preserve">Company declaration from Colgate-Palmolive (reference 23 of dossier 06/0019AC)  </w:t>
        <w:br/>
        <w:t>66</w:t>
      </w:r>
    </w:p>
    <w:p>
      <w:r>
        <w:rPr>
          <w:b/>
        </w:rPr>
        <w:t>[Pages 67–69]</w:t>
      </w:r>
    </w:p>
    <w:p>
      <w:r>
        <w:t xml:space="preserve">PV of N. Y... and B. 2...  </w:t>
        <w:br/>
        <w:t xml:space="preserve">Henkel PV of November 8, 2007, from S. 5... (reference 22 688)  </w:t>
        <w:br/>
        <w:t xml:space="preserve">Company statement of Colgate-Palmolive  </w:t>
        <w:br/>
        <w:t xml:space="preserve">PV of B. 2...  </w:t>
        <w:br/>
        <w:t xml:space="preserve">Beiersdorf PV of N. Y...  </w:t>
        <w:br/>
        <w:t xml:space="preserve">Company statement of Colgate-Palmolive  </w:t>
        <w:br/>
        <w:t xml:space="preserve">PV of N. Y...  </w:t>
        <w:br/>
        <w:t>Reckitt Benckiser Company statement of Colgate-Palmolive</w:t>
      </w:r>
    </w:p>
    <w:p>
      <w:r>
        <w:t>286. This meeting was a preparatory meeting aimed at organizing the "Friends" meetings specialized in the hygiene sector, which explains the presence of a new company, active only in this sector.</w:t>
      </w:r>
    </w:p>
    <w:p>
      <w:r>
        <w:t>♦ Meeting of January 26, 2006</w:t>
      </w:r>
    </w:p>
    <w:p>
      <w:r>
        <w:t xml:space="preserve">COMPANIES EVIDENCE  </w:t>
        <w:br/>
        <w:t xml:space="preserve">Agenda (reference 156 of dossier 06/0019AC), expense report (reference 158 of dossier 06/0019AC), meeting notes (references 699 to 705 of dossier 06/0019AC) and PV of February 7, 2007, from N. Y... (reference 22 583)  </w:t>
        <w:br/>
        <w:t xml:space="preserve">Colgate-Palmolive PV of April 3, 2007, from J. 10... (references 22 751 and 22 752), from September 12, 2006, from E. 6... (reference 24 098), from September 27, 2006, from F. D... (references 23 225 and 23 227) and from August 30, 2006, from B. 2... (reference 22 327)  </w:t>
        <w:br/>
        <w:t xml:space="preserve">Company statements of Colgate-Palmolive (reference 23 of dossier 06/0019AC) and Henkel (reference 841 of dossier 08/0084AC)  </w:t>
        <w:br/>
        <w:t xml:space="preserve">Statements from N. Y..., J. 10..., E. 6..., F. D... and B. 2...  </w:t>
        <w:br/>
        <w:t xml:space="preserve">Henkel Meeting notes from N. Y...  </w:t>
        <w:br/>
        <w:t xml:space="preserve">Company statements of Colgate-Palmolive and Henkel  </w:t>
        <w:br/>
        <w:t xml:space="preserve">Statement from B. 2...  </w:t>
        <w:br/>
        <w:t xml:space="preserve">Meeting notes from N. Y...  </w:t>
        <w:br/>
        <w:t xml:space="preserve">Beiersdorf Statement from N. Y..., J. 10..., E. 6... and F. D...  </w:t>
        <w:br/>
        <w:t xml:space="preserve">Company statements of Colgate-Palmolive and Henkel  </w:t>
        <w:br/>
        <w:t xml:space="preserve">Room reservation (references 14 884 to 14 892)  </w:t>
        <w:br/>
        <w:t xml:space="preserve">Statement from E. 6...  </w:t>
        <w:br/>
        <w:t xml:space="preserve">Meeting notes from N. Y...  </w:t>
        <w:br/>
        <w:t xml:space="preserve">Laboratoires Vendôme Statement from N. Y..., J. 10..., F. D... and B. 2...  </w:t>
        <w:br/>
        <w:t xml:space="preserve">Company statements of Colgate-Palmolive and Henkel  </w:t>
        <w:br/>
        <w:t xml:space="preserve">Statement from F. D...  </w:t>
        <w:br/>
        <w:t xml:space="preserve">Meeting notes from N. Y...  </w:t>
        <w:br/>
        <w:t xml:space="preserve">Sara Lee Statement from N. Y..., J. 10..., E. 6... and B. 2...  </w:t>
        <w:br/>
        <w:t xml:space="preserve">Company statements of Colgate-Palmolive and Henkel  </w:t>
        <w:br/>
        <w:t xml:space="preserve">Statement from J. 10...  </w:t>
        <w:br/>
        <w:t xml:space="preserve">Meeting notes from N. Y...  </w:t>
        <w:br/>
        <w:t xml:space="preserve">Lascad Statement from N. Y..., F. D..., E. 6... and B. 2...  </w:t>
        <w:br/>
        <w:t>Company statement of Colgate-Palmolive and Henkel</w:t>
      </w:r>
    </w:p>
    <w:p>
      <w:r>
        <w:t>287. This was the first meeting dedicated to the hygiene sector.</w:t>
      </w:r>
    </w:p>
    <w:p>
      <w:r>
        <w:t>♦ Meeting of February 3, 2006</w:t>
      </w:r>
    </w:p>
    <w:p>
      <w:r>
        <w:t xml:space="preserve">COMPANIES EVIDENCE  </w:t>
        <w:br/>
        <w:t xml:space="preserve">Agenda (reference 671 of dossier 06/0018AC) and meeting notes from N. Y... (reference 1170 of dossier 06/0018AC)  </w:t>
        <w:br/>
        <w:t xml:space="preserve">Colgate-Palmolive Company statement of Colgate-Palmolive (reference 535 of dossier 06/0018AC)  </w:t>
        <w:br/>
        <w:t xml:space="preserve">Certificate of March 8, 2006, from Mr. 3... (reference 77)  </w:t>
        <w:br/>
        <w:t xml:space="preserve">SC Johnson Meeting notes from N. Y...  </w:t>
        <w:br/>
        <w:t xml:space="preserve">Company statement of Colgate-Palmolive  </w:t>
        <w:br/>
        <w:t xml:space="preserve">Agenda (reference 10930) and PV of September 11, 2006, from G. H... (reference 22 664 (VC)/reference 43 894 (VNC))  </w:t>
        <w:br/>
        <w:t xml:space="preserve">Henkel Meeting notes from N. Y...  </w:t>
        <w:br/>
        <w:t xml:space="preserve">Company statements of Colgate-Palmolive and Henkel (reference 323 of dossier 08/0044AC)  </w:t>
        <w:br/>
        <w:t xml:space="preserve">PV of May 24, 2006, from E. N... (reference 22 465)  </w:t>
        <w:br/>
        <w:t xml:space="preserve">Bolton Meeting notes (reference 14 137) and PV of May 23, 2006, from G. 4... (reference 22 353)  </w:t>
        <w:br/>
        <w:t xml:space="preserve">Solitaire Company statement of Colgate-Palmolive  </w:t>
        <w:br/>
        <w:t xml:space="preserve">Meeting notes (reference 14 166) and PV of September 27, 2006, from F. D... (reference 23 225)  </w:t>
        <w:br/>
        <w:t xml:space="preserve">Sara Lee Meeting notes from N. Y...  </w:t>
        <w:br/>
        <w:t>Company statement of Colgate-Palmolive</w:t>
      </w:r>
    </w:p>
    <w:p>
      <w:r>
        <w:t>288. It was during this last meeting that the first operations of visit and seizure took place. Consequently, in addition to the documents mentioned above, the participation of these individuals in the meeting is confirmed by the visit and seizure reports drawn up at the restaurant "Le Royal Villiers." Only Mr. Gérard H... (Henkel) is not mentioned in these visit and seizure reports, as he left the meeting abruptly. During this occasion, documents from Mr. Grégory 4... and Eric N... of Bolton Solitaire, from Ms. Nathalie Y... of Colgate-Palmolive, from Mr. Michel 3... of SC Johnson, and from Mr. François D... of Sara Lee were seized.</w:t>
      </w:r>
    </w:p>
    <w:p>
      <w:r>
        <w:t>Conclusion on the "Friends" meetings</w:t>
      </w:r>
    </w:p>
    <w:p>
      <w:r>
        <w:t>289. The sales directors or, in some cases, the commercial directors of Bolton Solitaire, Colgate-Palmolive, Henkel, SC Johnson, Laboratoires Vendôme, Reckitt Benckiser, and Sara Lee met regularly, at a high frequency, between September 21, 2004, and February 3, 2006. At the beginning of 2006, two meetings specialized in hygiene products took place, bringing together some of these companies, as well as Beiersdorf and Lascad. Furthermore, Unilever participated in a meeting at the end of 2004, and Gillette participated in the meetings of September 21, 2004, and February 17, 2005.</w:t>
      </w:r>
    </w:p>
    <w:p>
      <w:r>
        <w:t>b) The "correspondences"</w:t>
      </w:r>
    </w:p>
    <w:p>
      <w:r>
        <w:t>290. In addition to the meetings, the existence of correspondences exchanged within the "Team PCP," "Team HP," and "Friends" circles is established. These exchanges involved almost the same companies that participated in the meetings. Through these correspondences, participants could obtain more precise and comprehensive information than that exchanged during the meetings. Furthermore, some of these documents compiled identical data at regular intervals (approximately every two months), which allowed for the follow-up of the meetings, complementing and verifying the information communicated during them.</w:t>
      </w:r>
    </w:p>
    <w:p>
      <w:r>
        <w:t xml:space="preserve">291. The examination of the characteristics of these correspondences highlights the complementarity between them and the meetings, based on two elements:  </w:t>
        <w:br/>
        <w:t xml:space="preserve">- the correspondences are organized, in almost all cases, between the same companies that participated in the meetings;  </w:t>
        <w:br/>
        <w:t>- when the correspondences are systematic, as is the case within the "Team HP" and "Team PCP" circles, the organization of these exchanges is linked to the conduct of the meetings.</w:t>
      </w:r>
    </w:p>
    <w:p>
      <w:r>
        <w:t>The identity of the participants in the correspondences and the meetings</w:t>
      </w:r>
    </w:p>
    <w:p>
      <w:r>
        <w:t>292. The correspondences took place within the same circles of companies as the meetings.</w:t>
      </w:r>
    </w:p>
    <w:p>
      <w:r>
        <w:t>The correspondences in the "Team PCP" circle</w:t>
      </w:r>
    </w:p>
    <w:p>
      <w:r>
        <w:t>293. In addition to having participated in the "Team PCP" meetings, the commercial directors of Colgate-Palmolive, Beiersdorf, Gillette, Henkel, Unilever, Vania, L'Oréal, and Procter &amp; Gamble (the last two having participated in the practice only during certain periods) exchanged "correspondences" that also involved Reckitt Benckiser and Laboratoires Vendôme.</w:t>
      </w:r>
    </w:p>
    <w:p>
      <w:r>
        <w:t>♦ The statements of leniency applicants</w:t>
      </w:r>
    </w:p>
    <w:p>
      <w:r>
        <w:t>294. The participation of the companies emerges, first of all, from the company statements of the leniency applicants (references 15 of dossier 06/0019AC and 748 of dossier 08/0084AC).</w:t>
      </w:r>
    </w:p>
    <w:p>
      <w:r>
        <w:t>♦ The material evidence</w:t>
      </w:r>
    </w:p>
    <w:p>
      <w:r>
        <w:t>295. In addition to these company statements, the identity of the participants in the correspondences exchanged in parallel with the "Team PCP" meetings is established from the contemporaneous documents of the facts.</w:t>
      </w:r>
    </w:p>
    <w:p>
      <w:r>
        <w:t>296. Tables titled "Team PCP" dated from the second half of 2005 and May 11, 2004, were seized at Lascad and Beiersdorf. They include the personal addresses of the commercial directors of Beiersdorf, Colgate-Palmolive, Henkel, Gillette, Unilever, Vania, Laboratoires Vendôme, Reckitt Benckiser, and Lascad (references 14 901 and 16 802). An identical document to these tables was provided by Henkel (reference 453 of dossier 08/0084AC).</w:t>
      </w:r>
    </w:p>
    <w:p>
      <w:r>
        <w:t>297. Colgate-Palmolive communicated to the Authority several tables relating to the evolution of the cumulative turnover to date of certain companies active in the hygiene sector. It emerges from the statements of its former employees that these tables had been "elaborated from [the turnover figures communicated by competing companies]" and that they were then sent to the participants in the exchange according to a principle of give-and-take (reference 22 571).</w:t>
      </w:r>
    </w:p>
    <w:p>
      <w:r>
        <w:t>298. Among these documents are individual tables relating to the cumulative turnover to date of Beiersdorf, Procter &amp; Gamble, Unilever, Gillette, Vania, Laboratoires Vendôme, Henkel, L'Oréal, and Reckitt Benckiser between March 2004 and December 2005 (references 317 to 396 of dossier 06/0019AC). There are also summary tables containing, in whole or in part, the same information on Colgate-Palmolive, Procter &amp; Gamble, Unilever, Henkel, Reckitt Benckiser, L'Oréal, Gillette, Laboratoires Vendôme, Beiersdorf, and Vania between March 2003 and December 2005 (references 398 to 472 of dossier 06/0019AC). These tables were prepared and communicated within short deadlines, often within the month that</w:t>
      </w:r>
    </w:p>
    <w:p>
      <w:r>
        <w:rPr>
          <w:b/>
        </w:rPr>
        <w:t>[Pages 70–72]</w:t>
      </w:r>
    </w:p>
    <w:p>
      <w:r>
        <w:t xml:space="preserve">the correspondence took place over a period extending, at least, from April 2003 to January 2006.  </w:t>
        <w:br/>
        <w:t xml:space="preserve">299. Some individual tables contain handwritten notes indicating that they were prepared by the sales directors of competing companies and sent to Colgate-Palmolive (references 320, 323, 324 of dossier 06/0019AC). Furthermore, on one of the tables related to Unilever provided by Colgate-Palmolive, the fax number of that company appears. Finally, some letters are accompanied by the business card of the sender (reference 370 of dossier 06/0019AC) or a letter on the letterhead of the company that sent it (references 349 and 350 of dossier 06/0019AC). These various elements confirm that the individual tables were indeed sent to Colgate-Palmolive by competitors.  </w:t>
        <w:br/>
        <w:t xml:space="preserve">♦ Statements of the participants in the correspondence  </w:t>
        <w:br/>
        <w:t xml:space="preserve">300. Finally, almost all participants in these exchanges acknowledged having participated in this correspondence (references 22 549, 22 611, 39 815, 23 940, 23 932, 22 676, and 40 191). The majority of participants specified that they received these documents at their personal homes.  </w:t>
        <w:br/>
        <w:t xml:space="preserve">♦ Conclusion  </w:t>
        <w:br/>
        <w:t xml:space="preserve">301. Unilever, Beiersdorf, Procter &amp; Gamble, Gillette, Vania, Henkel, L’Oréal, and Colgate-Palmolive, that is to say, the participants in the "Team PCP" meetings, to which Reckitt Benckiser and Laboratoires Vendôme are added, participated in exchanges of correspondence.  </w:t>
        <w:br/>
        <w:t xml:space="preserve">302. Regarding Procter &amp; Gamble, the company continued to participate in correspondence until the end of 2004, even though it had not participated in the "Team PCP" meetings since December 2003.  </w:t>
        <w:br/>
        <w:t xml:space="preserve">The correspondence in the "Team HP" circle  </w:t>
        <w:br/>
        <w:t xml:space="preserve">303. Correspondence of the same nature was exchanged among the participants in the "Team HP" meetings, namely Colgate-Palmolive, Henkel, Unilever, Procter &amp; Gamble, and Reckitt Benckiser.  </w:t>
        <w:br/>
        <w:t xml:space="preserve">♦ Statements of the leniency applicants  </w:t>
        <w:br/>
        <w:t xml:space="preserve">304. The identification of the companies that participated in correspondence within the "Team HP" circle arises, first of all, from the corporate statements of Colgate-Palmolive and Henkel (references 15 of dossier 06/0018AC and 318 of dossier 08/0044AC).  </w:t>
        <w:br/>
        <w:t xml:space="preserve">♦ Material evidence  </w:t>
        <w:br/>
        <w:t xml:space="preserve">305. In addition to these corporate statements, the identity of the participants in the correspondence exchanged in parallel with the "Team HP" meetings is established from contemporary evidence of the facts.  </w:t>
        <w:br/>
        <w:t xml:space="preserve">306. On the one hand, as in the hygiene sector, Colgate-Palmolive provided the Authority with tables relating to the evolution of the cumulative turnover to date of certain companies active in the maintenance sector. These tables, prepared according to a process identical to that which governed the tables exchanged within the framework of the "Team PCP" circle, were filled out based on data provided by competing companies and sent to the participants in the exchange according to a quid pro quo principle (references 22 564 and 22 565).  </w:t>
        <w:br/>
        <w:t xml:space="preserve">307. Among these documents are individual tables relating to the evolution of the cumulative turnover to date of Unilever, Procter &amp; Gamble, Henkel, and Reckitt Benckiser between March 2004 and December 2005 (references 756 to 789 of dossier 06/0018AC). There are also summary tables containing, in whole or in part, information on Colgate-Palmolive, Procter &amp; Gamble, Unilever, Henkel, and Reckitt Benckiser between March 2003 and December 2005 (references 790 to 844 of dossier 06/0018AC). These tables were prepared and communicated within short timeframes, often within the month following the date of the information. It follows that this correspondence took place over a period extending, at least, from April 2003 to January 2006.  </w:t>
        <w:br/>
        <w:t xml:space="preserve">308. Some documents show that certain individual tables were indeed transmitted to Colgate-Palmolive by competitors. Thus, on one of the tables related to Unilever, the fax number of the latter appears (reference 763 of dossier 06/0018AC). Furthermore, one of the documents is accompanied by the business card of the sender (reference 781 of dossier 06/0018AC).  </w:t>
        <w:br/>
        <w:t xml:space="preserve">309. On the other hand, documents seized at Sara Lee, which was only marginally associated with this correspondence, corroborate the existence of this correspondence. Thus, a document identical to the summary tables of turnover provided by Colgate-Palmolive, dated December 2002, contained information on Colgate-Palmolive, Reckitt Benckiser, Procter &amp; Gamble, Unilever, Henkel, and Sara Lee. A letter from Mr. Denys E... dated January 31, 2003 (reference 12 096), and summary tables of general sales conditions concerning Sara Lee, Reckitt Benckiser, SC Johnson, Colgate-Palmolive, Unilever, Henkel, and Procter &amp; Gamble, dated respectively March 31, 2003 (for the first three companies only) and December 12, 2003 (references 12 081 and 12 088), were also seized. These documents show that the correspondence existed as early as January 2003.  </w:t>
        <w:br/>
        <w:t xml:space="preserve">♦ Statements of the participants in the correspondence in the "Team HP" circle  </w:t>
        <w:br/>
        <w:t xml:space="preserve">310. Finally, the employees of the aforementioned companies all acknowledged having participated in exchanges of correspondence with other member companies of the "Team HP" circle (references 22 564, 22 558, 40 518, 43 909, and 22 680, 22 880, 23 940, 23 925, and 40 191 and 40 194).  </w:t>
        <w:br/>
        <w:t xml:space="preserve">♦ Conclusion  </w:t>
        <w:br/>
        <w:t xml:space="preserve">311. The participants in the "Team HP" meetings, namely Colgate-Palmolive, Henkel, Unilever, Procter &amp; Gamble, and Reckitt Benckiser, participated in exchanges of correspondence organized in parallel with the meetings.  </w:t>
        <w:br/>
        <w:t xml:space="preserve">The correspondence in the "Friends" circle  </w:t>
        <w:br/>
        <w:t xml:space="preserve">312. The "Friends" meetings were supplemented by correspondence among the participants, although they were less institutionalized than those that took place within the framework of the "Team HP" and "Team PCP" circles.  </w:t>
        <w:br/>
        <w:t xml:space="preserve">♦ Statements of the leniency applicants  </w:t>
        <w:br/>
        <w:t xml:space="preserve">313. This finding arises, first of all, from the statements of the leniency applicants (references 13 of dossier 06/0018AC, 12 of dossier 06/0019AC, 840 of dossier 08/0084AC, and 322 of dossier 08/0044AC). These exchanges were more intended to compensate for the absence of information communicated during the meetings than to send new or additional data (references 13 of dossier 06/0018AC and 12 of dossier 06/0019AC).  </w:t>
        <w:br/>
        <w:t xml:space="preserve">♦ Material evidence  </w:t>
        <w:br/>
        <w:t xml:space="preserve">314. The existence of these occasional correspondences is then corroborated by contemporary evidence of the facts.  </w:t>
        <w:br/>
        <w:t xml:space="preserve">315. First, in an email dated May 12, 2005, sent by Mr. Grégory 4... (Bolton Solitaire) to Ms. Nathalie Y... (Colgate-Palmolive), a summary table of the turnover developments of Bolton Solitaire for the period from January to April 2005 appears as an attachment (references 860 and 861 of dossier 06/0019AC, 1 231 and 1 232 of dossier 06/0018AC).  </w:t>
        <w:br/>
        <w:t xml:space="preserve">316. Second, in his handwritten notes related to the meeting of February 17, 2005, Mr. Emmanuel 6... indicated sending his prices and general sales conditions to Henkel, Bolton Solitaire, Colgate-Palmolive, SC Johnson, and Reckitt Benckiser (reference 24 100).  </w:t>
        <w:br/>
        <w:t xml:space="preserve">317. Third, pre-printed labels were seized at Bolton Solitaire, which contained the personal addresses of Messrs. Emmanuel 6..., Michel 3..., Gérard H..., Ms. Nathalie Y..., and Mr. Grégory 4..., all participants in the "Friends" meetings (references 10 060 to 10 065). The fact that these labels contain only the names of the participants in the "Friends" meetings shows that they were intended to be used among the participants in these contacts and that the companies had, at the very least, planned to resort to document exchanges by mail. Among the seized items, some labels were missing, which proves that they were indeed used for mailings.  </w:t>
        <w:br/>
        <w:t xml:space="preserve">♦ Statements of the participants in the correspondence in the "Friends" circle  </w:t>
        <w:br/>
        <w:t xml:space="preserve">318. Finally, most participants in the meetings acknowledged having exchanged documents among themselves by mail or email (references 22 666, 24 099, 39 929, and 39 930 and reference 76).  </w:t>
        <w:br/>
        <w:t xml:space="preserve">♦ Conclusion  </w:t>
        <w:br/>
        <w:t xml:space="preserve">319. Colgate-Palmolive, Henkel, SC Johnson, Laboratoires Vendôme, Bolton Solitaire, and Reckitt Benckiser exchanged correspondence within the framework of the "Friends" circle.  </w:t>
        <w:br/>
        <w:t xml:space="preserve">Organizational modalities intrinsically linked to the meetings  </w:t>
        <w:br/>
        <w:t xml:space="preserve">320. The importance given to correspondence varied according to the exchange circle to which it was related.  </w:t>
        <w:br/>
        <w:t xml:space="preserve">321. In particular, the correspondence exchanged among the members of the "Friends" circle was intended to meet a specific need and was not organized. Therefore, this correspondence will not be studied in this section.  </w:t>
        <w:br/>
        <w:t xml:space="preserve">322. On the other hand, the exchanges of correspondence parallel to the "Team HP" and "Team PCP" meetings were organized by the sales directors of Colgate-Palmolive, according to precise modalities, identical in both sectors, due to their recurring nature in the information exchange system established by the companies. They were intrinsically linked to the meeting circles they were intended to complement.  </w:t>
        <w:br/>
        <w:t xml:space="preserve">The exchanges on the organization of correspondence during the "Team HP" meetings  </w:t>
        <w:br/>
        <w:t>323. First of all, the handwritten notes taken by Mr. Jean-François Q... (Colgate-Palmolive) during the "Team HP" meetings on June 9, 2004, and December 6, 2004, show that</w:t>
      </w:r>
    </w:p>
    <w:p>
      <w:r>
        <w:rPr>
          <w:b/>
        </w:rPr>
        <w:t>[Pages 73–75]</w:t>
      </w:r>
    </w:p>
    <w:p>
      <w:r>
        <w:t xml:space="preserve">the participants at the meetings exchanged views on the organization of correspondence related to turnover on these two occasions.  </w:t>
        <w:br/>
        <w:t xml:space="preserve">324. During the "Team HP" meeting on June 9, 2004, Unilever expressed its agreement to participate in the correspondence related to turnover that existed previously among the participants. It specified that it would send individual information for each client on a quarterly basis (file reference 1 177 of dossier 06/0018AC).  </w:t>
        <w:br/>
        <w:t xml:space="preserve">325. During the "Team HP" meeting on December 6, 2004, the companies again exchanged views on the organization of information exchanges related to turnover (file reference 1 184 of dossier 06/0018AC). On this occasion, Mr. Jean-François Q... (Colgate-Palmolive) indicated that he would send blank tables for the first exchange related to the 2005 results. The system was to continue automatically.  </w:t>
        <w:br/>
        <w:t xml:space="preserve">The coordination of exchanges and the existence of solicitations by Colgate-Palmolive  </w:t>
        <w:br/>
        <w:t xml:space="preserve">326. Subsequently, the correspondence exchanged within the "Team HP" and "Team PCP" circles was coordinated by the successive sales directors of Colgate-Palmolive, Messrs. Denys E... and Jean-François Q..., who were also responsible for convening new participants to the meetings.  </w:t>
        <w:br/>
        <w:t xml:space="preserve">327. This finding is supported by the corporate statements of Colgate-Palmolive and Henkel and those of the former sales directors of Colgate-Palmolive (references 22 571, 22 565, 22 557, and 22 548).  </w:t>
        <w:br/>
        <w:t xml:space="preserve">328. The following material evidence corroborates this finding:  </w:t>
        <w:br/>
        <w:t xml:space="preserve">- seven similar letters in which Mr. Jean-François Q... requests certain of his counterparts to send turnover figures for specified periods (file references 308 to 314 of dossier 06/0019AC and 748 to 754 of dossier 06/0018AC);  </w:t>
        <w:br/>
        <w:t xml:space="preserve">- a letter dated April 5, 2004, from Mr. Denys E... to Mr. Jean-François Q... (file references 474 of dossier 06/0019AC and 846 of dossier 06/0018AC) which shows that Mr. Denys E... continued to ensure the coordination of written exchanges until his definitive departure from the company in early May 2004;  </w:t>
        <w:br/>
        <w:t xml:space="preserve">- a note dated January 14, 2003, from Mr. Alain Dominique 12... (Sara Lee) (file references 12 091 to 12 095 and 40 812), which shows that the sales director of Colgate-Palmolive requested his counterpart at Sara Lee to send documents, specifically pricing grids.  </w:t>
        <w:br/>
        <w:t xml:space="preserve">329. Thus, Colgate-Palmolive coordinated the correspondence that took place in parallel with the "Team HP" and "Team PCP" meetings by soliciting information from other participants, particularly when it concerned turnover figures and pricing grids.  </w:t>
        <w:br/>
        <w:t xml:space="preserve">The synthesis and sending of summary documents by Colgate-Palmolive  </w:t>
        <w:br/>
        <w:t xml:space="preserve">330. The solicitations from Colgate-Palmolive were effective: the participating companies in the exchange sent the information back to Colgate-Palmolive or provided it to him during the "Team HP" or "Team PCP" meetings. The sales directors of Colgate-Palmolive then took charge of synthesizing them into a single document.  </w:t>
        <w:br/>
        <w:t xml:space="preserve">331. This finding is supported by the statements of the former sales directors of Colgate-Palmolive (references 22 571, 22 565, 22 557, and 22 548), those of other participants in the exchanges (references 23 015, 22 880, 23 939, 22 657, 22 611, 24 116, 22 322, 22 676, 23 933, and 22 680), and the summary documents related to turnover provided by Colgate-Palmolive and Henkel (references 454 and 455 of dossier 06/0019AC) and seized at Sara Lee (references 12 103, 12 104, and 39 776) and Reckitt Benckiser (reference 113 22 to 11 326, 11 330, 11 331, 11 335 to 11 337).  </w:t>
        <w:br/>
        <w:t xml:space="preserve">332. It is therefore established that Colgate-Palmolive was responsible for the preparation of the summary documents and their sending to the various participants in the correspondence. The sending took place, in most cases, at the personal addresses of the participants.  </w:t>
        <w:br/>
        <w:t xml:space="preserve">Requests for confirmation of the content of certain tables  </w:t>
        <w:br/>
        <w:t xml:space="preserve">333. In some cases, the sales directors of Colgate-Palmolive did not request the participants in the correspondence to send filled tables but merely asked for validation of the content of the documents.  </w:t>
        <w:br/>
        <w:t xml:space="preserve">334. Thus, Colgate-Palmolive provided summary tables of the general sales conditions of its main competitors (file references 909 to 912 of dossier 06/0018AC and 540 to 543 of dossier 06/0019AC) dated December 12, 2003, for the tables related to the maintenance sector and January 23, 2004, and December 12, 2003, for those related to the hygiene sector. These tables contain information related to the general sales conditions of Colgate-Palmolive, Unilever, Henkel, Procter &amp; Gamble, SC Johnson, Eau écarlate, Savonnerie Bernard, Reckitt Benckiser, and Sara Lee, for the maintenance sector and of Colgate-Palmolive, Unilever, Henkel, Procter &amp; Gamble, Beiersdorf, L’Oréal, Gillette, Laboratoires Vendôme, Reckitt Benckiser, Werner, Sara Lee, Bourjois, Savonnerie Bernard, and Coty, for the hygiene sector.  </w:t>
        <w:br/>
        <w:t xml:space="preserve">335. Mr. Denys E... described the process of preparing these tables: "The GSCs sent by competitors were used to fill these tables. I also sometimes asked my competitors if my understanding of their GSCs was correct by sending them these tables for verification" (reference 39 774).  </w:t>
        <w:br/>
        <w:t xml:space="preserve">336. The existence of this document validation process is corroborated by the statements of most participants in the exchanges (references 40 045, 40 177, 40 600, 40 509, 40 519, and 40 814) and by a letter dated January 31, 2003, in which the former sales director of Colgate-Palmolive asked a representative of Sara Lee to verify the content of the tables related to his company's GSCs and to confirm confidential data (level of logistical discounts, calculation method, discounts related to payment conditions) (reference 12 096).  </w:t>
        <w:br/>
        <w:t xml:space="preserve">337. Once the content of these summary tables of GSCs was confirmed, they were exchanged among the participants (references 22 564, 22 570, 12 081, and 12 088).  </w:t>
        <w:br/>
        <w:t xml:space="preserve">338. It is therefore demonstrated that Colgate-Palmolive, on certain occasions, requested the participants in the exchange to confirm the content of the summary documents related to the general sales conditions that it prepared, before sending them to all participants or providing them to the participants during the "Team HP" or "Team PCP" meetings.  </w:t>
        <w:br/>
        <w:t xml:space="preserve">Conclusion on the correspondence  </w:t>
        <w:br/>
        <w:t xml:space="preserve">339. The existence of correspondence both in the maintenance sector and in the hygiene sector, within the framework of the "Friends" circle and the "Team HP" and "Team PCP" circles, in parallel with the meetings, is demonstrated. Regarding the two correspondences organized in parallel with the Team circles, they took place within a largely formalized system, coordinated by Colgate-Palmolive, the company being responsible for gathering information and preparing summaries to be sent to the participants. These practices began, at the latest, in the maintenance sector, in January 2003, and in the hygiene sector, in April 2003. They all ceased on February 3, 2006, the day of the search and seizure operations.  </w:t>
        <w:br/>
        <w:t xml:space="preserve">340. The file shows the complementarity between the correspondence and the meetings. On one hand, the correspondence involved almost the same companies. On the other hand, when this correspondence was organized formally, that is to say, in parallel with the "Team HP" and "Team PCP" meetings, it was coordinated by Colgate-Palmolive, which relied on the meetings to organize the correspondence and, in some cases, obtain the necessary information for the preparation of the exchanged documents. This correspondence therefore constitutes a component of the practices that took place within the framework of the "Team HP", "Team PCP", and "Friends" circles.  </w:t>
        <w:br/>
        <w:t xml:space="preserve">c) Bilateral and multilateral exchanges  </w:t>
        <w:br/>
        <w:t xml:space="preserve">341. The exchanges that have just been described were accompanied, in each of the two sectors, by bilateral or multilateral contacts that allowed them to be complemented and consolidated.  </w:t>
        <w:br/>
        <w:t xml:space="preserve">342. Firstly, the existence of this type of exchange can be established from the corporate statements of leniency applicants or the statements of their former employees.  </w:t>
        <w:br/>
        <w:t xml:space="preserve">343. In the maintenance sector, Mr. Michel 3... (SC Johnson) acknowledged having had bilateral contacts with Mr. François D... of Sara Lee, from the early 2000s until the first half of 2004, with an interruption in 2002 and/or 2003 (reference 72). He also reported exchanges with Mr. Eric N... (Bolton Solitaire), before the start of the "Friends" meetings (reference 75).  </w:t>
        <w:br/>
        <w:t xml:space="preserve">344. Mr. Najib 18... (SC Johnson) mentioned the existence of telephone contacts, two to three times a week, for over three years, between Mr. Michel 3... (SC Johnson) and employees of Reckitt Benckiser, Henkel, Colgate-Palmolive, Bolton Solitaire, Laboratoires Vendôme, and Sara Lee (reference 75).  </w:t>
        <w:br/>
        <w:t xml:space="preserve">345. Colgate-Palmolive revealed the existence of bilateral contacts with Henkel, which took place between January 9, 2004, and December 23, 2005 (reference 14 of dossier 06/0018AC).  </w:t>
        <w:br/>
        <w:t xml:space="preserve">346. Finally, Henkel reported exchanges with Colgate-Palmolive, Sara Lee, and Unilever, four or five times in 2005 (references 326 and 327 of dossier 08/0044AC).  </w:t>
        <w:br/>
        <w:t xml:space="preserve">347. In the hygiene sector, similar to its statements in the maintenance sector, Colgate-Palmolive revealed the existence of bilateral contacts, notably between itself and Henkel, between January 9, 2004, and December 23, 2005 (reference 13 of dossier 06/0019AC).  </w:t>
        <w:br/>
        <w:t xml:space="preserve">348. Henkel reported the existence of other exchanges, of a bilateral or multilateral nature with Colgate-Palmolive, Unilever, Vania, Beiersdorf, Reckitt Benckiser, Gillette, and L’Oréal (references 43 549 and 43 550 and reference 724 of dossier 08/0084AC).  </w:t>
        <w:br/>
        <w:t>349. Secondly, the file contains numerous pieces of evidence that establish the existence of contacts, of a bilateral or multilateral nature, in each of the two sectors, between companies that participated in the practices organized within the framework of the "Team HP", "Team PCP", and "Friends" meetings as well as in the correspondence, between the beginning of 2003 and February 3, 2006.</w:t>
      </w:r>
    </w:p>
    <w:p>
      <w:r>
        <w:rPr>
          <w:b/>
        </w:rPr>
        <w:t>[Pages 76–78]</w:t>
      </w:r>
    </w:p>
    <w:p>
      <w:r>
        <w:t xml:space="preserve">350. The tables below present, for each of the two sectors, the main bilateral or multilateral contacts, as well as the companies involved.  </w:t>
        <w:br/>
        <w:t xml:space="preserve">In the maintenance sector  </w:t>
        <w:br/>
        <w:t xml:space="preserve">Date Participants References  </w:t>
        <w:br/>
        <w:t xml:space="preserve">January 14, 2003 Colgate-Palmolive (Denys E...) and Sara Lee (Alain-Dominique 12...) Reference 12 091 to 12 095.  </w:t>
        <w:br/>
        <w:t xml:space="preserve">March 2003 Henkel (Alain G…) and Procter &amp; Gamble (Thierry V…) References 40 825 and 40 826.  </w:t>
        <w:br/>
        <w:t xml:space="preserve">During the summer SC Johnson (Michel 3...) and Bolton Solitaire (Eric N...) Reference 9 517  </w:t>
        <w:br/>
        <w:t xml:space="preserve">2003  </w:t>
        <w:br/>
        <w:t xml:space="preserve">July 30, 2003 SC Johnson (Michel 3...) and Bolton Solitaire (Eric N...) References 9 520 and 9 521.  </w:t>
        <w:br/>
        <w:t xml:space="preserve">During November Unilever and Procter &amp; Gamble References 330 and 355 of dossier 08/0044AC.  </w:t>
        <w:br/>
        <w:t xml:space="preserve">2003  </w:t>
        <w:br/>
        <w:t xml:space="preserve">During November Reckitt Benckiser and Colgate-Palmolive Reference 355 of dossier 08/0044AC  </w:t>
        <w:br/>
        <w:t xml:space="preserve">2003  </w:t>
        <w:br/>
        <w:t xml:space="preserve">November 20, 2003 Henkel (Gérard H...) and Unilever (Olivier J...) Reference 355 of dossier 08/0044AC  </w:t>
        <w:br/>
        <w:t xml:space="preserve">December 2003/ Colgate-Palmolive and Henkel Reference 22 577  </w:t>
        <w:br/>
        <w:t xml:space="preserve">January 2004  </w:t>
        <w:br/>
        <w:t xml:space="preserve">July 12 or 13, 2004 Colgate-Palmolive, Unilever, Reckitt Benckiser, References 9 579 and 9 580.  </w:t>
        <w:br/>
        <w:t xml:space="preserve">Procter &amp; Gamble, and Henkel  </w:t>
        <w:br/>
        <w:t xml:space="preserve">July/August 2004 Colgate-Palmolive and Henkel (Gérard H...) Reference 339 of dossier 08/0044AC.  </w:t>
        <w:br/>
        <w:t xml:space="preserve">July/August 2004 Procter &amp; Gamble and Henkel (Gérard H...) Reference 339 of dossier 08/0044AC.  </w:t>
        <w:br/>
        <w:t xml:space="preserve">July/August 2004 Unilever (Pierre I...) and Henkel (Gérard H...) Reference 339 of dossier 08/0044AC.  </w:t>
        <w:br/>
        <w:t xml:space="preserve">July/August 2004 Unilever (Pierre I...) and Colgate-Palmolive Reference 18 803.  </w:t>
        <w:br/>
        <w:t xml:space="preserve">July/August 2004 Unilever (Pierre I...) and Reckitt Benckiser Reference 18 803.  </w:t>
        <w:br/>
        <w:t xml:space="preserve">Early October 2004 Henkel (Gérard H...) and Procter &amp; Gamble Reference 10 932.  </w:t>
        <w:br/>
        <w:t xml:space="preserve">Early October 2004 Henkel (Gérard H...) and Unilever Reference 10 932.  </w:t>
        <w:br/>
        <w:t xml:space="preserve">Early October 2004 Henkel (Gérard H...) and Colgate-Palmolive Reference 10 932.  </w:t>
        <w:br/>
        <w:t xml:space="preserve">Early October 2004 Henkel (Gérard H...) and Reckitt Benckiser Reference 10 932.  </w:t>
        <w:br/>
        <w:t xml:space="preserve">October 2004 Henkel (Gérard H...) and Unilever (Olivier J...) Reference 10 934.  </w:t>
        <w:br/>
        <w:t>October 2004 Henkel (Gérard H...) and Colgate-Palmolive (Nathalie Y...) Reference 10 934.</w:t>
      </w:r>
    </w:p>
    <w:p>
      <w:r>
        <w:t xml:space="preserve">October 27, 2004 Henkel (Gérard H...), Unilever (Olivier J...), and Colgate-Palmolive (Nathalie Y...) Reference 10 933.  </w:t>
        <w:br/>
        <w:t xml:space="preserve">November 2004 Colgate-Palmolive (Nathalie Y...) and Henkel (Gérard H...) Reference 40 844.  </w:t>
        <w:br/>
        <w:t xml:space="preserve">November 2004 Henkel (Gérard H...) and Unilever (Olivier J...) References 40 843 and 40 845.  </w:t>
        <w:br/>
        <w:t xml:space="preserve">Between December 2 and SC Johnson and Sara Lee (François D...) Reference 12 464.  </w:t>
        <w:br/>
        <w:t xml:space="preserve">December 5, 2004  </w:t>
        <w:br/>
        <w:t xml:space="preserve">End of 2004/early 2005 Henkel (Gérard H...) and SC Johnson Reference 40 847.  </w:t>
        <w:br/>
        <w:t xml:space="preserve">January 14, 2005 Henkel (Amélie C...) and Reckitt Benckiser (Rémy M...) Reference 40 839.  </w:t>
        <w:br/>
        <w:t xml:space="preserve">January 24, 2005 Henkel (Amélie C...) and Unilever (Pierre I...) Reference 40 840.  </w:t>
        <w:br/>
        <w:t xml:space="preserve">Between March 30 and Reckitt Benckiser (Stéphane 7...) and Colgate-Palmolive Reference 11 775.  </w:t>
        <w:br/>
        <w:t xml:space="preserve">April 14, 2005  </w:t>
        <w:br/>
        <w:t xml:space="preserve">Between March 30 and Reckitt Benckiser (Stéphane 7...) and Henkel Reference 11 775.  </w:t>
        <w:br/>
        <w:t xml:space="preserve">April 14, 2005  </w:t>
        <w:br/>
        <w:t xml:space="preserve">Between March 30 and Reckitt Benckiser (Stéphane 7...) and Sara Lee Reference 11 775.  </w:t>
        <w:br/>
        <w:t xml:space="preserve">April 14, 2005  </w:t>
        <w:br/>
        <w:t xml:space="preserve">Between March 30 and Reckitt Benckiser (Stéphane 7...) and SC Johnson Reference 11 775.  </w:t>
        <w:br/>
        <w:t xml:space="preserve">April 14, 2005  </w:t>
        <w:br/>
        <w:t xml:space="preserve">Early August 2005 Colgate-Palmolive (Jean-François Q...) and Unilever Reference 45 806.  </w:t>
        <w:br/>
        <w:t xml:space="preserve">(Pierre I...)  </w:t>
        <w:br/>
        <w:t xml:space="preserve">September 6, 2005 Henkel (Gérard H...) and Colgate-Palmolive (Serge Cote 752 of dossier 08/0044AC), within the framework of the Euro club (an informal exchange circle that brings together sales directors, national account managers, or marketing directors of various consumer goods suppliers)  </w:t>
        <w:br/>
        <w:t xml:space="preserve">September 8, 2005 SC Johnson and Bolton Solitaire (M. 14...) Reference 10 334.  </w:t>
        <w:br/>
        <w:t xml:space="preserve">November 9, 2005 Henkel (Gérard H...) and Colgate-Palmolive (Serge Cote 748 of dossier 08/0044AC), within the framework of the Euro club  </w:t>
        <w:br/>
        <w:t xml:space="preserve">In the hygiene sector  </w:t>
        <w:br/>
        <w:t xml:space="preserve">Description of this exchange in the notification of  </w:t>
        <w:br/>
        <w:t xml:space="preserve">Date Participants  </w:t>
        <w:br/>
        <w:t xml:space="preserve">allegations or the administrative investigation report  </w:t>
        <w:br/>
        <w:t xml:space="preserve">January 22, 2003 Vania, Beiersdorf (Benoit 2...) and Colgate-Palmolive Reference 14 875.  </w:t>
        <w:br/>
        <w:t xml:space="preserve">End of November/beginning Unilever and Procter &amp; Gamble Reference 710 of dossier 06/0019AC.  </w:t>
        <w:br/>
        <w:t xml:space="preserve">December 2003  </w:t>
        <w:br/>
        <w:t xml:space="preserve">January 2004 Colgate-Palmolive and Henkel Reference 15 273.  </w:t>
        <w:br/>
        <w:t xml:space="preserve">July 5, 2004 Colgate-Palmolive and Unilever (Pierre I...) Reference 18 808.  </w:t>
        <w:br/>
        <w:t xml:space="preserve">July 12-13, 2004 Colgate-Palmolive, Unilever, Reckitt References 41 441 and 41 442.  </w:t>
        <w:br/>
        <w:t xml:space="preserve">Benckiser, Procter &amp; Gamble, and Henkel  </w:t>
        <w:br/>
        <w:t xml:space="preserve">July or August 2004 Colgate-Palmolive and Unilever (Pierre I...) Reference 18 805.  </w:t>
        <w:br/>
        <w:t xml:space="preserve">Early August 2005 Colgate-Palmolive (Jean-François Q...) and Reference 76 of dossier 08/0084AC.  </w:t>
        <w:br/>
        <w:t xml:space="preserve">Unilever (Pierre I...)  </w:t>
        <w:br/>
        <w:t>Early August 2005 Colgate-Palmolive (Jean-François Q...) and Reference 76 of dossier 08/0084AC.</w:t>
      </w:r>
    </w:p>
    <w:p>
      <w:r>
        <w:t xml:space="preserve">351. The subsequent presentation of the content of the exchanges will show that some of them played a central role in the practices as they constituted the foundation of an essential stage of consultation and allowed for the dissemination of positions decided in the formal meeting circles to other operators in the sector.  </w:t>
        <w:br/>
        <w:t xml:space="preserve">d) Conclusion on the implementation modalities of the practices  </w:t>
        <w:br/>
        <w:t xml:space="preserve">352. The file establishes the existence of an explicit coordination system between companies, in the form of meetings and correspondence, organized within three distinct exchange circles characterized by the interactions between the practices that make up each of these circles and by a strong identity of the participants. These are the following three circles:  </w:t>
        <w:br/>
        <w:t xml:space="preserve">• The "Team HP" circle in the maintenance sector (hereinafter "Cercle Team HP"), consisting of Team HP meetings, organized among sales directors, and the correspondence exchanged in parallel to these meetings. The latter were coordinated by Colgate-Palmolive, which relied on the Team HP meetings to organize them and, in some cases, obtain the necessary information for the preparation of the documents exchanged during the correspondence. Henkel, Unilever, Procter &amp; Gamble, Colgate-Palmolive, and Reckitt Benckiser participated in the Cercle Team HP. Participants' statements indicate that organized contacts within this circle existed at least since 2002. However, the material evidence in the file does not corroborate these statements. The beginning of the practices will therefore be dated from the first material evidence. The first material evidence establishing the existence of exchanges within the Cercle Team HP dates from January 2003 (correspondence regarding turnover at the end of December 2002 seized at Sara Lee). This circle lasted until February 3, 2006.  </w:t>
        <w:br/>
        <w:t xml:space="preserve">• The "Team PCP" circle in the hygiene sector (hereinafter "Cercle Team PCP"), consisting of "Team PCP" meetings, organized among sales directors, and the correspondence exchanged in parallel to these meetings. The latter were coordinated by Colgate-Palmolive, which relied on the Team PCP meetings to organize them and, in some cases, obtain the necessary information for the preparation of the documents exchanged during the correspondence. Beiersdorf, Colgate-Palmolive, Henkel, Vania, Gillette, Unilever, L'Oréal, Procter &amp; Gamble, and, for correspondence only, Reckitt Benckiser and Laboratoires Vendôme participated in the Cercle Team PCP. Participants' statements indicate that organized contacts within this circle existed at least since 2002. However, the material evidence in the file does not corroborate these statements. The beginning of the practices will therefore be dated from the first material evidence, despite the participants' statements. The first material evidence establishing the existence of exchanges within the Cercle Team PCP dates from April 2003 (correspondence regarding turnover at the end of March 2003 provided by Colgate-Palmolive). This circle lasted until February 3, 2006.  </w:t>
        <w:br/>
        <w:t>• The "Friends" circle in the hygiene and maintenance sectors (hereinafter "Cercle des Amis"), consisting of the "Friends" meetings and the correspondence.</w:t>
      </w:r>
    </w:p>
    <w:p>
      <w:r>
        <w:rPr>
          <w:b/>
        </w:rPr>
        <w:t>[Pages 79–81]</w:t>
      </w:r>
    </w:p>
    <w:p>
      <w:r>
        <w:t xml:space="preserve">organized in parallel to these meetings. The following participated in the Circle of Friends, in the hygiene sector: Colgate-Palmolive, Henkel, Laboratoires Vendôme, Reckitt Benckiser, and, for the meetings only, Sara Lee, Beiersdorf, Gillette (two meetings), Unilever (one meeting), and Lascad (one meeting). In the maintenance sector, the practices included Bolton Solitaire, SC Johnson, Colgate-Palmolive, Henkel, Reckitt Benckiser, and, for the meetings only, Sara Lee and Unilever (one meeting). The practices constituting the Circle of Friends began on September 21, 2004, and ended on February 3, 2006.  </w:t>
        <w:br/>
        <w:t xml:space="preserve">353. These various formalized and organized circles of exchanges were accompanied by bilateral or multilateral contacts in each of the two concerned sectors, which helped to complement and consolidate the previously described exchanges. The first identified bilateral contact dates back to January 14, 2003, in the maintenance sector and January 22, 2003, in the hygiene sector. These practices ended on February 3, 2006, in both sectors.  </w:t>
        <w:br/>
        <w:t xml:space="preserve">e) Summary table of the companies' participation in the exchanges  </w:t>
        <w:br/>
        <w:t>354. The participation of each company in the various exchanges is summarized in the table below.</w:t>
      </w:r>
    </w:p>
    <w:p>
      <w:r>
        <w:t xml:space="preserve">In the maintenance sector  </w:t>
        <w:br/>
        <w:t xml:space="preserve">Year Date of exchange Nature of exchange CP HKL UL PG SCJ BS RB SL LV  </w:t>
        <w:br/>
        <w:t xml:space="preserve">2003 January 2003 "Team HP" - correspondence x x x x x x  </w:t>
        <w:br/>
        <w:t xml:space="preserve">January 14, 2003 Bilateral contact x x  </w:t>
        <w:br/>
        <w:t xml:space="preserve">During March 2003 Bilateral contact x x  </w:t>
        <w:br/>
        <w:t xml:space="preserve">April 2003 "Team HP" - correspondence x x x x x  </w:t>
        <w:br/>
        <w:t xml:space="preserve">During summer 2003 Bilateral contact x x  </w:t>
        <w:br/>
        <w:t xml:space="preserve">During summer 2003 "Team HP" - meeting x x x x  </w:t>
        <w:br/>
        <w:t xml:space="preserve">July 30, 2003 Bilateral contact x x  </w:t>
        <w:br/>
        <w:t xml:space="preserve">September 2003 "Team HP" - correspondence x x x x x  </w:t>
        <w:br/>
        <w:t xml:space="preserve">October 2003 "Team HP" - correspondence x x x x x  </w:t>
        <w:br/>
        <w:t xml:space="preserve">During November 2003 Bilateral contact x x  </w:t>
        <w:br/>
        <w:t xml:space="preserve">During November 2003 Bilateral contact x x  </w:t>
        <w:br/>
        <w:t xml:space="preserve">November 20, 2003 Bilateral contact x x  </w:t>
        <w:br/>
        <w:t xml:space="preserve">December 9, 2003 "Team HP" - meeting x x x  </w:t>
        <w:br/>
        <w:t xml:space="preserve">December 2003/January 2004 Bilateral contact x x  </w:t>
        <w:br/>
        <w:t xml:space="preserve">December 2003/January 2004 "Team HP" - correspondence x x x x x  </w:t>
        <w:br/>
        <w:t xml:space="preserve">2004 January 2004 "Team HP" - correspondence x x x x x  </w:t>
        <w:br/>
        <w:t xml:space="preserve">April 2004 "Team HP" - correspondence x x x x x  </w:t>
        <w:br/>
        <w:t>6 Regarding the correspondence related to turnover, although the tables do not contain a specific date, the elements presented in points 656 and following show that the information was exchanged within short timeframes, often less than a month. As a result, each of the correspondence tables on turnover provided by Colgate-Palmolive or recorded in the companies shows the existence of exchanges between the companies during the month following the one for which information is provided (for data related to the end of December 2002, the information was exchanged in January 2003).</w:t>
      </w:r>
    </w:p>
    <w:p>
      <w:r>
        <w:t xml:space="preserve">Year Date of exchange Nature of exchange CP HKL UL PG SCJ BS RB SL LV  </w:t>
        <w:br/>
        <w:t xml:space="preserve">June 9, 2004 "Team HP" - meeting x x x x  </w:t>
        <w:br/>
        <w:t xml:space="preserve">July 5, 2004 "Team HP" - meeting x x x x x  </w:t>
        <w:br/>
        <w:t xml:space="preserve">July 12 or 13, 2004 Multilateral meeting x x x x x  </w:t>
        <w:br/>
        <w:t xml:space="preserve">July or August 2004 Bilateral contact x x  </w:t>
        <w:br/>
        <w:t xml:space="preserve">July or August 2004 Bilateral contact x x  </w:t>
        <w:br/>
        <w:t xml:space="preserve">July or August 2004 Bilateral contact x x  </w:t>
        <w:br/>
        <w:t xml:space="preserve">July or August 2004 Bilateral contact x x  </w:t>
        <w:br/>
        <w:t xml:space="preserve">July or August 2004 Bilateral contact x x  </w:t>
        <w:br/>
        <w:t xml:space="preserve">August 24, 2004 "Team HP" - meeting x x x  </w:t>
        <w:br/>
        <w:t xml:space="preserve">September 21, 2004 "Friends" - meeting x x x x x x  </w:t>
        <w:br/>
        <w:t xml:space="preserve">Early October 2004 Bilateral contact x x  </w:t>
        <w:br/>
        <w:t xml:space="preserve">Early October 2004 Bilateral contact x x  </w:t>
        <w:br/>
        <w:t xml:space="preserve">Early October 2004 Bilateral contact x x  </w:t>
        <w:br/>
        <w:t xml:space="preserve">Early October 2004 Bilateral contact x x  </w:t>
        <w:br/>
        <w:t xml:space="preserve">October 2004 "Team HP" - correspondence x x x x x  </w:t>
        <w:br/>
        <w:t xml:space="preserve">October 2004 Bilateral contact x x  </w:t>
        <w:br/>
        <w:t xml:space="preserve">October 2004 Bilateral contact x x  </w:t>
        <w:br/>
        <w:t xml:space="preserve">October 27, 2004 Trilateral contact x x x  </w:t>
        <w:br/>
        <w:t xml:space="preserve">November 2004 Bilateral contact x x  </w:t>
        <w:br/>
        <w:t xml:space="preserve">November 2004 Bilateral contact x x  </w:t>
        <w:br/>
        <w:t xml:space="preserve">November 4, 2004 "Friends" - meeting x x x x x x  </w:t>
        <w:br/>
        <w:t xml:space="preserve">November 15, 2004 "Team HP" - meeting x x x  </w:t>
        <w:br/>
        <w:t>December 3, 2004 "Friends" - meeting x x x x x x</w:t>
      </w:r>
    </w:p>
    <w:p>
      <w:r>
        <w:rPr>
          <w:b/>
        </w:rPr>
        <w:t>[Pages 82–84]</w:t>
      </w:r>
    </w:p>
    <w:p>
      <w:r>
        <w:t xml:space="preserve">Year Date of Exchange Nature of Exchange CP HKL UL PG SCJ BS RB SL LV  </w:t>
        <w:br/>
        <w:t xml:space="preserve">Between December 2 and 5, 2004 Bilateral Contact x x  </w:t>
        <w:br/>
        <w:t xml:space="preserve">December 6, 2004 "Team HP" - meeting x x x x x  </w:t>
        <w:br/>
        <w:t xml:space="preserve">End of 2004/Beginning of 2005 Bilateral Contact x x  </w:t>
        <w:br/>
        <w:t xml:space="preserve">January 2005 "Team HP" - correspondence x x x x x  </w:t>
        <w:br/>
        <w:t xml:space="preserve">2005 January 14, 2005 "Amis" - meeting x x x x  </w:t>
        <w:br/>
        <w:t xml:space="preserve">January 14, 2005 Bilateral Contact x x  </w:t>
        <w:br/>
        <w:t xml:space="preserve">January 24, 2005 Bilateral Contact x x  </w:t>
        <w:br/>
        <w:t xml:space="preserve">February 2005 "Team HP" - correspondence x x  </w:t>
        <w:br/>
        <w:t xml:space="preserve">Beginning of February 2005 "Team HP" - meeting x x x x x  </w:t>
        <w:br/>
        <w:t xml:space="preserve">February 17, 2005 "Amis" - meeting x x x x x x  </w:t>
        <w:br/>
        <w:t xml:space="preserve">March 2005 "Team HP" - correspondence x x  </w:t>
        <w:br/>
        <w:t xml:space="preserve">March 17, 2005 "Amis" - meeting x x x x x x  </w:t>
        <w:br/>
        <w:t xml:space="preserve">April 2005 "Team HP" - correspondence x x  </w:t>
        <w:br/>
        <w:t xml:space="preserve">Before April 14, 2005 Bilateral Contact x x  </w:t>
        <w:br/>
        <w:t xml:space="preserve">Before April 14, 2005 Bilateral Contact x x  </w:t>
        <w:br/>
        <w:t xml:space="preserve">Before April 14, 2005 Bilateral Contact x x  </w:t>
        <w:br/>
        <w:t xml:space="preserve">Before April 14, 2005 Bilateral Contact x x  </w:t>
        <w:br/>
        <w:t xml:space="preserve">April 14, 2005 "Amis" - meeting x x x x x  </w:t>
        <w:br/>
        <w:t xml:space="preserve">May 2005 "Team HP" - correspondence x x x  </w:t>
        <w:br/>
        <w:t xml:space="preserve">May 12, 2005 "Amis" - meeting x x x x  </w:t>
        <w:br/>
        <w:t xml:space="preserve">May 12, 2005 "Amis" - correspondence x x  </w:t>
        <w:br/>
        <w:t xml:space="preserve">June 23, 2005 "Team HP" - meeting x x  </w:t>
        <w:br/>
        <w:t>Beginning of August 2005 Bilateral Contact x x</w:t>
      </w:r>
    </w:p>
    <w:p>
      <w:r>
        <w:t xml:space="preserve">Year Date of Exchange Nature of Exchange CP HKL UL PG SCJ BS RB SL LV  </w:t>
        <w:br/>
        <w:t xml:space="preserve">September 2005 "Team HP" - correspondence x x  </w:t>
        <w:br/>
        <w:t xml:space="preserve">September 6, 2005 Informal Contact (Euro club) x x  </w:t>
        <w:br/>
        <w:t xml:space="preserve">September 8, 2005 Bilateral Contact x x  </w:t>
        <w:br/>
        <w:t xml:space="preserve">October 27, 2005 "Amis" - meeting x x x x x x x  </w:t>
        <w:br/>
        <w:t xml:space="preserve">November 9, 2005 Informal Contact (Euro club) x x  </w:t>
        <w:br/>
        <w:t xml:space="preserve">November 22, 2005 "Team HP" - meeting x x x  </w:t>
        <w:br/>
        <w:t xml:space="preserve">November 30, 2005 "Amis" - meeting x x x x x  </w:t>
        <w:br/>
        <w:t xml:space="preserve">2006 January 2006 "Team HP" - correspondence x x  </w:t>
        <w:br/>
        <w:t xml:space="preserve">January 5, 2006 "Team HP" - meeting x x x  </w:t>
        <w:br/>
        <w:t>February 3, 2006 "Amis" - meeting x x x x x</w:t>
      </w:r>
    </w:p>
    <w:p>
      <w:r>
        <w:t xml:space="preserve">In the hygiene sector  </w:t>
        <w:br/>
        <w:t xml:space="preserve">Year Date of Exchange Nature of Exchange CP HKL UL PG RB SL V G B L’O/L LV  </w:t>
        <w:br/>
        <w:t xml:space="preserve">2003 January 22, 2003 Trilateral Contact x x x  </w:t>
        <w:br/>
        <w:t xml:space="preserve">April 2003 "Team PCP" - correspondence x x x x x x x x x  </w:t>
        <w:br/>
        <w:t xml:space="preserve">July 7, 2003 "Team PCP" - meeting x x x x x x x  </w:t>
        <w:br/>
        <w:t xml:space="preserve">September 2003 "Team PCP" - correspondence x x x x x x x x  </w:t>
        <w:br/>
        <w:t xml:space="preserve">September 18, 2003 "Team PCP" - meeting x x x x x x x  </w:t>
        <w:br/>
        <w:t xml:space="preserve">October 2003 "Team PCP" - correspondence x x x x x x x x x  </w:t>
        <w:br/>
        <w:t xml:space="preserve">October 21, 2003 "Team PCP" - meeting x x  </w:t>
        <w:br/>
        <w:t xml:space="preserve">November 26, 2003 "Team PCP" - meeting x x x x  </w:t>
        <w:br/>
        <w:t xml:space="preserve">End of November/Beginning of December 2003 Bilateral Contact x x  </w:t>
        <w:br/>
        <w:t>December 2, 2003 "Team PCP" - meeting x x x x x x</w:t>
      </w:r>
    </w:p>
    <w:p>
      <w:r>
        <w:t xml:space="preserve">Year Date of Exchange Nature of Exchange CP HKL UL PG RB SL V G B L’O/L LV  </w:t>
        <w:br/>
        <w:t xml:space="preserve">December 2003 or January 2004 "Team PCP" - correspondence x x x x x x x x x  </w:t>
        <w:br/>
        <w:t xml:space="preserve">2004 January 2004 "Team PCP" - correspondence x x x x x x x x x  </w:t>
        <w:br/>
        <w:t xml:space="preserve">January 2004 Bilateral Contact x x  </w:t>
        <w:br/>
        <w:t xml:space="preserve">March 24, 2004 "Team PCP" - meeting x x x x x x x  </w:t>
        <w:br/>
        <w:t xml:space="preserve">April 2004 "Team PCP" - correspondence x x x x x x x x x  </w:t>
        <w:br/>
        <w:t xml:space="preserve">May 4, 2004 "Team PCP" - meeting x x x x x x  </w:t>
        <w:br/>
        <w:t xml:space="preserve">July 2004 "Team PCP" - correspondence x x x x x x x  </w:t>
        <w:br/>
        <w:t xml:space="preserve">July 1, 2004 "Team PCP" - meeting x x x x x  </w:t>
        <w:br/>
        <w:t xml:space="preserve">July 5, 2004 Bilateral Contact x x  </w:t>
        <w:br/>
        <w:t xml:space="preserve">July 12-13, 2004 Multilateral Contact x x x x x  </w:t>
        <w:br/>
        <w:t xml:space="preserve">July or August 2004 Bilateral Contact x x  </w:t>
        <w:br/>
        <w:t xml:space="preserve">August 30, 2004 "Team PCP" - meeting x x x x x  </w:t>
        <w:br/>
        <w:t xml:space="preserve">September 21, 2004 "Amis" - meeting x x x x x x  </w:t>
        <w:br/>
        <w:t xml:space="preserve">October 2004 "Team PCP" - correspondence x x x x x x x x x  </w:t>
        <w:br/>
        <w:t xml:space="preserve">October 5, 2004 "Team PCP" - meeting x x x x x x  </w:t>
        <w:br/>
        <w:t xml:space="preserve">November 2004 "Team PCP" - correspondence x x x  </w:t>
        <w:br/>
        <w:t xml:space="preserve">November 4, 2004 "Amis" - meeting x x x x x  </w:t>
        <w:br/>
        <w:t xml:space="preserve">November 9, 2004 "Team PCP" - meeting x x x x x  </w:t>
        <w:br/>
        <w:t xml:space="preserve">December 3, 2004 "Amis" - meeting x x x x x  </w:t>
        <w:br/>
        <w:t xml:space="preserve">December 7, 2004 "Team PCP" - meeting x x x x  </w:t>
        <w:br/>
        <w:t xml:space="preserve">2005 January 2005 "Team PCP" - correspondence x x x x x x x x x  </w:t>
        <w:br/>
        <w:t xml:space="preserve">Mid-January 2005 "Team PCP" - meeting x x x x x  </w:t>
        <w:br/>
        <w:t>January 14, 2005 "Amis" - meeting x x x x</w:t>
      </w:r>
    </w:p>
    <w:p>
      <w:r>
        <w:rPr>
          <w:b/>
        </w:rPr>
        <w:t>[Pages 85–87]</w:t>
      </w:r>
    </w:p>
    <w:p>
      <w:r>
        <w:t xml:space="preserve">Year Date of Exchange Nature of Exchange CP HKL UL PG RB SL V G B L’O/L LV  </w:t>
        <w:br/>
        <w:t xml:space="preserve">February 2005 "Team PCP" - correspondence x x x x  </w:t>
        <w:br/>
        <w:t xml:space="preserve">February 14, 2005 "Team PCP" - meeting x x x x x x  </w:t>
        <w:br/>
        <w:t xml:space="preserve">February 17, 2005 "Amis" - meeting x x x x x x  </w:t>
        <w:br/>
        <w:t xml:space="preserve">March 2005 "Team PCP" - correspondence x x x x  </w:t>
        <w:br/>
        <w:t xml:space="preserve">March 9, 2005 "Team PCP" - meeting x x x x  </w:t>
        <w:br/>
        <w:t xml:space="preserve">March 17, 2005 "Amis" - meeting x x x x x  </w:t>
        <w:br/>
        <w:t xml:space="preserve">April 2005 "Team PCP" - correspondence x x x x x x  </w:t>
        <w:br/>
        <w:t xml:space="preserve">April 11, 2005 "Team PCP" - meeting x x x x x x  </w:t>
        <w:br/>
        <w:t xml:space="preserve">April 14, 2005 "Amis" - meeting x x x x  </w:t>
        <w:br/>
        <w:t xml:space="preserve">May 2005 "Team PCP" - correspondence x x x  </w:t>
        <w:br/>
        <w:t xml:space="preserve">May 12, 2005 "Amis" - meeting x x x x  </w:t>
        <w:br/>
        <w:t xml:space="preserve">May 17, 2005 "Team PCP" - meeting x x x x x  </w:t>
        <w:br/>
        <w:t xml:space="preserve">June 15, 2005 "Team PCP" - meeting x x x x  </w:t>
        <w:br/>
        <w:t xml:space="preserve">July 11, 2005 "Team PCP" - meeting x x x x x  </w:t>
        <w:br/>
        <w:t xml:space="preserve">Early August 2005 Bilateral contact x x  </w:t>
        <w:br/>
        <w:t xml:space="preserve">Early August 2005 Bilateral contact x x  </w:t>
        <w:br/>
        <w:t xml:space="preserve">September 2005 "Team PCP" - correspondence x x x x x  </w:t>
        <w:br/>
        <w:t xml:space="preserve">September 6, 2005 "Team PCP" - meeting x x x  </w:t>
        <w:br/>
        <w:t xml:space="preserve">October 2005 "Team PCP" - correspondence x x x x x x  </w:t>
        <w:br/>
        <w:t xml:space="preserve">October 6, 2005 "Team PCP" - meeting x x x x x x  </w:t>
        <w:br/>
        <w:t xml:space="preserve">October 27, 2005 "Amis" - meeting x x x x x  </w:t>
        <w:br/>
        <w:t xml:space="preserve">November 2005 "Team PCP" - correspondence x x x x  </w:t>
        <w:br/>
        <w:t>November 9, 2005 "Team PCP" - meeting x x x x x</w:t>
      </w:r>
    </w:p>
    <w:p>
      <w:r>
        <w:t xml:space="preserve">Year Date of Exchange Nature of Exchange CP HKL UL PG RB SL V G B L’O/L LV  </w:t>
        <w:br/>
        <w:t xml:space="preserve">November 30, 2005 "Amis" - meeting x x x  </w:t>
        <w:br/>
        <w:t xml:space="preserve">December 7, 2005 "Team PCP" - meeting x x x x x x  </w:t>
        <w:br/>
        <w:t xml:space="preserve">2006 January 2006 "Team PCP" - correspondence x x x x x x x  </w:t>
        <w:br/>
        <w:t xml:space="preserve">January 2, 2006 Bilateral contact x x  </w:t>
        <w:br/>
        <w:t xml:space="preserve">Early January 2006 "Team PCP" - meeting x x x x x x  </w:t>
        <w:br/>
        <w:t xml:space="preserve">January 19, 2006 "Amis" - meeting x x x x  </w:t>
        <w:br/>
        <w:t>January 26, 2006 "Amis" - meeting x x x x x (L) x</w:t>
      </w:r>
    </w:p>
    <w:p>
      <w:r>
        <w:t xml:space="preserve">2. THE CONTENT OF THE PRACTICES  </w:t>
        <w:br/>
        <w:t xml:space="preserve">355. The following developments show that the companies involved coordinated, notably by exchanging information, on the main elements of the selling price of their products to retailers (the "triple net" price) during each change in the regulatory framework that occurred between 2003 and 2006.  </w:t>
        <w:br/>
        <w:t xml:space="preserve">356. This explicit collusion among suppliers to large retailers aimed to maintain the margin level provided by the tacit equilibrium resulting from the Galland law, an equilibrium that public authorities disrupted three times by adopting new regulatory provisions, in order to lead to a decrease in consumer prices for mass-market products.  </w:t>
        <w:br/>
        <w:t xml:space="preserve">357. It is necessary to describe the content of this coordination precisely. To do this, the exchanges on pricing and deviations (which constitute the main elements of the triple net price) will first be presented in the economic and legal context of the time, namely (a) the circular of May 16, 2003, regarding commercial negotiations between suppliers and distributors (the "Dutreil circular"), (b) the commitment to a sustainable reduction in consumer prices of June 17, 2004 (the "Sarkozy commitment" or "the commitment"), and (c) Law No. 2005-882 of August 2, 2005, in favor of small and medium-sized enterprises (the "Dutreil law").  </w:t>
        <w:br/>
        <w:t xml:space="preserve">358. Then, the exchanges on promotional policies, the course of negotiations, the general sales conditions (CGV), and the turnover that took place during the entire period concerned by the practices will be presented (d).  </w:t>
        <w:br/>
        <w:t xml:space="preserve">359. In the following developments, the examination of the "Amis," Team HP, and PCP meetings that supported the described practices is combined. Indeed, on the one hand, regardless of the hierarchical level of the participants, the same "company," subject to competition law, participated in these meetings; on the other hand, regardless of the degree of knowledge of the existence of these different meeting circles within each company, the totality of the information collected in these different circles allowed participants to determine their strategy.  </w:t>
        <w:br/>
        <w:t xml:space="preserve">a) The exchanges within the framework of the Dutreil circular of May 16, 2003  </w:t>
        <w:br/>
        <w:t xml:space="preserve">360. The Dutreil circular constituted the first step in the approach initiated by public authorities to reduce the back margin granted by suppliers to distributors, aimed at greater competition and a decrease in prices for consumers. It reintroduced uncertainty into the relationships between industry and commerce, particularly regarding the reintegration of part of the back margin into the front margin and the level of price increases. The pursued goal was to stimulate stronger competition among manufacturers. It is in this context that the exchanges examined below took place.  </w:t>
        <w:br/>
        <w:t xml:space="preserve">The exchanges on pricing developments  </w:t>
        <w:br/>
        <w:t xml:space="preserve">Findings in the maintenance sector  </w:t>
        <w:br/>
        <w:t>361. The companies involved coordinated by exchanging information on their willingness or unwillingness to reintegrate back margin into net prices. These exchanges resulted in a consensual position among manufacturers: not to reintegrate.</w:t>
      </w:r>
    </w:p>
    <w:p>
      <w:r>
        <w:rPr>
          <w:b/>
        </w:rPr>
        <w:t>[Pages 88–90]</w:t>
      </w:r>
    </w:p>
    <w:p>
      <w:r>
        <w:t xml:space="preserve">362. During a bilateral contact between Bolton Solitaire and SC Johnson in the summer of 2003 (reference 9 517), Mr. Michel 3... (Sales Director of SC Johnson) informed his counterpart at Bolton Solitaire that SC Johnson did not intend to apply the Dutreil circular by reintegrating back margins into front margins.  </w:t>
        <w:br/>
        <w:t xml:space="preserve">363. During the Team HP meeting that took place no later than July 2003, Procter &amp; Gamble, Unilever, Henkel, and Colgate-Palmolive coordinated on the application of the Dutreil circular (references 9 520 and 9 521).  </w:t>
        <w:br/>
        <w:t xml:space="preserve">364. A consensual position was formulated among the four leaders in the maintenance sector. This position, described by some as a "recommendation" (references 39 772, 40516, and 40517), focused on five key points reported by a note from Mr. Eric N... (Bolton Solitaire) (references 9 520 and 9 521):  </w:t>
        <w:br/>
        <w:t xml:space="preserve">"None of the manufacturers will reintegrate (neither food / nor perfume / (...))  </w:t>
        <w:br/>
        <w:t xml:space="preserve">No price differentiation  </w:t>
        <w:br/>
        <w:t xml:space="preserve">No cooperation in CGV  </w:t>
        <w:br/>
        <w:t xml:space="preserve">All no slippage = (0 in cooperation / invest + in TMD)  </w:t>
        <w:br/>
        <w:t xml:space="preserve">Price = inflation"  </w:t>
        <w:br/>
        <w:t xml:space="preserve">365. The mention "None of the manufacturers will reintegrate" means that the participants in the practices noted that no manufacturer would reintegrate, in front margins, that is to say in the net prices charged, the discounts that were at the time granted in back margins for financial advantages not falling into the category "of specific services detachable from the sole obligations resulting from purchases and sales." This had the effect of thwarting the reduction of consumer selling prices ("PVC") made possible by the Dutreil circular.  </w:t>
        <w:br/>
        <w:t xml:space="preserve">366. The mention "no price differentiation" refers to the possibility provided by the Dutreil circular to carry out price differentiations among different distributors, particularly in logistical services and payment terms.  </w:t>
        <w:br/>
        <w:t xml:space="preserve">367. The mention "price=inflation" means that suppliers intended to implement price increases in line with inflation, and therefore not to interpret the principle of price moderation as a freeze on prices, which could have eroded their profitability by at least two points, the level of inflation being close to 2.1% in 2003.  </w:t>
        <w:br/>
        <w:t xml:space="preserve">368. Under these conditions, the purpose of the coordination was to form a consensus among the four participants at this meeting on a pricing policy that deliberately avoided implementing the possibilities of the Dutreil circular. This consensus spread beyond the participants at the meeting, notably to the companies Reckitt Benckiser, SC Johnson, and Bolton Solitaire, to become a "market position." Indeed, although they were not present at the Team HP meeting in July 2003, these three companies were evidently kept informed of the content of the discussions among the four participants. First, the notes of Mr. Eric N... from Bolton Solitaire were taken during an exchange with SC Johnson, which attests to the fact that the latter company had been the recipient of information regarding the position reached during the aforementioned Team HP meeting. Following this bilateral exchange, Bolton Solitaire was now sharing the information. Finally, Reckitt Benckiser, which did not participate in the Team HP meeting in July, is also mentioned in Mr. Eric N...'s notes. Its name appears in the list of companies cited by SC Johnson before the statement of this "recommendation," alongside Colgate-Palmolive, Henkel, Unilever, Procter &amp; Gamble, and SC Johnson (reference 9 520). During its discussion with Bolton Solitaire, SC Johnson thus equated Reckitt Benckiser with the participants at the Team HP meeting in July 2003: it can therefore be inferred that the company was informed of its content, like Bolton Solitaire and SC Johnson, and that they also very likely shared its conclusions.  </w:t>
        <w:br/>
        <w:t xml:space="preserve">369. It can be noted that the companies involved did not or hardly reintegrate back margins into front margins, and therefore did not implement the Dutreil circular. Net prices were even often increased during the period 2003-2004, in contradiction with the objectives pursued by the circular (reference 39 959).  </w:t>
        <w:br/>
        <w:t xml:space="preserve">370. Only Unilever modified the terms of application of its logistical discount "in the spirit of the circular" (references 40 597 and 40 598). However, the company informed its main competitors no later than the Team HP meeting on December 9, 2003, in order to "preserve the interest of the meetings and the trust between [the participants]" (reference 40 518).  </w:t>
        <w:br/>
        <w:t xml:space="preserve">371. During the Team HP meeting on December 9, 2003, with Henkel, Colgate-Palmolive, and Unilever, the participants coordinated by exchanging information on the implementation date of their prices under the Dutreil circular. Henkel and Unilever announced that their prices would apply in March 2004 with a smoothing period expiring by May 1 at the latest. These exchanges, which took place before the prices were sent to distributors, allowed Henkel, Colgate-Palmolive, and Unilever to coordinate on the implementation date of their new prices.  </w:t>
        <w:br/>
        <w:t xml:space="preserve">372. Furthermore, the participants exchanged detailed information on the price increases applicable to their fabric softeners (reference 40 820). Unilever and Henkel indicated an identical price increase (1.93% on fabric softeners), while Colgate-Palmolive announced a slightly higher increase (2.02%).  </w:t>
        <w:br/>
        <w:t xml:space="preserve">♦ Conclusion (maintenance products)  </w:t>
        <w:br/>
        <w:t xml:space="preserve">373. A coordination took place in the maintenance sector between Henkel, Colgate-Palmolive, Procter &amp; Gamble, and Unilever leading to the development of "recommendations" regarding the pricing policy implemented by these companies following the Dutreil circular. This coordination was followed at least by Reckitt Benckiser, Bolton Solitaire, and SC Johnson. Unilever, Henkel, and Colgate-Palmolive also coordinated on the anticipated date of their price increases and on the level of increase of their fabric softeners.  </w:t>
        <w:br/>
        <w:t xml:space="preserve">Findings in the hygiene sector  </w:t>
        <w:br/>
        <w:t xml:space="preserve">♦ Exchanges on the pricing policy implemented after the Dutreil circular  </w:t>
        <w:br/>
        <w:t xml:space="preserve">374. On July 7, 2003, a meeting took place between Henkel, Colgate-Palmolive, Unilever, Beiersdorf, Gillette, Vania, and L'Oréal. The exchanges focused on the same elements that were the subject of the "recommendation" from Henkel, Colgate-Palmolive, Unilever, and Procter &amp; Gamble in the maintenance sector, namely the absence of transfer of back margins to the front, the absence of price differentiation, and the sending of a price equal to inflation (references 38 835, 39 809, 39 772, and 40 044).  </w:t>
        <w:br/>
        <w:t xml:space="preserve">375. The companies that participated in this meeting generally did not proceed with reintegrations, thereby adopting the position discussed during this meeting (references 40 184, 40 185, 40 597, 40 598, 40 153, 40 036, 40 672, 40 075, and 43 966).  </w:t>
        <w:br/>
        <w:t xml:space="preserve">♦ Exchanges on the level of price increases and the evolution of CGV  </w:t>
        <w:br/>
        <w:t xml:space="preserve">376. During the Team PCP meeting on September 18, 2003, which included Henkel, Colgate-Palmolive, Beiersdorf, L'Oréal, Gillette, Vania, and Procter &amp; Gamble, the implicated parties discussed the level at which they intended to set their prices by indicating whether they wanted a price increase or not and, if so, at what level and on what date they intended to set this increase.  </w:t>
        <w:br/>
        <w:t xml:space="preserve">377. Colgate-Palmolive and L'Oréal announced, at respective deadlines of 6 to 3 months, increases close to inflation (reference 14 850), Procter &amp; Gamble announced increases on leading products, Henkel and Vania (mentioned in the note under the name of Johnson &amp; Johnson) announced zero increases, and Gillette announced an increase above inflation.  </w:t>
        <w:br/>
        <w:t xml:space="preserve">378. These announcements pertain to upcoming price increases, which allowed the participants to potentially adjust their commercial strategy (reference 8 404 (VC)/reference 47 024 (VNC)). They generally correspond to what was done by Colgate-Palmolive, Henkel, Gillette, L'Oréal, and Vania:  </w:t>
        <w:br/>
        <w:t xml:space="preserve">Evolution of the Evolution Date Date effective  </w:t>
        <w:br/>
        <w:t xml:space="preserve">Increase before  </w:t>
        <w:br/>
        <w:t xml:space="preserve">Price price price of the price  </w:t>
        <w:br/>
        <w:t xml:space="preserve">Company Notes of in sending to  </w:t>
        <w:br/>
        <w:t xml:space="preserve">announced communicated announced communicated Comment  </w:t>
        <w:br/>
        <w:t xml:space="preserve">concerned meeting distributors  </w:t>
        <w:br/>
        <w:t xml:space="preserve">according to notes e during notes of during  </w:t>
        <w:br/>
        <w:t xml:space="preserve">meeting the inquiry meeting the inquiry  </w:t>
        <w:br/>
        <w:t xml:space="preserve">15/03/04  </w:t>
        <w:br/>
        <w:t xml:space="preserve">Yes  </w:t>
        <w:br/>
        <w:t xml:space="preserve">Colgate Beiersdorf 2 2.11 03/04 application to  </w:t>
        <w:br/>
        <w:t xml:space="preserve">(16/01/04)  </w:t>
        <w:br/>
        <w:t xml:space="preserve">16/04/04  </w:t>
        <w:br/>
        <w:t xml:space="preserve">Inflation=  </w:t>
        <w:br/>
        <w:t xml:space="preserve">Gillette Beiersdorf  Inflation 3 01/01/04 Yes (6.11.03) 2.1% in 2003  </w:t>
        <w:br/>
        <w:t xml:space="preserve">and 2004*  </w:t>
        <w:br/>
        <w:t xml:space="preserve">Yes  </w:t>
        <w:br/>
        <w:t xml:space="preserve">Henkel Beiersdorf No  0 29/12/03  </w:t>
        <w:br/>
        <w:t xml:space="preserve">(02/12/03)  </w:t>
        <w:br/>
        <w:t xml:space="preserve">Lascad  </w:t>
        <w:br/>
        <w:t xml:space="preserve">Yes  </w:t>
        <w:br/>
        <w:t xml:space="preserve">L'Oréal Beiersdorf low 2.7 OAP 20/12 17/12/2003  </w:t>
        <w:br/>
        <w:t xml:space="preserve">(22/10/03)  </w:t>
        <w:br/>
        <w:t xml:space="preserve">1.4 GM  </w:t>
        <w:br/>
        <w:t xml:space="preserve">Vania  </w:t>
        <w:br/>
        <w:t xml:space="preserve">(Johnson &amp; Beiersdorf No  No increase  </w:t>
        <w:br/>
        <w:t xml:space="preserve">Johnson)  </w:t>
        <w:br/>
        <w:t xml:space="preserve">379. During the Team PCP meeting on December 2, 2003, which included Colgate-Palmolive, Henkel, Beiersdorf, Vania, Unilever, and L'Oréal, the participants exchanged information on the CGV, while Colgate-Palmolive, Beiersdorf, and Unilever had not yet sent their prices, unlike Henkel and L'Oréal in particular (references 708-710 of dossier 06/0019AC).  </w:t>
        <w:br/>
        <w:t xml:space="preserve">380. The participants mutually informed each other that they had proposed new CGV to distributors and that some of them, such as Henkel or Unilever, had increased their level of discounts. The exchanges also covered payment terms as well as the distributors' reactions to the CGV.  </w:t>
        <w:br/>
        <w:t>381. These exchanges allowed the participants to compare their respective CGV and, if necessary, to confirm to the other participants the interpretation that could be made of the CGV.</w:t>
      </w:r>
    </w:p>
    <w:p>
      <w:r>
        <w:rPr>
          <w:b/>
        </w:rPr>
        <w:t>[Pages 91–93]</w:t>
      </w:r>
    </w:p>
    <w:p>
      <w:r>
        <w:t xml:space="preserve">exchanges also concerned payment terms as well as the distributors' reactions to the GTC.  </w:t>
        <w:br/>
        <w:t xml:space="preserve">381. These exchanges allowed participants to compare their respective GTCs and, if necessary, to confirm to other participants the interpretation that could be made of the GTC by competitors (reference 40 509). They also allowed to know whether the participants had reintegrated commercial cooperation into the GTC or not.  </w:t>
        <w:br/>
        <w:t xml:space="preserve">382. During the Team PCP meeting on March 24, 2004, attended by Colgate-Palmolive, Henkel, Beiersdorf, Vania, Gillette, Unilever, and L'Oréal, the participants exchanged information on the price increases addressed to large retailers at the end of 2003 and the beginning of 2004 (references 716, 717 of dossier 06/0019AC and 21 122).  </w:t>
        <w:br/>
        <w:t xml:space="preserve">383. The communicated increases correspond indeed to those sent to distributors, within a few tenths, for Beiersdorf, Colgate-Palmolive, and L'Oréal (reference 8 406 (VC)/reference 47 026 (VNC)).  </w:t>
        <w:br/>
        <w:t xml:space="preserve">Price Date announced Effective date of  </w:t>
        <w:br/>
        <w:t xml:space="preserve">Evolution price  </w:t>
        <w:br/>
        <w:t xml:space="preserve">Company Notes communicated during  </w:t>
        <w:br/>
        <w:t xml:space="preserve">the meetings according to meeting notes  </w:t>
        <w:br/>
        <w:t xml:space="preserve">Price consumer  </w:t>
        <w:br/>
        <w:t xml:space="preserve">Colgate 1/6→1/7  </w:t>
        <w:br/>
        <w:t xml:space="preserve">+3.8%  </w:t>
        <w:br/>
        <w:t xml:space="preserve">Beiersdorf 3.7 01/06/04 No (22/03/04)  </w:t>
        <w:br/>
        <w:t xml:space="preserve">Vania 3.8% 1st June  </w:t>
        <w:br/>
        <w:t xml:space="preserve">15/03/04  </w:t>
        <w:br/>
        <w:t xml:space="preserve">Colgate Vania perfume 1.8% 2.11 1st May application to No (16/01/04)  </w:t>
        <w:br/>
        <w:t xml:space="preserve">16/04/04  </w:t>
        <w:br/>
        <w:t xml:space="preserve">Colgate +2.2% 1/2→1/3  </w:t>
        <w:br/>
        <w:t xml:space="preserve">Gillette 3 01/01/04 No (6.11.03)  </w:t>
        <w:br/>
        <w:t xml:space="preserve">Vania 2% 1st March  </w:t>
        <w:br/>
        <w:t xml:space="preserve">Price consumer  </w:t>
        <w:br/>
        <w:t xml:space="preserve">Colgate 1/3→15/4  </w:t>
        <w:br/>
        <w:t xml:space="preserve">+ 3.0%  </w:t>
        <w:br/>
        <w:t xml:space="preserve">Unilever Average = 4.2 01/03/04 No (22/12/03)  </w:t>
        <w:br/>
        <w:t xml:space="preserve">Vania 3% mid-April  </w:t>
        <w:br/>
        <w:t xml:space="preserve">Colgate +1.70% →1/3  </w:t>
        <w:br/>
        <w:t xml:space="preserve">1.01 Lascad  </w:t>
        <w:br/>
        <w:t xml:space="preserve">2.7 OAP 17/12/03 for A priori no  </w:t>
        <w:br/>
        <w:t xml:space="preserve">L'Oréal (22/10/03 for  </w:t>
        <w:br/>
        <w:t xml:space="preserve">Lascad  </w:t>
        <w:br/>
        <w:t xml:space="preserve">Vania Approx 1.70% 1.4 GM 1st Feb Lascad)  </w:t>
        <w:br/>
        <w:t xml:space="preserve">Average= 1.7  </w:t>
        <w:br/>
        <w:t>384. During the Team PCP meeting on May 4, 2004, with Colgate-Palmolive, Henkel, Unilever, Gillette, Vania, and Beiersdorf, the participants coordinated by exchanging information on past increases. Beiersdorf, Henkel, and Unilever announced the existence or level of their price increase.</w:t>
      </w:r>
    </w:p>
    <w:p>
      <w:r>
        <w:t xml:space="preserve">♦ Conclusion (hygiene products)  </w:t>
        <w:br/>
        <w:t xml:space="preserve">385. A consultation took place in the hygiene sector between Henkel, Colgate-Palmolive, L'Oréal, Unilever, Vania, Gillette, and Beiersdorf, through exchanges on their future positions regarding the pricing policy implemented after the Dutreil circular.  </w:t>
        <w:br/>
        <w:t xml:space="preserve">386. Furthermore, as indicated in the following table, Colgate-Palmolive, Beiersdorf, Gillette, Henkel, L'Oréal, Procter &amp; Gamble, Unilever, and Vania announced to the participants in the Team PCP meetings their future price and their actual past price (except for Procter &amp; Gamble, which only provided information on its future increase).  </w:t>
        <w:br/>
        <w:t xml:space="preserve">PCP PCP PCP 24/03/04 PCP  </w:t>
        <w:br/>
        <w:t xml:space="preserve">18/09/03 2/12/03 → Past prices 4/05/04  </w:t>
        <w:br/>
        <w:t xml:space="preserve">→ Future prices → Future and past prices → Past prices  </w:t>
        <w:br/>
        <w:t xml:space="preserve">Colgate-Palmolive X X X X  </w:t>
        <w:br/>
        <w:t xml:space="preserve">Beiersdorf X X X X  </w:t>
        <w:br/>
        <w:t xml:space="preserve">Gillette X X X  </w:t>
        <w:br/>
        <w:t xml:space="preserve">Henkel X X X X  </w:t>
        <w:br/>
        <w:t xml:space="preserve">L'Oréal X X X  </w:t>
        <w:br/>
        <w:t xml:space="preserve">Procter &amp; Gamble X  </w:t>
        <w:br/>
        <w:t xml:space="preserve">Unilever X X X  </w:t>
        <w:br/>
        <w:t xml:space="preserve">Vania X X X X  </w:t>
        <w:br/>
        <w:t xml:space="preserve">The exchanges on the drift  </w:t>
        <w:br/>
        <w:t xml:space="preserve">387. Alongside the consultation on their pricing developments, the companies coordinated to limit the "drifts."  </w:t>
        <w:br/>
        <w:t xml:space="preserve">Findings in the maintenance sector  </w:t>
        <w:br/>
        <w:t xml:space="preserve">388. During a bilateral contact in the summer of 2003, the sales director of SC Johnson indicated to his counterpart at Bolton Solitaire that he wished to "stop the drifts of commercial cooperation" (references 9 517 and 39 759).  </w:t>
        <w:br/>
        <w:t xml:space="preserve">389. During the Team HP meeting that took place at the latest in July 2003, Procter &amp; Gamble, Unilever, Henkel, and Colgate-Palmolive coordinated on an identical position (not to grant any drift) and on compensating this freeze of the drift with investments in NIP (references 9 520 and 39 772). Procter &amp; Gamble seems to have dissociated itself from this position and decided not to increase the NIP (reference 9 521).  </w:t>
        <w:br/>
        <w:t xml:space="preserve">390. This common position is prior to the end of July 2003, several weeks before the implementation of the Dutreil circular in the context of negotiations for the year 2004.  </w:t>
        <w:br/>
        <w:t>391. Like the finding made regarding pricing developments, the "recommendation" of the four leaders in the maintenance sector spread across the market. Thus, SC Johnson and Bolton Solitaire became aware of this common position and were able to adjust their own behavior in negotiations with large retailers. It is also established that Reckitt Benckiser adhered to this position, as its name appears on the handwritten notes of Mr. Eric N....</w:t>
      </w:r>
    </w:p>
    <w:p>
      <w:r>
        <w:t xml:space="preserve">392. A note from Mr. Gérard H... (Henkel Detergents) dated November 20, 2003 (reference 355 of dossier 08/0044AC), taken during a bilateral contact with Mr. Olivier J... of Unilever, echoes this desire to limit the drifts. It indicates that Unilever would grant only 0.10% additional margin to distributors in 2004 (i.e., an almost zero drift).  </w:t>
        <w:br/>
        <w:t xml:space="preserve">393. The following developments show that most participants in the consultation, towards the end of 2003, renounced obtaining a zero drift, probably under pressure from distributors.  </w:t>
        <w:br/>
        <w:t xml:space="preserve">394. Bilateral exchanges between Colgate-Palmolive and Henkel, in December 2003 and January 2004, allowed these companies to exchange precisely on their rates of commercial cooperation (references 15 267, 15 264, and 15 272).  </w:t>
        <w:br/>
        <w:t xml:space="preserve">395. At the beginning of negotiations for 2004, Colgate-Palmolive and Henkel proposed or considered a nearly similar drift (0.9% for Colgate-Palmolive, 1% for Henkel) (reference 15 301) and ultimately granted an average commercial cooperation rate close in 2004 (24.7% for Colgate-Palmolive, 24.56% for Henkel) (references 15 290 and 40 868). The homogeneity of the rates observed for both the drift and commercial cooperation is explained, at least in part, by the exchanges of information between these two companies.  </w:t>
        <w:br/>
        <w:t xml:space="preserve">396. Bilateral exchanges between Procter &amp; Gamble and Unilever took place regarding the 2004 drift and the rate of commercial cooperation for that year (references 330 and 355 of dossier 08/0044AC). During his exchange with Mr. Olivier J... of Unilever on November 20, 2003, Mr. Gérard H... (Henkel Detergents) had access to the commercial strategies, for the coming year, of Unilever and Procter &amp; Gamble regarding Auchan or Casino and to Unilever's proposal to IRTS (a purchasing center jointly owned by Auchan and Casino) in terms of maximum drift rate concerning international contracts.  </w:t>
        <w:br/>
        <w:t xml:space="preserve">397. The participation of Reckitt Benckiser in the exchanges is established by a table from May 17-18, 2004, provided by Colgate-Palmolive, which reports a projected 2004 drift of 1% for Reckitt Benckiser in October 2003. The drift of Reckitt Benckiser in 2004 will be 1.14%, a figure close (references 23 216 and 23 217 (VC)/references 45 862 and 45 863 (VNC)). Furthermore, a table dated December 1, 2003, was seized at Reckitt Benckiser, which reports the rates of commercial cooperation of the four leaders in the maintenance sector and the anticipated drifts of some (references 11320 and following).  </w:t>
        <w:br/>
        <w:t xml:space="preserve">♦ Conclusion  </w:t>
        <w:br/>
        <w:t xml:space="preserve">398. Between the end of July 2003 and the end of January 2004, Colgate-Palmolive, Henkel, Procter &amp; Gamble, Unilever, Bolton Solitaire, SC Johnson, and Reckitt Benckiser coordinated by exchanging commercially sensitive, forward-looking information on an important data point for the future determination of the net triple price of maintenance products, namely the level of the drift.  </w:t>
        <w:br/>
        <w:t xml:space="preserve">399. This consultation resulted in a consensual approach among the four leaders in the maintenance sector (Procter &amp; Gamble, Unilever, Henkel, and Colgate-Palmolive) at least on the necessity to limit or freeze the drift, which appeared, for some, as a "recommendation."  </w:t>
        <w:br/>
        <w:t>400. While Colgate-Palmolive, Henkel, Unilever, and Procter &amp; Gamble exchanged among themselves, both multilaterally and bilaterally, their drift proposals, Bolton Solitaire, SC Johnson, and Reckitt Benckiser, without actively participating in all exchanges, adhered to it and were able to adapt their market position based on this information.</w:t>
      </w:r>
    </w:p>
    <w:p>
      <w:r>
        <w:rPr>
          <w:b/>
        </w:rPr>
        <w:t>[Pages 94–96]</w:t>
      </w:r>
    </w:p>
    <w:p>
      <w:r>
        <w:t xml:space="preserve">Findings in the hygiene sector  </w:t>
        <w:br/>
        <w:t xml:space="preserve">401. During the Team PCP meeting on July 7, 2003, attended by Colgate-Palmolive, Henkel, Unilever, Beiersdorf, Vania, Gillette, and L'Oréal, a discussion on the future level of drift took place. Like all the "recommendations" regarding price changes presented previously, the "recommendation" not to "drift" concerning the drift was applicable to hygiene (references 41 401, 38 835, and 39 772).  </w:t>
        <w:br/>
        <w:t xml:space="preserve">402. At the Team PCP meeting on September 18, 2003 (reference 14 851), a second exchange on drift occurred between Gillette, Vania, Colgate-Palmolive, Henkel, Procter &amp; Gamble, L'Oréal, and Beiersdorf. Each participant announced that they would grant little or no drift in 2004, even before negotiations had begun (reference 14 851).  </w:t>
        <w:br/>
        <w:t xml:space="preserve">403. Bilateral exchanges between Colgate-Palmolive and Henkel focused on the commercial envelope rates by product category in the hygiene sector (reference 15 273). This information particularly concerned the commercial envelope rates and the drifts anticipated by Henkel in 2004, for the main distributors, as evidenced by the document seized from Colgate-Palmolive.  </w:t>
        <w:br/>
        <w:t xml:space="preserve">404. Bilateral exchanges also took place between Unilever and Procter &amp; Gamble regarding their commercial cooperation rate and their drift for 2004.  </w:t>
        <w:br/>
        <w:t xml:space="preserve">405. It can be noted that an alignment occurred between these two companies in 2004 in the hygiene sector since the average commercial cooperation rate of Procter &amp; Gamble across all brands was 32.93% (references 22 895 and following), compared to 32.72% for Unilever (references 24 091 and 24 093). Given the homogeneous behavior effectively adopted by these two companies following these specific and prospective exchanges, it can be inferred that these exchanges had effects on their drift level for 2004.  </w:t>
        <w:br/>
        <w:t xml:space="preserve">♦ Conclusion  </w:t>
        <w:br/>
        <w:t xml:space="preserve">406. Between July 2003 and the end of January 2004, a consultation consisting of exchanges of information on the future level of drift for hygiene products took place between Colgate-Palmolive, Henkel, Procter &amp; Gamble, and Unilever, and to a lesser extent, Beiersdorf, Vania, Gillette, and L'Oréal. These exchanges contributed in whole or in part to the homogeneity of the observed behaviors, whether in terms of drifts or commercial cooperation rates.  </w:t>
        <w:br/>
        <w:t xml:space="preserve">b) Exchanges within the framework of the commitment for a sustainable reduction in consumer prices of June 17, 2004  </w:t>
        <w:br/>
        <w:t xml:space="preserve">407. During the commitment, exchanges intensified: a new consultation circle called the "Friends" was established. The exchanges during this period concerned, as with each evolution of the legal framework, the level of tariffs and drifts but also the very mechanism of the commitment.  </w:t>
        <w:br/>
        <w:t xml:space="preserve">Exchanges on the implementation and exit from the commitment  </w:t>
        <w:br/>
        <w:t xml:space="preserve">408. As explained in points 202 and following, the Sarkozy commitment aimed for a price reduction of 2% starting from September 1, 2004, followed by price moderation for the year 2005, according to terms that had not been defined by the text.  </w:t>
        <w:br/>
        <w:t xml:space="preserve">409. The difficulties related to the implementation of the commitment also concerned manufacturers not party to the agreement. In particular, the financial risk was no less pressing for manufacturers like Bolton Solitaire and Laboratoires Vendôme who had not signed the commitment: they risked seeing their products de-listed compared to competing products affected by the price reductions related to the commitment and/or retaliating disproportionately to these price reductions by lowering their prices more than necessary (reference 9 574).  </w:t>
        <w:br/>
        <w:t xml:space="preserve">410. Unlike the previously described exchanges concerning sectoral negotiations, the exchanges on the implementation of the commitment for a sustainable reduction in consumer prices took place transversally and concerned both the hygiene products sector and the maintenance products sector (reference 34 523).  </w:t>
        <w:br/>
        <w:t xml:space="preserve">411. The consultation among the implicated companies focused on:  </w:t>
        <w:br/>
        <w:t xml:space="preserve">- the terms of the price reduction provided for by the commitment;  </w:t>
        <w:br/>
        <w:t xml:space="preserve">- the exit from the commitment;  </w:t>
        <w:br/>
        <w:t xml:space="preserve">- the status of reimbursements by distributors.  </w:t>
        <w:br/>
        <w:t xml:space="preserve">Exchanges on the terms of the price reduction required by the commitment  </w:t>
        <w:br/>
        <w:t xml:space="preserve">412. The text of the commitment provided for a reduction of "2% on average on products from major manufacturers" without specifying the practical terms.  </w:t>
        <w:br/>
        <w:t xml:space="preserve">413. Faced with this uncertainty, the implicated companies consulted on the method to be used to implement the 2% price reduction required by the commitment.  </w:t>
        <w:br/>
        <w:t xml:space="preserve">♦ The common position of the "5 big soapers" and its adoption by the market  </w:t>
        <w:br/>
        <w:t xml:space="preserve">414. During the Team PCP meeting on July 1, 2004, with Colgate-Palmolive, Henkel, Beiersdorf, Vania, and Gillette (references 14 904 to 14 906), Colgate-Palmolive and Henkel reported divergences in their approach to the implementation of the 2% reduction. While Colgate-Palmolive announced a weighted 2% reduction, Henkel announced a weighted 1% reduction and a linear 1% reduction (1+1 approach) and proposed to mention the linear discount at the bottom of the invoice to avoid altering the refundable base for distributors. Vania and Gillette presented a position close to that supported by Henkel.  </w:t>
        <w:br/>
        <w:t xml:space="preserve">415. On July 5, 2004, during a Team HP meeting (reference 18 807), Colgate-Palmolive, Henkel, Procter &amp; Gamble, Reckitt Benckiser, and Unilever once again reported their divergences in the approach to the 2% reduction required by the commitment.  </w:t>
        <w:br/>
        <w:t xml:space="preserve">416. On July 12 or 13, 2004, a meeting took place between the five leaders in the maintenance sector. Colgate-Palmolive, Henkel, Procter &amp; Gamble, Reckitt Benckiser, and Unilever took a "common position" on the method of passing on the 2% reduction provided for by the commitment: they opted for the 1+1 approach. This position applied to the price reductions intended to begin in September 2004.  </w:t>
        <w:br/>
        <w:t xml:space="preserve">417. This common position of the five leaders in the maintenance sector was communicated to Bolton Solitaire, which adopted it (references 46 549 to 46 551, 9 579 and 9 580, 41 441 and 41 442), to Laboratoires Vendôme (references 13 681, 40 202 and 44 028), and SC Johnson (reference 23 420).  </w:t>
        <w:br/>
        <w:t xml:space="preserve">418. After this meeting, almost all of the implicated companies applied the 1+1 approach, except for Gillette and Procter &amp; Gamble (references 857 of dossier 08/0084AC and 339 of 08/0044AC, 18 803, 18 804, and 38 834).  </w:t>
        <w:br/>
        <w:t xml:space="preserve">419. In a memorandum dated August 9, 2004, titled "Carrefour," Mr. Pierre I... (Unilever) noted the "disassociation" of Procter &amp; Gamble which "After having accepted 1+1, present[ed] a targeted 2%" (...) "and was reaping the benefits" at Carrefour. He emphasized that reverting to a targeted 2% to yield to Carrefour's demands would pose a risk of "putting its competitors in a difficult position," which would expose Unilever to "marketing and commercial risks" (references 18 803 and 18 804).  </w:t>
        <w:br/>
        <w:t xml:space="preserve">420. On September 21, 2004, the first meeting of the "Friends" took place. The participating companies, except for Gillette, "confirmed" their position on the "1+1" (reference 34 486).  </w:t>
        <w:br/>
        <w:t xml:space="preserve">421. All contemporary documents of the facts indicate an almost total alignment (except for Procter &amp; Gamble and Gillette) on the 1+1 method adopted by the major manufacturers.  </w:t>
        <w:br/>
        <w:t xml:space="preserve">422. The following table illustrates the evolution of the behavior of the implicated parties and the emergence of a consensus starting from the meeting on July 12 or 13, 2004.  </w:t>
        <w:br/>
        <w:t xml:space="preserve">Meeting Meeting Meeting Table Note SC Memorandum Memorandum Meeting  </w:t>
        <w:br/>
        <w:t xml:space="preserve">Team PCP Team HP of of July 12- of July 13 Johnson of Unilever Henkel "Friends"  </w:t>
        <w:br/>
        <w:t xml:space="preserve">of July 5, 2004 2004 2004 2004 2004 2004 2004  </w:t>
        <w:br/>
        <w:t xml:space="preserve">Table of  </w:t>
        <w:br/>
        <w:t xml:space="preserve">July 8, 2004  </w:t>
        <w:br/>
        <w:t xml:space="preserve">Colgate- 2 2 weighted "Common 1+1 1+1 1+1 1+1  </w:t>
        <w:br/>
        <w:t xml:space="preserve">Palmolive weighted position  </w:t>
        <w:br/>
        <w:t xml:space="preserve">" on the  </w:t>
        <w:br/>
        <w:t xml:space="preserve">Henkel 1+1 1+1 1+1 1+1 1+1  </w:t>
        <w:br/>
        <w:t xml:space="preserve">1+1  </w:t>
        <w:br/>
        <w:t xml:space="preserve">Procter &amp; 2 weighted 1+1 2 weighted "3.10 of  </w:t>
        <w:br/>
        <w:t xml:space="preserve">Gamble (disassociation reduction" "It's  </w:t>
        <w:br/>
        <w:t xml:space="preserve">after having the good student of  </w:t>
        <w:br/>
        <w:t xml:space="preserve">accepted the 1+1) the class!!"  </w:t>
        <w:br/>
        <w:t xml:space="preserve">Reckitt 2 weighted 1+1 1+1 1+1 1+1 1+1  </w:t>
        <w:br/>
        <w:t xml:space="preserve">Benckiser  </w:t>
        <w:br/>
        <w:t xml:space="preserve">Unilever 1+1 1+1 1+1 1+1 1+1  </w:t>
        <w:br/>
        <w:t xml:space="preserve">Bolton 1+1 1+1 1+1 1+1  </w:t>
        <w:br/>
        <w:t xml:space="preserve">Solitaire  </w:t>
        <w:br/>
        <w:t xml:space="preserve">Gillette 1+1 2 weighted 2 weighted  </w:t>
        <w:br/>
        <w:t xml:space="preserve">L'Oréal 2 weighted 2 weighted  </w:t>
        <w:br/>
        <w:t xml:space="preserve">Sara Lee 1+1 1+1 1+1  </w:t>
        <w:br/>
        <w:t xml:space="preserve">SC Johnson 1+1 1+1 1+1  </w:t>
        <w:br/>
        <w:t>Vania 1+1</w:t>
      </w:r>
    </w:p>
    <w:p>
      <w:r>
        <w:rPr>
          <w:b/>
        </w:rPr>
        <w:t>[Pages 97–99]</w:t>
      </w:r>
    </w:p>
    <w:p>
      <w:r>
        <w:t xml:space="preserve">♦ Conclusion  </w:t>
        <w:br/>
        <w:t xml:space="preserve">423. Most of the suppliers mentioned above "coordinated the implementation (...) of the [Sarkozy] agreement" (reference 317 of dossier 08/0044AC) by choosing, after discussion, the same method, namely a weighted price decrease of 1% and a linear decrease of 1% (approach 1+1), which was the most favorable possible given the power dynamics with the distributors and the financial stakes of the commitment.  </w:t>
        <w:br/>
        <w:t xml:space="preserve">424. The participation of the companies in the exchanges identified above is detailed in the table below:  </w:t>
        <w:br/>
        <w:t xml:space="preserve">Meeting Team Meeting Team Meeting of 12- Contacts Meeting  </w:t>
        <w:br/>
        <w:t xml:space="preserve">PCP 1/07/04 HP 5/07/04 13/07/04 bilateral of the "Friends" of  </w:t>
        <w:br/>
        <w:t xml:space="preserve">11/08/04 21/09/04  </w:t>
        <w:br/>
        <w:t xml:space="preserve">Hygiene Maintenance Hygiene +  </w:t>
        <w:br/>
        <w:t xml:space="preserve">maintenance Hygiene + Hygiene +  </w:t>
        <w:br/>
        <w:t xml:space="preserve">maintenance maintenance  </w:t>
        <w:br/>
        <w:t xml:space="preserve">Colgate- X X X X X  </w:t>
        <w:br/>
        <w:t xml:space="preserve">Palmolive  </w:t>
        <w:br/>
        <w:t xml:space="preserve">Henkel X X X X X  </w:t>
        <w:br/>
        <w:t xml:space="preserve">Unilever X X X  </w:t>
        <w:br/>
        <w:t xml:space="preserve">Procter &amp; Gamble X X X  </w:t>
        <w:br/>
        <w:t xml:space="preserve">Reckitt Benckiser X X X  </w:t>
        <w:br/>
        <w:t xml:space="preserve">Beiersdorf X  </w:t>
        <w:br/>
        <w:t xml:space="preserve">Bolton Solitaire X  </w:t>
        <w:br/>
        <w:t xml:space="preserve">Gillette X X  </w:t>
        <w:br/>
        <w:t xml:space="preserve">Sara Lee X  </w:t>
        <w:br/>
        <w:t xml:space="preserve">SC Johnson X  </w:t>
        <w:br/>
        <w:t xml:space="preserve">Vania X  </w:t>
        <w:br/>
        <w:t xml:space="preserve">Lab. Vendôme X  </w:t>
        <w:br/>
        <w:t xml:space="preserve">425. The companies mentioned in this table participated in a consultation on the modalities for implementing the Sarkozy commitment, leading to the emergence of a near-consensus on the so-called "1+1" method during numerous exchanges that took place in various frameworks (Cercle Team HP, Team PCP, "Friends", and bilateral or multilateral contacts) between July and September 2004.  </w:t>
        <w:br/>
        <w:t>426. During the meeting on September 21, 2004, the positions of the companies on the modalities for implementing the commitment had already been ratified and sent to the distributors, the decrease being applicable from September 1. Nevertheless, Bolton Solitaire became aware of the common position of the five major leaders in the maintenance sector from July 12-13, 2004, before September 1, 2004, as evidenced by an internal memorandum dated July 19, 2004 (references 9 579 and 9 580). This is also the case for Laboratoires Vendôme, which became aware of its competitors' position on the implementation of the Sarkozy commitment before September 1, 2004, as evidenced by internal documents dated July 8, 2004 (references 13 681 and 44 028).</w:t>
      </w:r>
    </w:p>
    <w:p>
      <w:r>
        <w:t xml:space="preserve">The exchanges on exiting the commitment  </w:t>
        <w:br/>
        <w:t xml:space="preserve">427. In October 2004, one month after the start of the implementation of the commitment, while suppliers had lowered their prices and retail prices had effectively decreased on the shelves, disagreements began to emerge between suppliers and distributors regarding reimbursements. Indeed, some distributors did not intend to reimburse their full share (which was manifested by the linear discount of 1 point).  </w:t>
        <w:br/>
        <w:t xml:space="preserve">428. The question then arose regarding exiting the commitment through the cessation of linear discounts and the date of this exit, an isolated exit involving a risk for suppliers and exposing them to retaliatory measures by distributors.  </w:t>
        <w:br/>
        <w:t xml:space="preserve">429. During the "Friends" meeting on September 21, 2004, participants discussed the follow-up they intended to give to the commitment and the cessation of the linear discount (references 1 125, 1 126 of dossier 06/0018AC, 654 and 655 of dossier 06/0019AC). Henkel, SC Johnson, Reckitt Benckiser, Bolton Solitaire, Laboratoires Vendôme, Gillette, and Sara Lee presented the strategy they were considering regarding phase 2 of the commitment.  </w:t>
        <w:br/>
        <w:t xml:space="preserve">430. Ten days after this "Friends" meeting, a meeting of the commercial office of ILEC took place, attended among others by Henkel, Colgate-Palmolive, Beiersdorf, and L'Oréal (reference 39 838). This meeting resulted in a "board agreement" regarding the cessation, by certain suppliers, of the discount provided for by the commitment, in the absence of signatures from distributors on amendments providing for the reimbursement of their share, by the end of September 2004 (references 14 963 and 40 179).  </w:t>
        <w:br/>
        <w:t xml:space="preserve">431. During a Team PCP meeting on October 5, 2004 (reference 727 of dossier 06/0019AC), Henkel and Unilever announced that they were ending the linear discount provided for by the commitment (cessation announced on January 1, 2005, by Henkel).  </w:t>
        <w:br/>
        <w:t xml:space="preserve">432. At the beginning of October 2004, Mr. Gérard H... (Henkel Detergents) exchanged views with his counterparts from Procter &amp; Gamble, Unilever, Reckitt Benckiser, and Colgate-Palmolive regarding their intention to continue the linear discount or not. Some of these bilateral exchanges of information are clearly forward-looking (Procter &amp; Gamble, Unilever, and Reckitt Benckiser) and concern commercially sensitive data, namely the cessation or maintenance of the 1% linear discount, with some providing details on the effective date of the measure or on the products concerned (reference 10 932).  </w:t>
        <w:br/>
        <w:t xml:space="preserve">433. On October 27, 2004, Mr. Gérard H... (Henkel Detergents), Mr. Olivier J... (Unilever), and Ms. Nathalie Y... (Colgate-Palmolive) met to confirm the cessation of linear price decreases and to agree to stop price decreases on promotional products by the end of March 2005.  </w:t>
        <w:br/>
        <w:t>434. The handwritten notes of Mr. Gérard H... (reference 10 933) reproduced below attest to these exchanges. They indicate the behavior that these companies intend to follow in the market regarding their linear discount and thus their triple net price on several categories of products (softeners, fabric softeners, dishwashing products, hand dishwashing products).</w:t>
      </w:r>
    </w:p>
    <w:p>
      <w:r>
        <w:t xml:space="preserve">435. Colgate-Palmolive, Unilever, and Henkel agreed to stop the discounts related to the commitment on products subject to promotions by the end of March 2005, provided that this position was validated by November 15 in the context of Team HP meetings.  </w:t>
        <w:br/>
        <w:t xml:space="preserve">436. During the "Friends" meeting on November 4, 2004, a consensus emerged to abandon the linear discount. This consensus is illustrated by the mention "2005 (...) -1% no" noted on the meeting minutes of Ms. Nathalie Y... of Colgate-Palmolive (references 1 137 of dossier 06/0018AC and 666 of dossier 06/0019AC).  </w:t>
        <w:br/>
        <w:t xml:space="preserve">437. During the "Friends" meeting on December 3, 2004, Mr. Gérard H... (Henkel Detergents) confronted his exit strategy from the commitment with that of his counterparts, sales directors. Sara Lee stated that it would stop the linear discount in April (references 1 140 and 1 141 of dossier 06/0018AC, 669 and 670 of dossier 06/0019AC).  </w:t>
        <w:br/>
        <w:t xml:space="preserve">438. During the Team HP meeting on December 6, 2004 (references 1184, 1185 of dossier 06/0018AC, 159 and 160 of dossier 08/0044AC), Procter &amp; Gamble, Henkel, Unilever, Reckitt Benckiser, and Colgate-Palmolive exchanged information on past but very current and useful data for ongoing negotiations (Unilever: cessation of the 1% linear discount on October 1 and Colgate-Palmolive on November 1) or on future data (Henkel: cessation at the end of the year, Reckitt Benckiser: cessation on January 1, 2005). The existence of a converging strategy to stop the 1% linear discount is established, except for Procter &amp; Gamble (the latter having adopted a weighted decrease strategy) (reference 22 882).  </w:t>
        <w:br/>
        <w:t xml:space="preserve">♦ Conclusion  </w:t>
        <w:br/>
        <w:t xml:space="preserve">439. After coordinating the implementation of the commitment, "[the] suppliers [who participated in the practices] coordinated (...) the end of the application of the agreement" (reference 317 of dossier 08/0044AC).  </w:t>
        <w:br/>
        <w:t>440. The participation of each company is summarized in the table below:</w:t>
      </w:r>
    </w:p>
    <w:p>
      <w:r>
        <w:rPr>
          <w:b/>
        </w:rPr>
        <w:t>[Pages 100–102]</w:t>
      </w:r>
    </w:p>
    <w:p>
      <w:r>
        <w:t xml:space="preserve">Conclusion  </w:t>
        <w:br/>
        <w:t xml:space="preserve">439. After coordinating the implementation of the commitment, “[the] suppliers [who participated in the practices] coordinated (…) the end of the application of the agreement” (reference 317 of dossier 08/0044AC).  </w:t>
        <w:br/>
        <w:t xml:space="preserve">440. The participation of each company is summarized in the table below:  </w:t>
        <w:br/>
        <w:t xml:space="preserve">In the maintenance sector  </w:t>
        <w:br/>
        <w:t xml:space="preserve">Colgate- Henkel Unilever Procter &amp; Reckitt Bolton Sara SC  </w:t>
        <w:br/>
        <w:t xml:space="preserve">Palmolive Gamble Benckiser Solitaire Lee Johnson  </w:t>
        <w:br/>
        <w:t xml:space="preserve">“Friends” 21/09/04 X X X X X X  </w:t>
        <w:br/>
        <w:t xml:space="preserve">Bilateral contacts with G. X X X X X  </w:t>
        <w:br/>
        <w:t xml:space="preserve">H... in October 2004 between  </w:t>
        <w:br/>
        <w:t xml:space="preserve">each of the mentioned companies  </w:t>
        <w:br/>
        <w:t xml:space="preserve">Meeting of 27/10/04 X X X  </w:t>
        <w:br/>
        <w:t xml:space="preserve">reported by note from G.  </w:t>
        <w:br/>
        <w:t xml:space="preserve">H...  </w:t>
        <w:br/>
        <w:t xml:space="preserve">“Friends” - 4/11/04 X X X X X X  </w:t>
        <w:br/>
        <w:t xml:space="preserve">“Friends” - 3/12/04 X X X X X X  </w:t>
        <w:br/>
        <w:t xml:space="preserve">Team HP - 6/12/04 X X X X X  </w:t>
        <w:br/>
        <w:t xml:space="preserve">442. The companies mentioned in the table above coordinated on the cessation of the linear discount resulting from the commitment. Regarding Bolton Solitaire, a non-signatory of the commitment, the information collected was useful for anticipating the pricing developments of its competitors.  </w:t>
        <w:br/>
        <w:t xml:space="preserve">In the hygiene sector  </w:t>
        <w:br/>
        <w:t xml:space="preserve">Colgate- Henkel Unilever Reckitt Beiersdorf Gillette Lab.Ve Sara Vania  </w:t>
        <w:br/>
        <w:t xml:space="preserve">Palmolive Benckiser orf ndôme Lee  </w:t>
        <w:br/>
        <w:t xml:space="preserve">“Friends” 21/09/04 X X X X X X  </w:t>
        <w:br/>
        <w:t xml:space="preserve">Handwritten note - X X X  </w:t>
        <w:br/>
        <w:t xml:space="preserve">Alain P... (former  </w:t>
        <w:br/>
        <w:t xml:space="preserve">commercial director  </w:t>
        <w:br/>
        <w:t xml:space="preserve">of Beiersdorf)  </w:t>
        <w:br/>
        <w:t xml:space="preserve">30/09/2004  </w:t>
        <w:br/>
        <w:t xml:space="preserve">Team PCP of X X X X X X  </w:t>
        <w:br/>
        <w:t xml:space="preserve">5/10/2004  </w:t>
        <w:br/>
        <w:t xml:space="preserve">“Friends” - 4/11/04 X X X X X  </w:t>
        <w:br/>
        <w:t xml:space="preserve">“Friends” - 3/12/04 X X X X X  </w:t>
        <w:br/>
        <w:t xml:space="preserve">444. The companies mentioned in the table above coordinated on the cessation of the linear discount. Regarding Laboratoires Vendôme, a non-signatory of the commitment, the information collected was useful for anticipating the pricing developments of its competitors. Furthermore, L’Oréal and Beiersdorf both participated in the development of a “recommendation” within the framework of the ILEC office, to stop the linear discounts.  </w:t>
        <w:br/>
        <w:t xml:space="preserve">The exchanges on the status of reimbursements by distributors  </w:t>
        <w:br/>
        <w:t xml:space="preserve">445. According to the consistent statements of the implicated parties, distributors showed some reluctance to reimburse the advance that had been made to them by the suppliers (references 40 901 to 40 903).  </w:t>
        <w:br/>
        <w:t xml:space="preserve">446. The commitment led to substantial exchanges between competitors regarding who had obtained the reimbursement of the advanced share and which brand(s) had proceeded with the reimbursement. They sought to know, when faced with a refusal, whether this refusal was specific to them, in which case they had room to insist on the reimbursement, or if this refusal was common, in which case the negotiation appeared more difficult, as suppliers faced a general policy of the brand.  </w:t>
        <w:br/>
        <w:t xml:space="preserve">447. During the Team PCP meeting on August 30, 2004, Colgate-Palmolive, Henkel, Beiersdorf, Vania, and Gillette exchanged for the first time on how they envisioned obtaining the reimbursement of the linear discount advanced to the distributors (reference 723 of dossier 06/0019AC).  </w:t>
        <w:br/>
        <w:t xml:space="preserve">448. During the “Friends” meeting on September 21, 2004, the participants provided an initial update on their reimbursements by indicating whether they had obtained the signature of the amendments to the commercial cooperation contracts necessary for this reimbursement (references 1 125 of dossier 06/0018AC and 654 of dossier 06/0019AC). It emerged that no company, except Gillette, had managed to obtain the signature of the amendments.  </w:t>
        <w:br/>
        <w:t xml:space="preserve">449. The participants were able to conclude that negotiations on reimbursements would be arduous. This was all the more so as distributors feared that the commitment would lead to the amount of their commercial cooperation being calculated on a turnover basis of 98 (reduced by the two points of the commitment) and not on a basis of 100. They therefore demanded financial compensation for this reduction in the basis of their commercial cooperation (reference 10 932).  </w:t>
        <w:br/>
        <w:t xml:space="preserve">450. During the “Friends” meeting on November 4, 2004, the participants specified the status of their negotiations on reimbursements with Auchan, Carrefour, Intermarché, Casino, Leclerc, Cora, and Système U by indicating whether the amendment was signed or not and what requests they were receiving from the distributors (references 1129 to 1136 of dossier 06/0018AC and 658 and 665 of dossier 06/0019AC).  </w:t>
        <w:br/>
        <w:t xml:space="preserve">451. During the Team HP meeting on November 15, 2004, Henkel and Procter &amp; Gamble informed the other participants of the behavior they had adopted towards certain distributors (references 1181 and 1182 of dossier 06/0018AC).  </w:t>
        <w:br/>
        <w:t xml:space="preserve">452. Henkel informed its competitors that it had refused Carrefour financial neutrality, meaning that it had refused to maintain the amount of commercial cooperation in value paid to Carrefour: “neutrality φ = NO!!”. Procter &amp; Gamble announced that it would not compensate, through benefits granted to Système U, for the loss of margin generated by the unilateral application by the brand of the 1% price reduction, which was reflected in the payment of 99% of the invoice amounts: “- No compensation. Base 99 or 98 and same for 2005”.  </w:t>
        <w:br/>
        <w:t xml:space="preserve">453. During the “Friends” meeting on December 3, 2004, Colgate-Palmolive and Henkel urged the other participants to exert greater pressure on large retailers and obtain more easily the reimbursement of the amounts owed. They proposed, regarding distributors who had not signed an amendment, to unilaterally deduct from year-end rebates the amounts owed under the commitment (references 343 of dossier 08/0044AC and 753 of dossier 08/0084AC).  </w:t>
        <w:br/>
        <w:t xml:space="preserve">454. During the subsequent meetings (Team HP on December 6, 2004, “Friends” on January 14 and February 17, 2005, and Team PCP on March 9, 2005), the participants exchanged very precise and quantified information on the status of their reimbursements with distributors, notably Carrefour, Leclerc, Auchan, EMC (Casino), and Intermarché. For example, the information provided by Henkel during the “Friends” meeting on January 14, 2005, is as follows: “SU pays (…) Galec (…) would agree to pay 0.50 (…) Cora pays amendment -52K€ (…) Inter: 99 8K€ deduction CRF: maintenance PLANTE. PB does not want to pay (…) Auchan will pay” (references 1144, 1145, 1149, 1185, 1186 of dossier 06/0018AC, 673, 674, 678, and 742 of dossier 06/0019AC).  </w:t>
        <w:br/>
        <w:t xml:space="preserve">455. A note from Mr. Stéphane 7... (Reckitt Benckiser) prior to April 14, 2005 (references 23 009 and 23 010), indicates that the majority of participants in the exchanges (Henkel, Unilever, Colgate-Palmolive, Sara Lee, and SC Johnson) ultimately signed the amendments providing for the reimbursements of the advance made under the commitment (references 11 775, 1161 of dossier 06/0018AC, 689 and 690 of dossier 06/0019AC). The exchanges observed thus had a positive effect for the participants:  </w:t>
        <w:br/>
        <w:t xml:space="preserve">Signature amendment Derive coop 2005 Lucie Rate ✓  </w:t>
        <w:br/>
        <w:t xml:space="preserve">* SCJ Yes as is Yes 1.50%  </w:t>
        <w:br/>
        <w:t xml:space="preserve">Henkel Derive 0.30  </w:t>
        <w:br/>
        <w:t xml:space="preserve">Colgate Moved to 0.20pt  </w:t>
        <w:br/>
        <w:t xml:space="preserve">* Henkel Yes Perf 0.15  </w:t>
        <w:br/>
        <w:t xml:space="preserve">Doc other Ent  </w:t>
        <w:br/>
        <w:t xml:space="preserve">* Colgate Yes 0.20  </w:t>
        <w:br/>
        <w:t xml:space="preserve">* Sara Lee Yes  </w:t>
        <w:br/>
        <w:t xml:space="preserve">* Unilever Yes 0.20  </w:t>
        <w:br/>
        <w:t xml:space="preserve">* PG no  </w:t>
        <w:br/>
        <w:t xml:space="preserve">* RB  </w:t>
        <w:br/>
        <w:t xml:space="preserve">♦ Conclusion  </w:t>
        <w:br/>
        <w:t xml:space="preserve">456. Colgate-Palmolive, Procter &amp; Gamble, Henkel, Reckitt Benckiser, and Unilever as well as, on one hand, SC Johnson and Sara Lee in the maintenance sector and, on the other hand, Sara Lee, Vania, Beiersdorf, and Gillette in the hygiene sector coordinated by exchanging information on the status of their reimbursements by the distributors during the commitment.  </w:t>
        <w:br/>
        <w:t xml:space="preserve">457. These exchanges of precise and confidential information at a high frequency between almost all participants allowed the implicated parties to limit competition among themselves on a significant element of their profitability - the reimbursements of the advance they had granted to the distributors during the first phase of the Sarkozy commitment.  </w:t>
        <w:br/>
        <w:t xml:space="preserve">458. It appears that the exchanges were not without effect since the majority of participants ultimately obtained reimbursements, despite the difficulties encountered.  </w:t>
        <w:br/>
        <w:t>459. The participation of each company in the exchanges is summarized in the tables that follow.</w:t>
      </w:r>
    </w:p>
    <w:p>
      <w:r>
        <w:rPr>
          <w:b/>
        </w:rPr>
        <w:t>[Pages 103–105]</w:t>
      </w:r>
    </w:p>
    <w:p>
      <w:r>
        <w:t xml:space="preserve">In the maintenance sector  </w:t>
        <w:br/>
        <w:t xml:space="preserve">Colgate- Henkel Unilever Procter &amp; Reckitt Sara Lee SC Johnson  </w:t>
        <w:br/>
        <w:t xml:space="preserve">Palmolive Gamble Benckiser  </w:t>
        <w:br/>
        <w:t xml:space="preserve">"Friends" - 09/21/04 X X X X X  </w:t>
        <w:br/>
        <w:t xml:space="preserve">Note from Gérard H... X X  </w:t>
        <w:br/>
        <w:t xml:space="preserve">October 2004  </w:t>
        <w:br/>
        <w:t xml:space="preserve">Exchange Hkl-CP/U - X X X  </w:t>
        <w:br/>
        <w:t xml:space="preserve">Around October 27, 2004  </w:t>
        <w:br/>
        <w:t xml:space="preserve">"Friends" - 11/04/04 X X X X X  </w:t>
        <w:br/>
        <w:t xml:space="preserve">Team HP - 11/15/04 X X X  </w:t>
        <w:br/>
        <w:t xml:space="preserve">"Friends" - 12/03/04 X X X X X  </w:t>
        <w:br/>
        <w:t xml:space="preserve">Team HP - 12/06/04 X X X X X  </w:t>
        <w:br/>
        <w:t xml:space="preserve">"Friends" - 01/14/05 X X X  </w:t>
        <w:br/>
        <w:t xml:space="preserve">"Friends" - 02/17/05 X X X X X  </w:t>
        <w:br/>
        <w:t xml:space="preserve">Exchange RB/HKL-CP-SL- X X X X X  </w:t>
        <w:br/>
        <w:t>SCJ</w:t>
      </w:r>
    </w:p>
    <w:p>
      <w:r>
        <w:t xml:space="preserve">In the hygiene sector  </w:t>
        <w:br/>
        <w:t xml:space="preserve">Colgate- Henkel Beiersdorf Gillette Reckitt Sara Vania  </w:t>
        <w:br/>
        <w:t xml:space="preserve">Palmolive Benckiser Lee  </w:t>
        <w:br/>
        <w:t xml:space="preserve">Team PCP – 08/30/04 X X X X X  </w:t>
        <w:br/>
        <w:t xml:space="preserve">"Friends" 09/21/04 X X X X X  </w:t>
        <w:br/>
        <w:t xml:space="preserve">"Friends" - 11/04/04 X X X X  </w:t>
        <w:br/>
        <w:t xml:space="preserve">"Friends" 12/03/04 X X X X  </w:t>
        <w:br/>
        <w:t xml:space="preserve">"Friends" - 01/14/05 X X X  </w:t>
        <w:br/>
        <w:t xml:space="preserve">"Friends" - 02/17/05 X X X X X  </w:t>
        <w:br/>
        <w:t>Team PCP – 03/09/05 X X X X</w:t>
      </w:r>
    </w:p>
    <w:p>
      <w:r>
        <w:t xml:space="preserve">General conclusion on the implementation and exit from the commitment  </w:t>
        <w:br/>
        <w:t xml:space="preserve">461. It emerges from the elements in the file that the implicated companies:  </w:t>
        <w:br/>
        <w:t xml:space="preserve">- coordinated the implementation of the commitment in the manner that was least costly for them, opting for the 1+1 approach;  </w:t>
        <w:br/>
        <w:t xml:space="preserve">- coordinated their exit from the commitment by simultaneously ending the advance of the linear discount charged to distributors;  </w:t>
        <w:br/>
        <w:t>- conferred by exchanging information on the reimbursements of distributors to facilitate obtaining the reimbursements.</w:t>
      </w:r>
    </w:p>
    <w:p>
      <w:r>
        <w:t xml:space="preserve">The exchanges on price changes within the framework of the commitment  </w:t>
        <w:br/>
        <w:t xml:space="preserve">462. In addition to the information exchanged on the implementation of the commitment, the implicated parties coordinated on their price changes within the framework of the commitment.  </w:t>
        <w:br/>
        <w:t>463. From June to September 2004, the implicated parties exchanged information on the level of price reductions applied in the first phase of the commitment. From the end of September 2004, they exchanged information on the date of sending their prices and the level of their increases in the second phase of the commitment.</w:t>
      </w:r>
    </w:p>
    <w:p>
      <w:r>
        <w:t xml:space="preserve">Findings in the maintenance sector  </w:t>
        <w:br/>
        <w:t xml:space="preserve">♦ The exchanges on the planned price reductions (1st phase)  </w:t>
        <w:br/>
        <w:t xml:space="preserve">464. During the Team HP meeting on July 5, 2004, Colgate-Palmolive, Henkel, Procter &amp; Gamble, Unilever, and Reckitt Benckiser exchanged information on the level of their promotions and the categories of products for which they wished to prioritize price reductions. The meeting minutes from Mr. Pierre I... (Unilever) indicate (reference 18 807):  </w:t>
        <w:br/>
        <w:t xml:space="preserve">Colgate-Palmolive: "everything on household cleaner / 18% reduction on all bottles otherwise: dish liquid → 11% reduction [on the 750 ml]";  </w:t>
        <w:br/>
        <w:t xml:space="preserve">Henkel: "priority 2 = dish liquids ;) 30 doses: 7% reduction";  </w:t>
        <w:br/>
        <w:t xml:space="preserve">Reckitt Benckiser: "10 to 15% on deodorant (...) 5 to 10% on (illegible) dishwasher [ppalt additives]".  </w:t>
        <w:br/>
        <w:t xml:space="preserve">465. Henkel stated that "in the same way that the participants in the meetings usually exchanged information on the overall percentage increase of their prices (+ X %), they exchanged information on the categories of products on which the targeted price reductions would apply, as well as on the overall average percentage of these targeted price reductions" (reference 38 676).  </w:t>
        <w:br/>
        <w:t xml:space="preserve">466. Thus, the Team HP meeting on July 5, 2004, was an opportunity for the present manufacturers to exchange, several weeks before the implementation of the commitment that was to take place in September, on the levels of future reductions and the categories of products concerned.  </w:t>
        <w:br/>
        <w:t xml:space="preserve">467. The memorandum dated August 9, 2004, from Mr. Pierre I... (Unilever) mentions a near-total alignment of the level of price reductions practiced by Unilever and the four other leaders in the maintenance sector on their categories of products, whether they belong to the hygiene or maintenance sector (reference 18 805).  </w:t>
        <w:br/>
        <w:t xml:space="preserve">468. Regarding maintenance products, the memorandum (reference 34 495) indicates:  </w:t>
        <w:br/>
        <w:t xml:space="preserve">- on fabric softeners: Unilever and Colgate-Palmolive apply exactly the same reduction (1% linear, 0% targeted);  </w:t>
        <w:br/>
        <w:t xml:space="preserve">- on cleaners: Unilever, Henkel, and Colgate-Palmolive apply exactly the same reduction (1% linear, 8% weighted, 9% total) and Procter &amp; Gamble also applies a total reduction of 9%;  </w:t>
        <w:br/>
        <w:t xml:space="preserve">- on dishwasher products (MDW): Unilever, Henkel, and Reckitt Benckiser all apply a 1% linear reduction, 6% targeted, and thus a total of 7%.  </w:t>
        <w:br/>
        <w:t xml:space="preserve">469. The handwritten notes of Mr. Gérard H... (Henkel Detergents) from November 2004 report discussions with Colgate-Palmolive (references 40 825 and 40 844) on the consequences of the price reductions applied within the framework of the commitment. During this exchange, Colgate-Palmolive emphasized that it could lower the prices of special Paic Laine detergents if Henkel did not raise the prices of its Mir Laine Shampoo and Machine references.  </w:t>
        <w:br/>
        <w:t>470. This document thus indicates the existence of coordination of future pricing strategies between Henkel and Colgate-Palmolive regarding the price reductions applied within the framework of the commitment and related to special detergents, which is a specific category of products.</w:t>
      </w:r>
    </w:p>
    <w:p>
      <w:r>
        <w:t xml:space="preserve">♦ The exchanges on the planned price increases (2nd phase)  </w:t>
        <w:br/>
        <w:t xml:space="preserve">471. The exchanges on the level of price reductions that were to be applied at the beginning of September were quickly followed by exchanges on the level of price increases for 2005 within the framework of the second phase of the commitment.  </w:t>
        <w:br/>
        <w:t xml:space="preserve">472. During the "Friends" meeting on September 21, 2004, which included, for the maintenance sector, Colgate-Palmolive, Henkel, SC Johnson, Reckitt Benckiser, Bolton Solitaire, and Sara Lee, the first exchanges on price increases took place (references 1125 to 1127 of dossier 06/0018AC).  </w:t>
        <w:br/>
        <w:t xml:space="preserve">473. The participants considered that the general terms and conditions (which included prices) for the year 2005 could not be sent to distributors until the issue of reimbursement of the corresponding discount point advanced by the distributors was resolved.  </w:t>
        <w:br/>
        <w:t xml:space="preserve">474. In October 2004 (reference 329 of 08/0044AC), Mr. Gérard H... (Henkel Detergents) contacted his counterparts in the maintenance sector to ask whether their companies were considering price increases in the context of price moderation.  </w:t>
        <w:br/>
        <w:t xml:space="preserve">475. On this occasion, Henkel, Unilever, and Colgate-Palmolive exchanged very precise information regarding future price increases concerning special detergents, hand dishwashing products, and fabric softeners (references 40 843 and 40 844, 40 823 to 40 825).  </w:t>
        <w:br/>
        <w:t xml:space="preserve">476. These pieces of information concerned specific products. Thus, Colgate-Palmolive informed Henkel that it did not plan to increase the prices of its dish liquids marketed under the Palmolive and Paic brands. It specified the price evolution of Soupline fabric softeners in diluted liquid format of 3 liters, in concentrated liquid format ("ultras"), and in berlingo format ("doses"). It indicated that Colgate-Palmolive did not plan to increase the price of Soupline in concentrated liquid format unless Unilever raised the price of Cajoline (reference 40 825). This indicates coordination of pricing policies for fabric softeners between Colgate-Palmolive and Unilever.  </w:t>
        <w:br/>
        <w:t xml:space="preserve">477. During the "Friends" meeting on December 3, 2004, which included, for the maintenance sector, Colgate-Palmolive, Henkel, SC Johnson, Reckitt Benckiser, Bolton Solitaire, and Sara Lee, the participants exchanged information regarding future data (for the period between December 15, 2004, and April 2005) and precise information on the level of increases for the 2005 price and on the attitude to adopt regarding the commitment in 2005.  </w:t>
        <w:br/>
        <w:t>478. The participants exhibited behaviors characterized by a strong homogeneity: the planned price increases for 2005 are between 1.30% (Sara Lee) and 2% (SC Johnson), with the forecasts from Colgate-Palmolive and Reckitt Benckiser.</w:t>
      </w:r>
    </w:p>
    <w:p>
      <w:r>
        <w:rPr>
          <w:b/>
        </w:rPr>
        <w:t>[Pages 106–108]</w:t>
      </w:r>
    </w:p>
    <w:p>
      <w:r>
        <w:t xml:space="preserve">481. The participants reported behaviors characterized by a strong homogeneity: the price increases contemplated for 2005 are between 1.30% (Sara Lee) and 2% (SC Johnson) in the maintenance sector, with the forecasts of Colgate-Palmolive and Reckitt Benckiser being identical (March/April +1.70%). The date of sending the 2005 general sales conditions is common to all suppliers: 15/12/2004.  </w:t>
        <w:br/>
        <w:t xml:space="preserve">482. All the companies involved also indicated their desire to reduce the smoothing period, that is, the period during which distributors could still purchase at the old price, to a maximum of four weeks (instead of an average of 6 weeks).  </w:t>
        <w:br/>
        <w:t xml:space="preserve">483. Finally, some companies that participated in the exchange announced their negotiation strategies:  </w:t>
        <w:br/>
        <w:t xml:space="preserve">484. Regarding these strategies, Henkel stated: "Colgate-Palmolive, SC Johnson, Reckitt Benckiser, and Sara Lee essentially have an identical commercial negotiation strategy, but will present different narratives to the distributors" (reference 38 675).  </w:t>
        <w:br/>
        <w:t xml:space="preserve">485. During the Team HP meeting on December 6, 2004, Henkel, Unilever, Procter &amp; Gamble, Colgate-Palmolive, and Reckitt Benckiser exchanged sensitive, precise commercial information regarding the future price increase dates, smoothing periods, and, for Reckitt Benckiser, the level of its increase (file reference 1184 of dossier 06/0018AC).  </w:t>
        <w:br/>
        <w:t xml:space="preserve">486. The table below shows that, at the time of the exchange, the participants had not yet sent their prices to the distributors and that the projected application dates correspond to the dates on which the prices were actually sent. The participants (except Procter &amp; Gamble) all indicated May 1, 2005, as the expiration date of their smoothing period.  </w:t>
        <w:br/>
        <w:t xml:space="preserve">Price Date announced Effective date of  </w:t>
        <w:br/>
        <w:t xml:space="preserve">Price evolution  </w:t>
        <w:br/>
        <w:t xml:space="preserve">Company Notes communicated during  </w:t>
        <w:br/>
        <w:t xml:space="preserve">the meeting according to  </w:t>
        <w:br/>
        <w:t xml:space="preserve">the notes of the inquiry  </w:t>
        <w:br/>
        <w:t xml:space="preserve">25/3 → applied  </w:t>
        <w:br/>
        <w:t xml:space="preserve">Henkel Colgate 25/03/05 Yes (26/01/05)  </w:t>
        <w:br/>
        <w:t xml:space="preserve">1/5  </w:t>
        <w:br/>
        <w:t xml:space="preserve">Unilever Colgate 7/3 → applied 1/5 07/03/05 Yes (07/01/05)  </w:t>
        <w:br/>
        <w:t xml:space="preserve">21/2 → applied  </w:t>
        <w:br/>
        <w:t xml:space="preserve">Procter Colgate 21/02/05 Yes (23/12/04)  </w:t>
        <w:br/>
        <w:t xml:space="preserve">22/2 → 1/4  </w:t>
        <w:br/>
        <w:t xml:space="preserve">4/4 → applied  </w:t>
        <w:br/>
        <w:t xml:space="preserve">Reckitt Colgate +1% +1% 04/04/05 Yes (28/01/05)  </w:t>
        <w:br/>
        <w:t xml:space="preserve">1/5  </w:t>
        <w:br/>
        <w:t xml:space="preserve">487. This alignment on the same smoothing date could only limit competition among the different companies by allowing the participants to ensure that none of them could be more attractive to the retailers by offering a longer smoothing period, that is, by allowing them to purchase for a longer time at the old price.  </w:t>
        <w:br/>
        <w:t xml:space="preserve">488. At the end of 2004 or the beginning of 2005, Mr. Gérard H... (Henkel Detergents) exchanged information with the representative of SC Johnson, who informed him of the average increase of its 2005 price and the price evolution of several references of toilet cleaning products (reference 40 847).  </w:t>
        <w:br/>
        <w:t xml:space="preserve">489. During a contact between Henkel and Reckitt Benckiser on January 14, 2005 (reference 40 839), these companies exchanged information on the prices of specifically identified products: dishwasher products (Calgonit), special detergents (Woolite), stain removers for laundry (Vanish), cleaning products (Cillit Bang).  </w:t>
        <w:br/>
        <w:t xml:space="preserve">490. For example, Reckitt Benckiser provided the percentage price evolution of several references of Harpic toilet cleaning products, competitors of Bref WC, a product marketed by Henkel:  </w:t>
        <w:br/>
        <w:t xml:space="preserve">“Generalist WC Harpic 750 1.39 (-2.2% confirmed  </w:t>
        <w:br/>
        <w:t xml:space="preserve">Bleach 1.39  </w:t>
        <w:br/>
        <w:t xml:space="preserve">(lemon grapefruit 1.29 = 0)  </w:t>
        <w:br/>
        <w:t xml:space="preserve">Harpic tabs 6-8 2.05 (+3.5%)  </w:t>
        <w:br/>
        <w:t xml:space="preserve">Harpic 2 in 1 x I 1.75 (+4.65%)  </w:t>
        <w:br/>
        <w:t xml:space="preserve">2.98 (+0.69%)”  </w:t>
        <w:br/>
        <w:t xml:space="preserve">491. At the time of the exchange, the prices of Reckitt Benckiser and Henkel had not yet been sent to the distributors. This contact attests to the existence between these two competitors in the maintenance sector of communication of commercially sensitive information regarding prospective pricing data concerning specific references.  </w:t>
        <w:br/>
        <w:t xml:space="preserve">492. During a bilateral contact between Henkel and Unilever on January 24, 2005 (reference 40 840), Unilever informed Henkel of the price charged for Cajoline Vaporesse (a steam ironing water) and specified that this product would not be subject to a price increase.  </w:t>
        <w:br/>
        <w:t xml:space="preserve">493. During the "Friends" meeting on February 17, 2005, attended by Colgate-Palmolive, Henkel, SC Johnson, Bolton Solitaire, Sara Lee, and Reckitt Benckiser, price increases and the application dates of these increases were discussed one last time (references 1151 of dossier 06/0018AC and 346 of dossier 08/0044AC).  </w:t>
        <w:br/>
        <w:t xml:space="preserve">494. The meeting notes of Mr. Guy O... (Henkel) are reproduced below:  </w:t>
        <w:br/>
        <w:t xml:space="preserve">495. Henkel commented on them as follows:  </w:t>
        <w:br/>
        <w:t xml:space="preserve">“(...) The participants exchanged information on the overall future increase of their prices, as shown in the table:  </w:t>
        <w:br/>
        <w:t xml:space="preserve">The first column "how much" indicates the overall price increases in percentage;  </w:t>
        <w:br/>
        <w:t xml:space="preserve">the second column "when" indicates the date of application of the price increase;  </w:t>
        <w:br/>
        <w:t xml:space="preserve">the third column "smoothing" indicates the period during which distributors can still purchase products under the previous price conditions;  </w:t>
        <w:br/>
        <w:t xml:space="preserve">the fourth column indicates the date taken into account for calculating the price evolution indices mentioned in the fifth column. (...)” (references 325 and 326 of dossier 08/0044AC).  </w:t>
        <w:br/>
        <w:t xml:space="preserve">496. The data is therefore particularly comprehensive. At the date of the meeting, the price increases had been communicated to the distributors, but the commercial negotiations with the retailers were not yet completed, as the commercial cooperation contracts were signed later.  </w:t>
        <w:br/>
        <w:t xml:space="preserve">Findings in the hygiene sector  </w:t>
        <w:br/>
        <w:t xml:space="preserve">497. As in the maintenance sector, exchanges in the hygiene sector began with discussions on the level of price decreases in the context of the first phase of the commitment, and ended with the level of price increases in the context of the second phase of the commitment.  </w:t>
        <w:br/>
        <w:t xml:space="preserve">♦ Exchanges on price decreases (1st phase)  </w:t>
        <w:br/>
        <w:t xml:space="preserve">498. During the Team PCP meeting on July 1, 2004, Colgate-Palmolive, Gillette, Beiersdorf, Henkel, and Vania exchanged information on the level of their promotions and on the categories of products they wished to prioritize for price reductions.  </w:t>
        <w:br/>
        <w:t xml:space="preserve">499. For example, the handwritten notes of Mr. Alain P... (Beiersdorf) mention: “Procter &amp; Gamble: “decrease all feminine hygiene -18%, Herbalessence -13%”, for Vania: “-18% feminine hygiene =1% + 1 line = 1% increase in cooperation” and for Gillette, a differentiated (targeted) decrease on razor blades (references 14 905 and 14 906).  </w:t>
        <w:br/>
        <w:t xml:space="preserve">500. Simultaneously at the Team HP meeting on July 5, 2004 (reference 18 808), information was exchanged between Unilever and Colgate-Palmolive regarding the level of price decreases practiced by Colgate-Palmolive in the hygiene sector. At that date, Unilever had not sent its price decreases to the distributors, just like Colgate-Palmolive.  </w:t>
        <w:br/>
        <w:t xml:space="preserve">501. The memorandum of August 9, 2004, from Mr. Pierre I... (Unilever) (reference 18 805) illustrates the interdependence between the implicated parties for their choices of price decreases. Regarding hair care products, it is indicated that Unilever and Colgate-Palmolive practice exactly similar decreases (1% linear, 7% weighted, 8% in total), as well as for dental care (1% linear, 8% weighted, 9% in total).  </w:t>
        <w:br/>
        <w:t xml:space="preserve">♦ Exchanges on price increases (2nd phase)  </w:t>
        <w:br/>
        <w:t xml:space="preserve">502. During the "Friends" meeting on September 21, 2004, attended by Colgate-Palmolive, Henkel, Reckitt Benckiser, Laboratoires Vendôme, Sara Lee, and Gillette in the hygiene sector, the first exchanges on price increases took place (references 654 to 656 of dossier 06/0019AC).  </w:t>
        <w:br/>
        <w:t xml:space="preserve">503. The participants noted that "the sending of the general sales conditions could not take place before the negotiation of the 2005 amendment related to the Sarkozy agreement" (references 39 784 and 39 912).  </w:t>
        <w:br/>
        <w:t>504. During the Team PCP meeting on October 5, 2004, attended by Colgate-Palmolive, Henkel, Unilever, Vania, Gillette, and Beiersdorf, the participants (except Unilever) announced the future price increases they were considering for 2005 as well as their application dates (references 728 and 729 of dossier 06/0019AC).</w:t>
      </w:r>
    </w:p>
    <w:p>
      <w:r>
        <w:rPr>
          <w:b/>
        </w:rPr>
        <w:t>[Pages 109–111]</w:t>
      </w:r>
    </w:p>
    <w:p>
      <w:r>
        <w:t xml:space="preserve">505. The report from the commercial director of Colgate-Palmolive mentions these exchanges:  </w:t>
        <w:br/>
        <w:t xml:space="preserve">506. During this meeting, Vania indicated that it would lower its prices to "align with the price reduction of Procter &amp; Gamble." As a result, Procter &amp; Gamble exchanged information with Vania regarding its future price reductions, which led Vania to follow the movement initiated by Procter &amp; Gamble, thereby reducing competition between these two companies.  </w:t>
        <w:br/>
        <w:t xml:space="preserve">507. At the "Friends" meeting on November 4, 2004, which included Colgate-Palmolive, Reckitt Benckiser, Laboratoires Vendôme, Henkel, and Sara Lee in the hygiene sector, information was exchanged regarding the rate of price increases that Sara Lee and Henkel were considering applying and that Laboratoires Vendôme had just sent to distributors (references 664 and 665 of dossier 06/0019AC), as well as their dates of increase. Henkel and Sara Lee announced a similar range of increases: 2.2-2.5% in March-April for Henkel, 2-2.10% in March-April for Sara Lee. Laboratoires Vendôme announced a maximum increase level of 2.4%.  </w:t>
        <w:br/>
        <w:t xml:space="preserve">508. During the Team PCP meeting on November 9, 2004, among Henkel, Colgate-Palmolive, Vania, Gillette, and Beiersdorf, the participants indicated the planned price increases as well as their projected application dates (references 731-732 of dossier 06/0019AC).  </w:t>
        <w:br/>
        <w:t xml:space="preserve">509. Beiersdorf, Gillette, and Henkel announced nearly identical future price increases (2.4% for Beiersdorf, 2.3% for Gillette, 2.5% for Henkel) (references 8 415 (VC) and 47 035 (VNC)).  </w:t>
        <w:br/>
        <w:t xml:space="preserve">510. Regarding this meeting, the commercial director of Vania stated: "The exchanges may have generated a homogeneity of increases. Being in close proximity creates a certain convergence among us, in our commercial conditions (notably prices), even if there was naturally an element of bluff" (reference 39 812).  </w:t>
        <w:br/>
        <w:t xml:space="preserve">511. At the "Friends" meeting on December 3, 2004, which included Colgate-Palmolive, Henkel, Laboratoires Vendôme, Sara Lee, and Reckitt Benckiser in the hygiene sector, the participants once again announced future price increases and the application dates for these prices.  </w:t>
        <w:br/>
        <w:t xml:space="preserve">512. At the "Friends" meeting on January 14, 2005, which included Colgate-Palmolive, Henkel, Laboratoires Vendôme, and Sara Lee, Laboratoires Vendôme indicated the amount of the price increase sent to distributors (reference 675 of dossier 06/0019AC).  </w:t>
        <w:br/>
        <w:t xml:space="preserve">513. At the Team PCP meeting on February 14, 2005, which included Colgate-Palmolive, Beiersdorf, Gillette, Henkel, Unilever, and Vania, Henkel, Beiersdorf, and Unilever indicated that they had implemented price increases. Mr. Jean-François Q... (Colgate-Palmolive) stated: "This is a confirmation of what was exchanged during previous meetings regarding the existence of price increases for these companies" (reference 39 842).  </w:t>
        <w:br/>
        <w:t xml:space="preserve">514. The term "confirmation" illustrates here the two phases of the consultation. In the first phase, the exchange among participants regarding their respective positioning allows them to coordinate their behaviors concerning the level of price increases. In the second phase, each confirms their positioning, which allows participants to verify the credibility of the exchanged information and reassures each about their own position.  </w:t>
        <w:br/>
        <w:t xml:space="preserve">515. On February 17, 2005, during a "Friends" meeting that included Colgate-Palmolive, Henkel, Laboratoires Vendôme, Reckitt Benckiser, Gillette, and Sara Lee in the hygiene sector, past price increases under the commitment were mentioned one last time (reference 680 of dossier 06/0019AC).  </w:t>
        <w:br/>
        <w:t xml:space="preserve">516. Thus, these last three meetings at the beginning of 2005 were dedicated to exchanges about price increases already sent to distributors, aimed at confirming previous exchanges regarding these increases.  </w:t>
        <w:br/>
        <w:t xml:space="preserve">Conclusion  </w:t>
        <w:br/>
        <w:t xml:space="preserve">♦ In the maintenance sector  </w:t>
        <w:br/>
        <w:t xml:space="preserve">517. Colgate-Palmolive, Henkel, Unilever, Procter &amp; Gamble, Reckitt Benckiser, Bolton Solitaire, SC Johnson, and Sara Lee coordinated by exchanging information about their pricing policies within the framework of the Sarkozy commitment. These exchanges concerned the level of their future price reductions under the Sarkozy commitment and the level of their future and/or past price increases for the year 2005. They also involved the date of sending their general terms and conditions.  </w:t>
        <w:br/>
        <w:t>518. These exchanges of information at a very regular frequency regarding future positions, coupled with exchanges about past increases, led to a certain convergence of price increases. This phenomenon of convergence is reflected in the following table:</w:t>
      </w:r>
    </w:p>
    <w:p>
      <w:r>
        <w:t>| Colgate- | Henkel | Unilever | Procter &amp; | Reckitt | Bolton | Solitaire | Sara | SC |</w:t>
        <w:br/>
        <w:t>| Palmolive | | | Gamble | Lee | | | Johnson | |</w:t>
        <w:br/>
        <w:t>| Contact | HKL- | "CP | "Unilever | CP/U | - | October | wishes | wishes |</w:t>
        <w:br/>
        <w:t>| 2004 | a | increase | an increase | in the | 1st | quarter | 0[5] | (not |</w:t>
        <w:br/>
        <w:t>| (not | quantified) | | | | | | | |</w:t>
        <w:br/>
        <w:t>| "Friends" | Obj. | 1.8 | 3% | 2-3% | 1.5-2% |</w:t>
        <w:br/>
        <w:t>| 4/11/04 | | | | | | | | |</w:t>
        <w:br/>
        <w:t>| March/April | March/April | March/April | March/April | | | | |</w:t>
        <w:br/>
        <w:t>| "Friends" | 1.7% | 1.70% | Actual | +1.50% | 1.3 to | +1.5 to | 2.0% |</w:t>
        <w:br/>
        <w:t>| 3/12/04 | 1.4% | [1.7 on | average) | | | | |</w:t>
        <w:br/>
        <w:t>| March/April | March/April | March | April | | | | |</w:t>
        <w:br/>
        <w:t>| Team HP | 1st | May | 1st | May | 1st | April | 1st | May |</w:t>
        <w:br/>
        <w:t>| 6/12/04 | (smoothing) | (smoothing) | (smoothing) | | | | |</w:t>
        <w:br/>
        <w:t>| Meeting of | 1.20% | 1.40% | 1% | 1.50% | 1.47% |</w:t>
        <w:br/>
        <w:t>| "Friends" | | | | | | |</w:t>
        <w:br/>
        <w:t>| of | | | | | | |</w:t>
        <w:br/>
        <w:t>| 17/02/05 | | | | | | |</w:t>
        <w:br/>
        <w:t xml:space="preserve">519. The companies all announced for 2005 price increases that were inconsistent with the pricing moderation orientations of the commitment.  </w:t>
        <w:br/>
        <w:t>520. The following table summarizes the participation of the concerned companies in exchanges regarding the level and/or the application date of future prices:</w:t>
      </w:r>
    </w:p>
    <w:p>
      <w:r>
        <w:t>| Team | Memo | Friends | Contact | Friends | Contact | Friends | HP | Contact | Contact |</w:t>
        <w:br/>
        <w:t>| HP | UL | Hkl/RB | Hkl/Ul |</w:t>
        <w:br/>
        <w:t>| 21/09/04 | HkL/CP | 4/11/04 | Hkl/UL- | 3/12/04 | 6/12/04 |</w:t>
        <w:br/>
        <w:t>| 5/07/04 | 9/08/04 | CP | 14/01/05 | 24/01/05 |</w:t>
        <w:br/>
        <w:t>| Nov | 2004 | Nov 2004 | | | | | |</w:t>
        <w:br/>
        <w:t>| Bolton | X | X | | | | | |</w:t>
        <w:br/>
        <w:t>| Colgate | X | X | X | X | X | X | X | X |</w:t>
        <w:br/>
        <w:t>| Henkel | X | X | X | X | X | X | X | X | X |</w:t>
        <w:br/>
        <w:t>| Procter | X | X | | | | | |</w:t>
        <w:br/>
        <w:t>| Reckitt | X | X | X | X | X | X | |</w:t>
        <w:br/>
        <w:t>| Sara | X | X | | | | |</w:t>
        <w:br/>
        <w:t>| Lee | | | | | | |</w:t>
        <w:br/>
        <w:t>| SC | X | X | | | | |</w:t>
        <w:br/>
        <w:t>| Johnson | | | | | | |</w:t>
        <w:br/>
        <w:t xml:space="preserve">| Unilever | X | X | X | X | | | | |  </w:t>
        <w:br/>
        <w:t>521. The following table summarizes the participation of the concerned companies in exchanges regarding the level and/or the application date of past prices:</w:t>
      </w:r>
    </w:p>
    <w:p>
      <w:r>
        <w:rPr>
          <w:b/>
        </w:rPr>
        <w:t>[Pages 112–114]</w:t>
      </w:r>
    </w:p>
    <w:p>
      <w:r>
        <w:t xml:space="preserve">Amis Contact Hkl/SCJ Contact Hkl/Ul Amis  </w:t>
        <w:br/>
        <w:t xml:space="preserve">3/12/04 24/01/05 17/02/05  </w:t>
        <w:br/>
        <w:t xml:space="preserve">Bolton Solitaire X X  </w:t>
        <w:br/>
        <w:t xml:space="preserve">Colgate X  </w:t>
        <w:br/>
        <w:t xml:space="preserve">Henkel X X  </w:t>
        <w:br/>
        <w:t xml:space="preserve">Reckitt X  </w:t>
        <w:br/>
        <w:t xml:space="preserve">Sara Lee X  </w:t>
        <w:br/>
        <w:t xml:space="preserve">SC Johnson X X X  </w:t>
        <w:br/>
        <w:t>Unilever X</w:t>
      </w:r>
    </w:p>
    <w:p>
      <w:r>
        <w:t xml:space="preserve">♦ In the hygiene sector  </w:t>
        <w:br/>
        <w:t xml:space="preserve">522. Colgate-Palmolive, Beiersdorf, Gillette, Henkel, Laboratoires Vendôme, Reckitt Benckiser, Sara Lee, Unilever, and Vania coordinated by exchanging information on their pricing policies within the framework of the Sarkozy commitment. These exchanges concerned the level of their future price reductions under the Sarkozy commitment and the level of their future and/or past prices for the year 2005. They also involved the date of sending their general terms and conditions (CGV).  </w:t>
        <w:br/>
        <w:t xml:space="preserve">523. The following table summarizes the participation of the companies involved in exchanges regarding the level and/or the date of application of future prices:  </w:t>
        <w:br/>
        <w:t xml:space="preserve">PCP Contact Memo Amis PCP Amis PCP Amis Amis PCP  </w:t>
        <w:br/>
        <w:t xml:space="preserve">UL/CP UL  </w:t>
        <w:br/>
        <w:t xml:space="preserve">1/07/04 21/09/04 5/10/04 4/11/04 9/11/04 3/12/04 14/01/05 14/02/05  </w:t>
        <w:br/>
        <w:t xml:space="preserve">5/07/04 9/08/04  </w:t>
        <w:br/>
        <w:t xml:space="preserve">Colgate X X X X X X X X  </w:t>
        <w:br/>
        <w:t xml:space="preserve">Beiersdorf X X X  </w:t>
        <w:br/>
        <w:t xml:space="preserve">Gillette X X X X  </w:t>
        <w:br/>
        <w:t xml:space="preserve">Henkel X X X X X X  </w:t>
        <w:br/>
        <w:t xml:space="preserve">Vendôme X  </w:t>
        <w:br/>
        <w:t xml:space="preserve">Reckitt X X X  </w:t>
        <w:br/>
        <w:t xml:space="preserve">Sara Lee X X X X  </w:t>
        <w:br/>
        <w:t xml:space="preserve">Unilever X X X  </w:t>
        <w:br/>
        <w:t>Vania X X X X</w:t>
      </w:r>
    </w:p>
    <w:p>
      <w:r>
        <w:t xml:space="preserve">524. The following table summarizes the participation of the companies involved in exchanges regarding the level and/or the date of application of past prices:  </w:t>
        <w:br/>
        <w:t xml:space="preserve">Amis Amis Amis PCP Amis  </w:t>
        <w:br/>
        <w:t xml:space="preserve">4/11/04 3/12/04 14/01/05 14/02/05 17/02/05  </w:t>
        <w:br/>
        <w:t xml:space="preserve">Colgate X X X  </w:t>
        <w:br/>
        <w:t xml:space="preserve">Beiersdorf X  </w:t>
        <w:br/>
        <w:t xml:space="preserve">Gillette X X  </w:t>
        <w:br/>
        <w:t xml:space="preserve">Henkel X X X  </w:t>
        <w:br/>
        <w:t xml:space="preserve">Vendôme X X X X  </w:t>
        <w:br/>
        <w:t xml:space="preserve">Reckitt X  </w:t>
        <w:br/>
        <w:t xml:space="preserve">Sara Lee X  </w:t>
        <w:br/>
        <w:t>Unilever X</w:t>
      </w:r>
    </w:p>
    <w:p>
      <w:r>
        <w:t xml:space="preserve">♦ Conclusion regarding the two sectors  </w:t>
        <w:br/>
        <w:t xml:space="preserve">525. The preceding elements establish the existence of a concerted action, in both concerned sectors, between the previously identified companies, taking the form of exchanges of information regarding the level of future reductions applied within the framework of the first phase of the commitment and the level of price increases considered or actually implemented, within the framework of the second phase of the commitment.  </w:t>
        <w:br/>
        <w:t xml:space="preserve">526. These exchanges on pricing developments allowed operators active in the hygiene sector and in the maintenance sector to coordinate during both phases of the commitment, which is corroborated by the convergence in the level of announced price increases.  </w:t>
        <w:br/>
        <w:t xml:space="preserve">527. In this regard, it should be noted that the fact that the exchange concerned global data and did not occur product by product does not undermine the finding of the existence of coordination among the participants in the practices, in the maintenance sector and in the hygiene sector.  </w:t>
        <w:br/>
        <w:t>528. Indeed, in this case, an exchange of precise information, product by product, would have been of no real relevance, given that the negotiation on prices with large retailers primarily concerns the weighted average increase within the framework of general product categories. Coordination on the average increase was therefore more effective, even if this coordination did not exclude occasional exchanges on specific products or product categories.</w:t>
      </w:r>
    </w:p>
    <w:p>
      <w:r>
        <w:t xml:space="preserve">Exchanges on the drift within the framework of the commitment  </w:t>
        <w:br/>
        <w:t xml:space="preserve">529. Despite the provisions of the commitment regarding the freeze on drifts for 2004 and the reduction of commercial cooperation for the year 2005, commercial cooperation remained, as in previous years, one of the essential elements of negotiations between suppliers and distributors from the end of 2004.  </w:t>
        <w:br/>
        <w:t>530. From the beginning of the last quarter of 2004, the companies involved exchanged information on the average level of drift across all brands that they were considering for 2005.</w:t>
      </w:r>
    </w:p>
    <w:p>
      <w:r>
        <w:t xml:space="preserve">Findings in the maintenance sector  </w:t>
        <w:br/>
        <w:t>531. During the "Friends" meeting on November 4, 2004, Bolton Solitaire, Reckitt Benckiser, SC Johnson, and Henkel announced similar levels of drift they were considering for 2005 (0.3%, 0.2%, 0.25% in NIP, 0.25%) (reference 13 704).</w:t>
      </w:r>
    </w:p>
    <w:p>
      <w:r>
        <w:t xml:space="preserve">532. The participants discussed the arguments justifying the granting of a low drift (reference 1137 of dossier 06/0018AC):  </w:t>
        <w:br/>
        <w:t xml:space="preserve">533. Ms. Nathalie Y... (Colgate-Palmolive), questioned about this document, stated: "This is a list of objective arguments that we shared (...) These elements allowed for a hammering effect when used frequently during negotiations" (references 39 917 and 39 918).  </w:t>
        <w:br/>
        <w:t xml:space="preserve">534. During the "Friends" meeting on December 3, 2004, the participants updated these figures regarding the drifts. Bolton Solitaire, Colgate-Palmolive, Reckitt Benckiser, SC Johnson, and Sara Lee announced similar drifts of 0.4%, 0.5%, 0.5%, 0.4%, and 0.5% respectively (reference 343 of dossier 08/0044AC). Henkel announced a drift of 0.42%.  </w:t>
        <w:br/>
        <w:t>535. At a Team HP meeting on December 6, 2004, Henkel and Reckitt Benckiser indicated that they did not plan to lower the retailers' back margins, unlike Procter &amp; Gamble. Thus, while participating in the aforementioned meetings and gathering information communicated by its competitors, Procter &amp; Gamble once again took autonomous positions relative to its competitors and made this known transparently.</w:t>
      </w:r>
    </w:p>
    <w:p>
      <w:r>
        <w:t xml:space="preserve">♦ Participation in exchanges on the drifts  </w:t>
        <w:br/>
        <w:t>536. As summarized in the table below, Colgate-Palmolive, Henkel, Procter &amp; Gamble, Reckitt Benckiser, Unilever, Bolton Solitaire, Sara Lee, and SC Johnson coordinated by exchanging information on the level of drift they were considering for 2005. The dossier reports three meetings in two months during which the drift projections were updated.</w:t>
      </w:r>
    </w:p>
    <w:p>
      <w:r>
        <w:rPr>
          <w:b/>
        </w:rPr>
        <w:t>[Pages 115–117]</w:t>
      </w:r>
    </w:p>
    <w:p>
      <w:r>
        <w:t xml:space="preserve">Amis Amis HP  </w:t>
        <w:br/>
        <w:t xml:space="preserve">4/11/04 3/12/04 06/12/04  </w:t>
        <w:br/>
        <w:t xml:space="preserve">Colgate X X X  </w:t>
        <w:br/>
        <w:t xml:space="preserve">Henkel X X X  </w:t>
        <w:br/>
        <w:t xml:space="preserve">Procter &amp; Gamble X  </w:t>
        <w:br/>
        <w:t xml:space="preserve">Reckitt Benckiser X X X  </w:t>
        <w:br/>
        <w:t xml:space="preserve">Unilever X  </w:t>
        <w:br/>
        <w:t xml:space="preserve">Bolton Solitaire X X  </w:t>
        <w:br/>
        <w:t xml:space="preserve">Sara Lee X X  </w:t>
        <w:br/>
        <w:t>SC Johnson X X</w:t>
      </w:r>
    </w:p>
    <w:p>
      <w:r>
        <w:t xml:space="preserve">Findings in the hygiene sector  </w:t>
        <w:br/>
        <w:t xml:space="preserve">537. The first exchanges on price increases took place during the Team PCP meeting on October 5, 2004. Beiersdorf, Unilever, and Gillette announced a price increase of 0.50% while Henkel announced a price increase of 1% (references 728 and 729 of dossier 06/0019AC).  </w:t>
        <w:br/>
        <w:t xml:space="preserve">538. A second series of exchanges occurred during the "Friends" meeting on November 4, 2004, where Laboratoires Vendôme announced its anticipated price increase (reference 664 of dossier 06/0019AC) and where participants discussed possible arguments to limit their price increases.  </w:t>
        <w:br/>
        <w:t xml:space="preserve">539. A third series of exchanges took place during the Team PCP meeting on November 9, 2004 (references 731 and 732 of dossier 06/0019AC). Beiersdorf announced its discount hypotheses depending on whether the commitment remains in effect or not, and its anticipated price increase rate. Vania, Gillette, and Henkel also indicated their anticipated price increase rates.  </w:t>
        <w:br/>
        <w:t>540. A fourth series of exchanges occurred during the "Friends" meeting on December 3, 2004, where Laboratoires Vendôme indicated its price increase rate for 2005, as did Sara Lee (for international agreements) (reference 670 of dossier 06/0019AC).</w:t>
      </w:r>
    </w:p>
    <w:p>
      <w:r>
        <w:t xml:space="preserve">♦ Participation in exchanges on price increases  </w:t>
        <w:br/>
        <w:t>541. As summarized in the table below, Colgate-Palmolive, Henkel, Reckitt Benckiser, Unilever, Beiersdorf, Gillette, Sara Lee, Laboratoires Vendôme, and Vania coordinated by exchanging commercially sensitive information regarding the level of price increases they planned to implement in 2005, within the framework of the commitment.</w:t>
      </w:r>
    </w:p>
    <w:p>
      <w:r>
        <w:t xml:space="preserve">Team PCP Amis Team PCP Amis  </w:t>
        <w:br/>
        <w:t xml:space="preserve">5/10/04 4/11/04 9/11/04 3/12/04  </w:t>
        <w:br/>
        <w:t xml:space="preserve">Colgate X X X X  </w:t>
        <w:br/>
        <w:t xml:space="preserve">Henkel X X X X  </w:t>
        <w:br/>
        <w:t xml:space="preserve">Reckitt X X  </w:t>
        <w:br/>
        <w:t xml:space="preserve">Unilever X  </w:t>
        <w:br/>
        <w:t xml:space="preserve">Beiersdorf X X  </w:t>
        <w:br/>
        <w:t xml:space="preserve">Gillette X X  </w:t>
        <w:br/>
        <w:t xml:space="preserve">Lab. Vendôme X X  </w:t>
        <w:br/>
        <w:t xml:space="preserve">Sara Lee X X  </w:t>
        <w:br/>
        <w:t>Vania X X</w:t>
      </w:r>
    </w:p>
    <w:p>
      <w:r>
        <w:t xml:space="preserve">c) Exchanges under the Dutreil law  </w:t>
        <w:br/>
        <w:t>542. Under the Dutreil law, companies coordinated on price increases, price deviations, and, more sporadically, on commercial cooperation rates.</w:t>
      </w:r>
    </w:p>
    <w:p>
      <w:r>
        <w:t xml:space="preserve">Exchanges on price increases  </w:t>
        <w:br/>
        <w:t xml:space="preserve">543. Following the failure of the Dutreil circular in 2003 and the commitment in 2004, the Dutreil law of 2005 constituted the third attempt by public authorities to reduce consumer selling prices.  </w:t>
        <w:br/>
        <w:t xml:space="preserve">544. To this end, the August 2005 law reintroduced flexibility in the setting of resale prices by distributors by redefining the threshold for selling at a loss of a product. The objective of the public authorities was to achieve a reduction in consumer selling prices of around 5% (reference 23 722).  </w:t>
        <w:br/>
        <w:t xml:space="preserve">545. From the entry into force of the August 2005 law, certain distributors could lower resale prices (due to the decrease in the threshold for selling at a loss), which could initiate a price war among the main distributors, leading to a reduction in their margins. Suppliers therefore anticipated requests for larger price deviations intended to compensate for the erosion of distributors' back margins.  </w:t>
        <w:br/>
        <w:t xml:space="preserve">546. To address this threat, suppliers implemented significant price increases to create room for maneuver in the upcoming negotiations (references 34 634, 10 937, 39 854, and 39 855).  </w:t>
        <w:br/>
        <w:t>547. These increases had to be implemented quickly before distributors could refuse them by arguing that the Dutreil law aimed to lower prices and that, consequently, significant price increases were unacceptable (references 44 868 to 44 870).</w:t>
      </w:r>
    </w:p>
    <w:p>
      <w:r>
        <w:t xml:space="preserve">Findings in the hygiene sector  </w:t>
        <w:br/>
        <w:t>548. The first exchanges on price increases date back to August 4, 2005, two days after the adoption of the Dutreil law.</w:t>
      </w:r>
    </w:p>
    <w:p>
      <w:r>
        <w:t xml:space="preserve">♦ Announcement by Unilever of its price increase  </w:t>
        <w:br/>
        <w:t xml:space="preserve">549. On August 4, 2005, Mr. Frédéric T... (Henkel) (reference 76 of dossier 08/0084AC) reported to his colleagues that Unilever would send its clients a new price list, with a 5% increase, by the end of the week. Mr. Frédéric T... emphasized that Colgate-Palmolive was "calling" its competitors "to convince them to do the same."  </w:t>
        <w:br/>
        <w:t>550. Unilever, Colgate-Palmolive, and Henkel thus coordinated by exchanging commercially sensitive information regarding their future pricing practices within the new framework created by the Dutreil law.</w:t>
      </w:r>
    </w:p>
    <w:p>
      <w:r>
        <w:t xml:space="preserve">♦ Alignment of companies on Unilever's increase  </w:t>
        <w:br/>
        <w:t xml:space="preserve">551. Following Unilever's announcement, many participants in the Team PCP meetings aligned with Unilever's increase, corroborating the existence of prior coordination, implemented through Colgate-Palmolive's calls to its competitors to convince them to "take advantage of the gap" (reference 76 of dossier 08/0084AC).  </w:t>
        <w:br/>
        <w:t xml:space="preserve">552. Initially, on August 5, 2005, Unilever indeed sent a price increase of nearly 5% on average, applicable in October 2005 (reference 24 094).  </w:t>
        <w:br/>
        <w:t xml:space="preserve">553. Subsequently, Colgate-Palmolive announced a price increase of 5 to 6% (reference 14 752 (VC), reference 44 863 (VNC)).  </w:t>
        <w:br/>
        <w:t xml:space="preserve">554. Regarding this price increase movement, Mr. Jean-François Q... (Colgate-Palmolive) stated: "The information exchanged between us regarding Unilever's price increase and then Colgate's increase contributed to creating this homogeneous increase in the hygiene and maintenance sectors" (reference 39 842).  </w:t>
        <w:br/>
        <w:t xml:space="preserve">555. In a third step, a Team PCP meeting was held on October 6, 2005, attended by Colgate-Palmolive, Henkel, Unilever, Vania, Gillette, and Beiersdorf. During this meeting, participants communicated their price increases for 2006 (reference 3 086).  </w:t>
        <w:br/>
        <w:t xml:space="preserve">556. Price increases close to 5% were announced by most of the implicated companies. The information is precise regarding the upward trend, the general level of the increase around 5%, and the timing of the increase.  </w:t>
        <w:br/>
        <w:t>557. The following table shows that, on the one hand, the announced increases are often close to the increases actually implemented and that, on the other hand, Henkel, Vania, and Beiersdorf had not yet sent their price increases, allowing them to coordinate on the increases of their competitors.</w:t>
      </w:r>
    </w:p>
    <w:p>
      <w:r>
        <w:t xml:space="preserve">Announced increase Actual increase Future nature of the information  </w:t>
        <w:br/>
        <w:t xml:space="preserve">Unilever 5% Close to 5% on average No  </w:t>
        <w:br/>
        <w:t xml:space="preserve">Henkel PCP 4.9% 5.15 Yes (increase sent on October 14, 2005)  </w:t>
        <w:br/>
        <w:t xml:space="preserve">Gillette "Avg 5.5%" 5.2% No, price received by Carrefour on October 6, 2005  </w:t>
        <w:br/>
        <w:t xml:space="preserve">Beiersdorf 4.5% 5.98 Yes (increase sent on October 24, 2005)  </w:t>
        <w:br/>
        <w:t xml:space="preserve">L'Oréal "large increase" Lascad 6.30%; OAP 7.40%; Yes (increase sent on 21/10/05 for  </w:t>
        <w:br/>
        <w:t xml:space="preserve">GMG 6.41% Lascad (reference 22 874))  </w:t>
        <w:br/>
        <w:t>Vania Yes</w:t>
      </w:r>
    </w:p>
    <w:p>
      <w:r>
        <w:t>558. The exchanges of information regarding the level of price increases, some of which were future, constitute a completed form of coordination: the level of increase displayed by the largest operators in the sector serves as the convergence point for all actors.</w:t>
      </w:r>
    </w:p>
    <w:p>
      <w:r>
        <w:rPr>
          <w:b/>
        </w:rPr>
        <w:t>[Pages 118–120]</w:t>
      </w:r>
    </w:p>
    <w:p>
      <w:r>
        <w:t xml:space="preserve">559. The exceptional nature of the increases implemented by suppliers has provoked very strong reactions from distributors (references 10 697 to 10 699, 14 745 to 14 747, 19 007 to 19 009).  </w:t>
        <w:br/>
        <w:t xml:space="preserve">560. In an article published on December 5, 2005, in the newspaper Le Monde, Jose Luis Duran, chairman of the management board of Carrefour, stated: "Overall, we are currently being offered price increases of 4 to 6%." (...) "In Spain and Italy, we are seeing price increases of 1%, in Belgium and Greece between 2 and 2.5%. Yet, the reasons for increasing prices – inflation, soaring oil prices, rising raw material and wage costs – are not very different from one country to another." (...) "The products that are experiencing the highest increases are often essential. I cannot remove them from the shelves" (reference 23 692).  </w:t>
        <w:br/>
        <w:t xml:space="preserve">561. In an interview published in La Tribune on December 29, 2005, Mr. Michel Edouard Leclerc noted: "The most significant increases concern hygiene, health, and beauty products: they average 7.5% in this sector. It's incredible" (references 41 056 and 44 952).  </w:t>
        <w:br/>
        <w:t xml:space="preserve">♦ Confirmation of exchanged information and discussions on consumer selling prices  </w:t>
        <w:br/>
        <w:t xml:space="preserve">562. During the Team PCP meeting on November 9, 2005, attended by Colgate-Palmolive, Beiersdorf, L’Oréal, Gillette, and Henkel, the participants confirmed the level of price increases communicated to distributors (references 766 of dossier 06/0019AC and 64 of dossier 08/0084AC). The announced increases were close to 5% for all companies (except for L’Oréal, which implemented a significantly higher increase) and correspond to the increases actually implemented by the suppliers.  </w:t>
        <w:br/>
        <w:t xml:space="preserve">563. The participants also exchanged information on the level of prices for promotional and non-promotional products (reference 457 of dossier 08/0084AC): "- Everyone aligned on the promo - Keep the gaps on the SP [non-promotional]."  </w:t>
        <w:br/>
        <w:t xml:space="preserve">564. Aligning on promotions and maintaining the same price on shelf products limited the risks of potential reintegrations practiced by distributors under the Dutreil law disrupting the marketing positioning of suppliers' products compared to competing products (reference 14 761).  </w:t>
        <w:br/>
        <w:t xml:space="preserve">♦ Discussions on distributor reactions and arguments justifying the increases  </w:t>
        <w:br/>
        <w:t xml:space="preserve">565. During a "Friends" meeting on November 30, 2005, attended by Colgate-Palmolive, Sara Lee, and Henkel in the hygiene sector, the participants indicated whether their increases had been accepted by the distributors (reference 697 of dossier 06/0019AC).  </w:t>
        <w:br/>
        <w:t xml:space="preserve">566. The participants pooled the arguments justifying their price increases. The meeting notes from Ms. Nathalie Y... (Colgate-Palmolive) indicate:  </w:t>
        <w:br/>
        <w:t xml:space="preserve">- " cost  </w:t>
        <w:br/>
        <w:t xml:space="preserve">-  cost of fuel margin -&gt; price pass-through  </w:t>
        <w:br/>
        <w:t xml:space="preserve">- Price ∃ reality to apply  </w:t>
        <w:br/>
        <w:t xml:space="preserve">- SARKO effect and elasticity  </w:t>
        <w:br/>
        <w:t xml:space="preserve">- Holland  </w:t>
        <w:br/>
        <w:t xml:space="preserve">- Media government"  </w:t>
        <w:br/>
        <w:t xml:space="preserve">567. Thus, the participants at this meeting discussed a basic argument to present to distributors who might question the suppliers' price increases.  </w:t>
        <w:br/>
        <w:t xml:space="preserve">568. During the "Friends" meeting on January 26, 2006, Colgate-Palmolive, Henkel, Beiersdorf, Laboratoires Vendôme, Sara Lee, and Lascad discussed the price increases one last time in a meeting dedicated to discussions on the drift. Knowledge of the price increase implemented by each allowed for a better assessment of the significance of the drift requested by the distributors and proposed by the suppliers.  </w:t>
        <w:br/>
        <w:t xml:space="preserve">♦ Conclusions on price increases in the hygiene sector  </w:t>
        <w:br/>
        <w:t xml:space="preserve">569. Colgate-Palmolive, Henkel, Unilever, Vania, Beiersdorf, Gillette, L’Oréal, Laboratoires Vendôme, and Sara Lee coordinated by exchanging information on their future and/or past price increases at the time of the Dutreil law as well as on the distributors' reactions to these price increases. These companies also discussed the arguments that justify the price increases.  </w:t>
        <w:br/>
        <w:t xml:space="preserve">570. The participation of the companies in the exchanges is summarized in the following table:  </w:t>
        <w:br/>
        <w:t xml:space="preserve">Exchange Team PCP Team PCP "Friends" 30/11/05 → "Friends" 26/01/06 →  </w:t>
        <w:br/>
        <w:t xml:space="preserve">U/CP/HPCP 6/10/05 → Prices 9/11/05 → Prices Past Prices Past  </w:t>
        <w:br/>
        <w:t xml:space="preserve">(4/08/05) Future and Past Past  </w:t>
        <w:br/>
        <w:t xml:space="preserve">→ Future Prices  </w:t>
        <w:br/>
        <w:t xml:space="preserve">Colgate X X X X X  </w:t>
        <w:br/>
        <w:t xml:space="preserve">Henkel X X X X X  </w:t>
        <w:br/>
        <w:t xml:space="preserve">Unilever X X (past prices)  </w:t>
        <w:br/>
        <w:t xml:space="preserve">Beiersdorf X X X  </w:t>
        <w:br/>
        <w:t xml:space="preserve">Gillette X (past prices – X  </w:t>
        <w:br/>
        <w:t xml:space="preserve">sent the same day)  </w:t>
        <w:br/>
        <w:t xml:space="preserve">Vendôme X  </w:t>
        <w:br/>
        <w:t xml:space="preserve">L’Oréal X X (Lascad)  </w:t>
        <w:br/>
        <w:t xml:space="preserve">Sara Lee X X  </w:t>
        <w:br/>
        <w:t xml:space="preserve">Vania X  </w:t>
        <w:br/>
        <w:t xml:space="preserve">571. These exchanges took place with high frequency, on strategic information, and among almost all market players.  </w:t>
        <w:br/>
        <w:t xml:space="preserve">Findings in the maintenance sector  </w:t>
        <w:br/>
        <w:t xml:space="preserve">572. On August 4, 2005, Mr. Frédéric T... (Henkel Cosmetics) (reference 45 806) reported to his colleagues that Unilever would send a new price increase of 5% to its clients by the end of the week. Mr. Frédéric T... emphasized that Colgate-Palmolive was "calling" its competitors "to convince them to do the same." The increase announced by Unilever to Colgate-Palmolive concerned both the hygiene and maintenance sectors (references 40 032 and 39 843).  </w:t>
        <w:br/>
        <w:t xml:space="preserve">573. On September 6, 2005, Mr. Gérard H... (Henkel Detergents) informed Colgate-Palmolive that Henkel would proceed with a linear increase of 5% applicable on November 2, 2005 (reference 752 of dossier 08/0044AC).  </w:t>
        <w:br/>
        <w:t xml:space="preserve">574. During the "Friends" meeting on October 27, 2005, Henkel, Colgate-Palmolive, Bolton Solitaire, SC Johnson, Reckitt Benckiser, and Sara Lee discussed their price increases, which had already been sent to distributors, except for Bolton Solitaire and Reckitt Benckiser.  </w:t>
        <w:br/>
        <w:t xml:space="preserve">575. The communicated price increases reveal a certain homogeneity (Bolton Solitaire 3.5%, Colgate-Palmolive 3.5% - 5%, Henkel 5%, Reckitt Benckiser 4%, Sara Lee 4%, SC Johnson 4.5 or 4.7%) (references 10 140, 13 875, and 47 013).  </w:t>
        <w:br/>
        <w:t xml:space="preserve">576. Furthermore, the converging statements of two participants in the practices attest to the existence of exchanges on future increases before this meeting (reference 39 763).  </w:t>
        <w:br/>
        <w:t xml:space="preserve">577. The exchanges before and during the "Friends" meeting on October 27, 2005, could only have had a significant effect on the level of the observed increases, to which the distributors reacted strongly (references 9 561 to 9 563).  </w:t>
        <w:br/>
        <w:t xml:space="preserve">578. During the Team HP meeting on November 22, 2005, attended by Colgate-Palmolive, Reckitt Benckiser, and Henkel, Henkel and Reckitt Benckiser confirmed their price increases (respectively targeted at 4% and linear at 5%) (reference 1188 of dossier 06/0018AC). It can be inferred from the statement of the former sales director of Reckitt Benckiser that the rate of increase implemented by this company is relatively exceptional (reference 40 190), which cannot be unrelated to the observed exchanges.  </w:t>
        <w:br/>
        <w:t xml:space="preserve">579. During a "Friends" meeting on November 30, 2005, Colgate-Palmolive, Sara Lee, Henkel, SC Johnson, and Bolton Solitaire exchanged information on whether the prices sent had been accepted by the distributors (reference 1168 of dossier 06/0018AC) and pooled the arguments justifying their price increases.  </w:t>
        <w:br/>
        <w:t xml:space="preserve">580. The general and specialized press shows that these arguments were indeed used (reference 39 855) and that the increases observed in the maintenance and hygiene sectors at the end of 2005 were exceptional (references 40 696 and 23 605).  </w:t>
        <w:br/>
        <w:t xml:space="preserve">♦ Conclusion on price increases in the maintenance sector  </w:t>
        <w:br/>
        <w:t xml:space="preserve">581. Colgate-Palmolive, Henkel, Unilever, Reckitt Benckiser, Sara Lee, SC Johnson, and Bolton Solitaire coordinated by exchanging information on their future and past price increases as well as on the distributors' reactions to these price increases. These companies also discussed the arguments that justified the price increases. These exchanges, at all levels of the negotiation of the net triple price, could only lead to prices higher than those that would have resulted from undistorted competition, and to higher net triple prices benefiting the suppliers. The press has echoed significant price increases (references 40 696 and 23 605).  </w:t>
        <w:br/>
        <w:t>582. The participation in the exchanges is summarized in the following table:</w:t>
      </w:r>
    </w:p>
    <w:p>
      <w:r>
        <w:rPr>
          <w:b/>
        </w:rPr>
        <w:t>[Pages 121–123]</w:t>
      </w:r>
    </w:p>
    <w:p>
      <w:r>
        <w:t xml:space="preserve">exchange "Friends" Exchange Team HP "Friends"  </w:t>
        <w:br/>
        <w:t xml:space="preserve">U/CP/HPC HHP/CP 27/10/05 → H/CP 22/11/05 → 30/11/05 →  </w:t>
        <w:br/>
        <w:t xml:space="preserve">P (4/08/05) (6/09/2005) Future rates and 9/11/05 → Past rates Past rates  </w:t>
        <w:br/>
        <w:t xml:space="preserve">Past rates  </w:t>
        <w:br/>
        <w:t xml:space="preserve">→ Rates → Rates  </w:t>
        <w:br/>
        <w:t xml:space="preserve">Future Future Future  </w:t>
        <w:br/>
        <w:t xml:space="preserve">Colgate X X X X X X  </w:t>
        <w:br/>
        <w:t xml:space="preserve">Henkel X X X X X  </w:t>
        <w:br/>
        <w:t xml:space="preserve">Unilever X  </w:t>
        <w:br/>
        <w:t xml:space="preserve">Reckitt X (future rates) X  </w:t>
        <w:br/>
        <w:t xml:space="preserve">Bolton X (future rates) X  </w:t>
        <w:br/>
        <w:t xml:space="preserve">Vendôme X  </w:t>
        <w:br/>
        <w:t xml:space="preserve">Sara Lee X X  </w:t>
        <w:br/>
        <w:t>SC Johnson X X</w:t>
      </w:r>
    </w:p>
    <w:p>
      <w:r>
        <w:t xml:space="preserve">583. These exchanges took place with high frequency and concerned strategic information, namely the rates.  </w:t>
        <w:br/>
        <w:t xml:space="preserve">The exchanges on deviations  </w:t>
        <w:br/>
        <w:t xml:space="preserve">584. The exchanges on deviations intensified during the year 2005, from the early stages of the Dutreil law, to take into account the risk of early implementation of the law by the distributors.  </w:t>
        <w:br/>
        <w:t xml:space="preserve">585. Indeed, on the one hand, even before the adoption of the Dutreil law, the idea of a possible reintegration of part of the back margins into the resale price threshold was put forward, as evidenced by several parliamentary or governmental initiatives aimed at reforming the Galland law. Some distributors practiced reintegrations of back margins into front margins and asked suppliers to participate in financing these price reductions (reference 40 794).  </w:t>
        <w:br/>
        <w:t xml:space="preserve">586. On the other hand, after the adoption of the Dutreil law, suppliers feared that distributors would demand significant deviations from them. Indeed, the higher the commercial cooperation deviation granted, the more it was possible for distributors to lower their prices and be competitive against their competitors, hence their interest in requesting significant deviations.  </w:t>
        <w:br/>
        <w:t xml:space="preserve">587. The exchanges related to deviations concerned both phases of the commercial negotiation, namely the request for deviation (from the distributors) and then the offer of deviation (from the suppliers).  </w:t>
        <w:br/>
        <w:t xml:space="preserve">The exchanges on the distributors' requests for deviations  </w:t>
        <w:br/>
        <w:t xml:space="preserve">♦ Findings in the maintenance sector  </w:t>
        <w:br/>
        <w:t xml:space="preserve">588. The elements in the file, mainly contemporary meeting reports of the practices, show that the companies listed in the table below coordinated by exchanging information on the distributors' requests for deviations during Team HP or "Friends" meetings.  </w:t>
        <w:br/>
        <w:t>The existence of exchanges is established by the reports of Mr. Eric N... (Bolton Solitaire) and Ms. Nathalie Y... (Colgate-Palmolive) concerning the "Friends" meetings of January 14, 2005 (references 9 588, 9 589, and 1 144 to 1 146 of dossier 06/0018AC), February 17, 2005 (references 9 586 and 9 587), March 17, 2005 (references 9 584 and 1 154 of dossier 06/0018AC), April 14, 2005 (references 9 595, 1 160, and 1 161 of dossier 06/0018AC), and May 12, 2005.</w:t>
      </w:r>
    </w:p>
    <w:p>
      <w:r>
        <w:t xml:space="preserve">Friends Friends Friends Friends Friends HP Friends  </w:t>
        <w:br/>
        <w:t xml:space="preserve">14/01/05 17/02/05 17/03/05 14/04/05 12/05/05 05/01/06 3/02/06  </w:t>
        <w:br/>
        <w:t xml:space="preserve">Colgate X X X X X X X  </w:t>
        <w:br/>
        <w:t xml:space="preserve">Henkel X X X X X X X  </w:t>
        <w:br/>
        <w:t xml:space="preserve">Reckitt X X X  </w:t>
        <w:br/>
        <w:t xml:space="preserve">Bolton X X X X X X  </w:t>
        <w:br/>
        <w:t xml:space="preserve">Sara Lee X X X X X X  </w:t>
        <w:br/>
        <w:t>SC Johnson X X X X</w:t>
      </w:r>
    </w:p>
    <w:p>
      <w:r>
        <w:t xml:space="preserve">589. These exchanges, which involved strategic and secret information exchanged almost monthly by companies covering a large part of the market, could only allow participants to better calibrate their own deviation proposals during negotiations, thus improving their situation. On at least two occasions, participants exchanged information on the evolution of distributors' deviation requests, either downward (references 769 of dossier 06/0019AC and 1154 of dossier 06/0018AC) or upward (references 9 595, 22 465, and 765 of dossier 06/0019AC), during negotiations, which allowed them to have dynamic information and to adjust their offers as negotiations progressed.  </w:t>
        <w:br/>
        <w:t xml:space="preserve">♦ Findings in the hygiene sector  </w:t>
        <w:br/>
        <w:t>590. The documents in the file report the same exchanges in the hygiene sector. The table below presents the different meetings during which exchanges on deviation requests took place in the hygiene sector at the time of the Dutreil law and just before its entry into force, as well as the participants.</w:t>
      </w:r>
    </w:p>
    <w:p>
      <w:r>
        <w:t>The first exchange on deviation requests dates back to a trilateral contact between Beiersdorf/Vania and Colgate-Palmolive (notes from Mr. Benoit 2... of January 22, 2003, reference 14 875). The elements in the file attesting to these exchanges consist of notes from Mr. Jean-François Q... for the Team PCP meetings of March 9, 2005 (reference 742 of dossier 06/0019AC), April 11, 2005 (references 747 and 748 of dossier 06/0019AC), July 11, 2005 (reference 760 of dossier 06/0019AC), November 9, 2005 (reference 765 of dossier 06/0019AC), December 7, 2005 (reference 769 of dossier 06/0019AC), and early January 2006 (references 772 to 774 of dossier 06/0019AC), as well as notes from Ms. Nathalie Y... (Colgate-Palmolive) taken during the meetings of May 12, 2005 (reference 692 of dossier 06/0019AC) and January 26, 2006 (references 699, 700, 703, and 704 of dossier 06/0019AC).</w:t>
      </w:r>
    </w:p>
    <w:p>
      <w:r>
        <w:t xml:space="preserve">PCP PCP Friends PCP PCP PCP PCP Friends  </w:t>
        <w:br/>
        <w:t xml:space="preserve">09/03/05 11/04/05 12/05/05 11/07/05 9/11/05 7/12/05 01/06 26/01/06  </w:t>
        <w:br/>
        <w:t xml:space="preserve">Colgate X X X X X X X X  </w:t>
        <w:br/>
        <w:t xml:space="preserve">Henkel X X X X X X X X  </w:t>
        <w:br/>
        <w:t xml:space="preserve">L’Oréal X X X X (Lascad)  </w:t>
        <w:br/>
        <w:t xml:space="preserve">Unilever X  </w:t>
        <w:br/>
        <w:t xml:space="preserve">Beiersdorf X X X X X X  </w:t>
        <w:br/>
        <w:t xml:space="preserve">Gillette X X X X X X  </w:t>
        <w:br/>
        <w:t xml:space="preserve">Vendôme X X  </w:t>
        <w:br/>
        <w:t xml:space="preserve">Sara Lee X X  </w:t>
        <w:br/>
        <w:t>Vania X X X X X</w:t>
      </w:r>
    </w:p>
    <w:p>
      <w:r>
        <w:t xml:space="preserve">591. These exchanges, which took place with high frequency, concerned strategic information.  </w:t>
        <w:br/>
        <w:t xml:space="preserve">♦ Conclusion  </w:t>
        <w:br/>
        <w:t xml:space="preserve">592. Colgate-Palmolive, Henkel, Reckitt Benckiser, Bolton Solitaire, Sara Lee, and SC Johnson in the maintenance sector, and Colgate-Palmolive, Henkel, L’Oréal, Unilever, Beiersdorf, Gillette, Laboratoires Vendôme, Sara Lee, and Vania in the hygiene sector, coordinated by exchanging information on their deviation requests during the negotiations of 2005 and 2006 with the aim of ultimately granting a deviation that was as low as possible.  </w:t>
        <w:br/>
        <w:t xml:space="preserve">The exchanges on the concrete offers of deviations from suppliers  </w:t>
        <w:br/>
        <w:t xml:space="preserve">593. The negotiations on deviations within the framework of the Dutreil law were tense. Distributors wanted to obtain the maximum to lower their resale prices to consumers while maintaining their margins at their pre-Dutreil law levels. Suppliers, for their part, wanted to avoid nullifying the substantial price increases they had just implemented.  </w:t>
        <w:br/>
        <w:t xml:space="preserve">♦ Findings in the maintenance sector  </w:t>
        <w:br/>
        <w:t xml:space="preserve">The exchanges on the contemplated offers of deviations  </w:t>
        <w:br/>
        <w:t xml:space="preserve">594. The exchanges on deviation offers concerned:  </w:t>
        <w:br/>
        <w:t xml:space="preserve">- signed deviation offers (reference 14 166) or not (references 1153 and 1154 of dossier 06/0018AC);  </w:t>
        <w:br/>
        <w:t xml:space="preserve">- the evolution of these offers during the negotiation (references 1160 of dossier 06/0018AC, 10 307, and 13 606);  </w:t>
        <w:br/>
        <w:t xml:space="preserve">- the reaction of the brands to the quantified offers and the level of new proposals (references 1163 and 1191 of dossier 06/0018AC).  </w:t>
        <w:br/>
        <w:t>595. An example of these exchanges is provided by a handwritten note (reference 11 775) from Mr. Stéphane 7... (Reckitt Benckiser) close to April 14, 2005. This document mentions a deviation of 0.15% for Henkel, 0.20% for Colgate-Palmolive and Unilever, and a deviation of 0.30% which "went to 0.20 pt," the same deviation as Colgate-Palmolive and Unilever, for SC Johnson. It should be noted the great homogeneity of the contemplated deviations and a</w:t>
      </w:r>
    </w:p>
    <w:p>
      <w:r>
        <w:rPr>
          <w:b/>
        </w:rPr>
        <w:t>[Pages 124–126]</w:t>
      </w:r>
    </w:p>
    <w:p>
      <w:r>
        <w:t xml:space="preserve">an alignment of SC Johnson with the two market leaders, which can be explained, at least in part, by the exchange of information between companies.  </w:t>
        <w:br/>
        <w:t xml:space="preserve">Exchanges on maximum drift rates  </w:t>
        <w:br/>
        <w:t xml:space="preserve">596. Some exchanges concerned "on developments of drift not to be ideally exceeded" (reference 22 578). The companies involved could indicate the maximum drift rates they intended not to exceed, without this maximum rate applying to all participants.  </w:t>
        <w:br/>
        <w:t xml:space="preserve">597. During the "Friends" meeting on February 17, 2005, Henkel announced its maximum drift level anticipated at Carrefour: "Henkel detergents indicates (...) that it is ready to drift up to 3%" (file reference 1146 of dossier 06/0018AC).  </w:t>
        <w:br/>
        <w:t xml:space="preserve">598. At the "Friends" meeting on February 3, 2006, attended by Colgate-Palmolive, Henkel, SC Johnson, Sara Lee, and Bolton Solitaire, some companies went further and coordinated on a maximum drift level not to be collectively exceeded.  </w:t>
        <w:br/>
        <w:t xml:space="preserve">599. The following table highlights the proximity of the maximum drift amounts noted by the participants at this meeting (reference 14 166):  </w:t>
        <w:br/>
        <w:t xml:space="preserve">Colgate-Palmolive Notes Sara Lee Notes Bolton Solitaire Notes  </w:t>
        <w:br/>
        <w:t xml:space="preserve">EMC (Casino) "09-1.10" "MAX 0.7 to 1.2 !!" "1pts-1.30 pt"  </w:t>
        <w:br/>
        <w:t xml:space="preserve">Galec "1.20?" "1 pts + 0.20 possible"  </w:t>
        <w:br/>
        <w:t xml:space="preserve">Auchan "J-&gt;1// SLHB 1.20" ("J" Illegible "(1.20 pts Sara Lee)" means SC Johnson, and "SLHB", Sara Lee Household and Bodycare)  </w:t>
        <w:br/>
        <w:t xml:space="preserve">System U "less than 1.20" "Maxi - 1.2 to 1.0?"  </w:t>
        <w:br/>
        <w:t xml:space="preserve">Intermarché ITM → 0.50! ITM: (...) (0.50 + call)  </w:t>
        <w:br/>
        <w:t xml:space="preserve">600. Regarding the brands EMC (Casino), Galec, Auchan, and System U, the participants coordinated on a ceiling rate without reaching a formal agreement on a single rate.  </w:t>
        <w:br/>
        <w:t xml:space="preserve">601. Regarding Intermarché, Mr. Michel 3... (SC Johnson) explained that a particularly thorough consultation took place during this meeting: "It is a rare case [but] we agreed during the meeting of February 3, 2006, to call each other if we had to accept a drift greater than +0.5% with Intermarché" (reference 74).  </w:t>
        <w:br/>
        <w:t xml:space="preserve">602. These forward-looking information exchanges concern confidential data that constitutes a crucial element of negotiations between suppliers and distributors. They occur at a key moment in the negotiation since, under the Dutreil law, commercial agreements for 2006 had to be signed before February 15, 2006.  </w:t>
        <w:br/>
        <w:t xml:space="preserve">Participation in exchanges  </w:t>
        <w:br/>
        <w:t xml:space="preserve">Friends Friends Contact Friends Friends Team HP Friends  </w:t>
        <w:br/>
        <w:t xml:space="preserve">between  </w:t>
        <w:br/>
        <w:t xml:space="preserve">17/02/05 17/03/05 14/04/05 12/05/05 5/01/06 03/02/06  </w:t>
        <w:br/>
        <w:t xml:space="preserve">30/03/05 and  </w:t>
        <w:br/>
        <w:t xml:space="preserve">14/04/05  </w:t>
        <w:br/>
        <w:t xml:space="preserve">Colgate X X X X X X X  </w:t>
        <w:br/>
        <w:t xml:space="preserve">Henkel X X X X X X X  </w:t>
        <w:br/>
        <w:t xml:space="preserve">Reckitt X X X X  </w:t>
        <w:br/>
        <w:t xml:space="preserve">Bolton X X X X X  </w:t>
        <w:br/>
        <w:t xml:space="preserve">Sara X X X X X  </w:t>
        <w:br/>
        <w:t xml:space="preserve">Lee  </w:t>
        <w:br/>
        <w:t xml:space="preserve">SC X X X X X  </w:t>
        <w:br/>
        <w:t xml:space="preserve">Johnson  </w:t>
        <w:br/>
        <w:t xml:space="preserve">603. The table above shows that the participants exchanged at a high frequency regarding their drift offers during the 2005 negotiations (a monthly meeting until May 2005) and 2006 (two meetings between early January and early February 2006, before the closure of negotiations). The practices range from exchanging very recent information that can be used in ongoing and future negotiations to thorough consultations on maximum drift rates not to be exceeded.  </w:t>
        <w:br/>
        <w:t xml:space="preserve">♦ Findings in the hygiene sector  </w:t>
        <w:br/>
        <w:t xml:space="preserve">604. Participants in the practices coordinated by exchanging information on their drift offers during six meetings between February 17, 2005, and January 26, 2006.  </w:t>
        <w:br/>
        <w:t xml:space="preserve">605. During the Team PCP meeting in early January 2006, participants reported on the drifts offered to Provera (the purchasing center for Cora in particular).  </w:t>
        <w:br/>
        <w:t xml:space="preserve">606. Colgate-Palmolive, L'Oréal, and Vania announced the same level of drift (1.50%); Gillette, Henkel Cosmetics, and Beiersdorf announced a similar amount. L'Oréal informed its competitors of its current offer at Carrefour ("+1.5%"), the demand from this brand considering its price increase "4.20% (vs SPI &gt;6%)" and the amount at which the negotiation could conclude "(Possible negotiation 2.80%)" (references 773 and 774 of dossier 06/0018AC), representing almost all relevant information on the increase of its net price.  </w:t>
        <w:br/>
        <w:t xml:space="preserve">607. During the "Friends" meeting on January 26, 2006, very precise information was exchanged regarding the maximum drift rates that each participant was willing to concede. This was accompanied by announcements on drift requests, drift offers, and the status of negotiations. All parameters of the negotiation (demand, offer, signature) were discussed simultaneously (references 699 to 705 of dossier 06/0019AC).  </w:t>
        <w:br/>
        <w:t xml:space="preserve">608. This meeting was to be the last before the signing of agreements, no later than February 15, 2006. As Mr. Emmanuel 6... indicated (reference 40 199), "This meeting takes place in the 'money time'," that is to say in the final moments before the end of negotiations, which gave the consultation on drift rates undeniable importance.  </w:t>
        <w:br/>
        <w:t xml:space="preserve">609. The table below summarizes the information exchanged on this occasion, for the main brands of large distribution:  </w:t>
        <w:br/>
        <w:t xml:space="preserve">Lascad Beiersdorf Sara Lee Henkel Cosmetics Vendôme Laboratories  </w:t>
        <w:br/>
        <w:t xml:space="preserve">Price Increase "4.5" "3.5/4, 3 actual" "4.9" "3"  </w:t>
        <w:br/>
        <w:t xml:space="preserve">Demand "-6% Belin - high demand above "50% price" (thus nearly "2.2" "6 of demand" "firm on 4%")  </w:t>
        <w:br/>
        <w:t xml:space="preserve">drift per price" of 2.2%)  </w:t>
        <w:br/>
        <w:t xml:space="preserve">Drift Offer "less than 1% drift." "1.20" "advance below 1%" "LPM specifies having  </w:t>
        <w:br/>
        <w:t xml:space="preserve">given 0.6"  </w:t>
        <w:br/>
        <w:t xml:space="preserve">Status of "Galec made a threat of Possible promotions "some boycotts". Will group its agreements (pass "Code 4  </w:t>
        <w:br/>
        <w:t xml:space="preserve">negotiations delisting" after July, amount Regional amount of 5 to 2 agreements). Pressure from (regional delisting  </w:t>
        <w:br/>
        <w:t xml:space="preserve">promotion of 30% Galec on operations partial) 26/12 →  </w:t>
        <w:br/>
        <w:t xml:space="preserve">is 30%. Three national (OPN). Blocked in lift the 4/1"  </w:t>
        <w:br/>
        <w:t xml:space="preserve">signed agreements in which weigh 40%  </w:t>
        <w:br/>
        <w:t xml:space="preserve">Conditions 0.8% given additionally to 0.6% given additionally Very high demand. Henkel has 1% given additionally  </w:t>
        <w:br/>
        <w:t xml:space="preserve">the warehouses to the warehouses of Leclerc not specified the amount  </w:t>
        <w:br/>
        <w:t xml:space="preserve">Leclerc (Scaparf and Scaouest)  </w:t>
        <w:br/>
        <w:t xml:space="preserve">Regarding Scaouest, all suppliers present indicate having paid directly the carrier. There was no consideration.  </w:t>
        <w:br/>
        <w:t xml:space="preserve">Lascad Beiersdorf Sara Lee Henkel Cosmetics Vendôme Laboratories  </w:t>
        <w:br/>
        <w:t xml:space="preserve">ruoferraC  </w:t>
        <w:br/>
        <w:t xml:space="preserve">Offer "Closing at 2%" "last proposal 0.6" "Below 2%" "Around 1.5%"  </w:t>
        <w:br/>
        <w:t xml:space="preserve">max supplier 0.90"  </w:t>
        <w:br/>
        <w:t xml:space="preserve">Status of "OK signed drafting not "BDF indicates that it will "Sara Lee indicates that "Signed" "the agreements are  </w:t>
        <w:br/>
        <w:t xml:space="preserve">negotiations finalized" close its negotiations the year 2005 has not yet  </w:t>
        <w:br/>
        <w:t xml:space="preserve">with Carrefour at 2% been signed. The drift  </w:t>
        <w:br/>
        <w:t xml:space="preserve">of drift" will have the effect  </w:t>
        <w:br/>
        <w:t xml:space="preserve">of canceling the price  </w:t>
        <w:br/>
        <w:t xml:space="preserve">increase. LPM can  </w:t>
        <w:br/>
        <w:t xml:space="preserve">use the argument  </w:t>
        <w:br/>
        <w:t xml:space="preserve">of the buyout of  </w:t>
        <w:br/>
        <w:t xml:space="preserve">Persavon to only  </w:t>
        <w:br/>
        <w:t xml:space="preserve">give 70% of  </w:t>
        <w:br/>
        <w:t>the requested drift"</w:t>
      </w:r>
    </w:p>
    <w:p>
      <w:r>
        <w:rPr>
          <w:b/>
        </w:rPr>
        <w:t>[Pages 127–129]</w:t>
      </w:r>
    </w:p>
    <w:p>
      <w:r>
        <w:t xml:space="preserve">Lascad Beiersdorf Sara Lee Henkel Cosmetics Laboratories Vendôme  </w:t>
        <w:br/>
        <w:t xml:space="preserve">onisaC  </w:t>
        <w:br/>
        <w:t xml:space="preserve">Request "The request for deviation "Sara Lee (...) indicates "The first offer from Henkel is "LPM received a  </w:t>
        <w:br/>
        <w:t xml:space="preserve">distributor formulated by Casino is that everything is normal but a 0.5 deviation. He would like to be request for deviation  </w:t>
        <w:br/>
        <w:t xml:space="preserve">/Offer of 2.30 above the highlights the existence of less than 1%" of 2.5 on his box  </w:t>
        <w:br/>
        <w:t xml:space="preserve">supplier 0.4 proposed by BDF. disputes (doubtless delivery issues) " this amount can be  </w:t>
        <w:br/>
        <w:t xml:space="preserve">The negotiation will conclude around 1% according to BDF"  </w:t>
        <w:br/>
        <w:t xml:space="preserve">State of "BDF indicates that he has "Henkel has a meeting with  </w:t>
        <w:br/>
        <w:t xml:space="preserve">negotiations a meeting on the following Monday Pont and Vincent from Casino"  </w:t>
        <w:br/>
        <w:t xml:space="preserve">with Grange  </w:t>
        <w:br/>
        <w:t xml:space="preserve">(buyer). He will make a  </w:t>
        <w:br/>
        <w:t xml:space="preserve">final proposal"  </w:t>
        <w:br/>
        <w:t xml:space="preserve">Lascad Beiersdorf Sara Lee Henkel Cosmetics Laboratories Vendôme  </w:t>
        <w:br/>
        <w:t xml:space="preserve">nahcuA  </w:t>
        <w:br/>
        <w:t xml:space="preserve">Lascad indicates having received a Beiersdorf obtained an Laboratories  </w:t>
        <w:br/>
        <w:t xml:space="preserve">request for deviation of 7 to 8% agreement with Auchan on Vendôme indicates  </w:t>
        <w:br/>
        <w:t xml:space="preserve">14% which makes 6 an having given 0.2%  </w:t>
        <w:br/>
        <w:t xml:space="preserve">average deviation  </w:t>
        <w:br/>
        <w:t>127</w:t>
      </w:r>
    </w:p>
    <w:p>
      <w:r>
        <w:t xml:space="preserve">610. The exchanged information is particularly precise and exhaustive, as evidenced by the statements of certain participants, such as Mr. François D... (Sara Lee): "I was surprised by the content of this meeting and the information exchanged, some participants "let loose a bit" (reference 39 945, see also reference 39 921).  </w:t>
        <w:br/>
        <w:t xml:space="preserve">Participation in exchanges  </w:t>
        <w:br/>
        <w:t xml:space="preserve">Friends PCP PCP Friends PCP PCP Friends  </w:t>
        <w:br/>
        <w:t xml:space="preserve">02/17/05 03/09/05 04/11/05 05/12/05 11/09/05 Start 01/26/06  </w:t>
        <w:br/>
        <w:t xml:space="preserve">January  </w:t>
        <w:br/>
        <w:t xml:space="preserve">06/01  </w:t>
        <w:br/>
        <w:t xml:space="preserve">Colgate X X X X X X X  </w:t>
        <w:br/>
        <w:t xml:space="preserve">Henkel X X X X X X X  </w:t>
        <w:br/>
        <w:t xml:space="preserve">L’Oréal X X X (Lascad)  </w:t>
        <w:br/>
        <w:t xml:space="preserve">Reckitt X  </w:t>
        <w:br/>
        <w:t xml:space="preserve">Unilever X  </w:t>
        <w:br/>
        <w:t xml:space="preserve">Beiersdorf X X X X  </w:t>
        <w:br/>
        <w:t xml:space="preserve">Gillette X X X X X  </w:t>
        <w:br/>
        <w:t xml:space="preserve">Vendôme X X X  </w:t>
        <w:br/>
        <w:t xml:space="preserve">Sara Lee X X X  </w:t>
        <w:br/>
        <w:t xml:space="preserve">Vania X X X  </w:t>
        <w:br/>
        <w:t xml:space="preserve">611. The table above shows that participants frequently exchanged information on their ongoing or upcoming deviation offers during the 2005 negotiations (a monthly meeting until May 2005) and during the 2006 negotiations (three meetings between November and January 2006).  </w:t>
        <w:br/>
        <w:t xml:space="preserve">Conclusion on exchanges regarding deviations  </w:t>
        <w:br/>
        <w:t xml:space="preserve">612. The documents in the file establish the existence of a concerted effort through exchanges of information on the deviation requests from brands and the deviation offers from suppliers within the framework of the Dutreil law of August 2, 2005. These exchanges concerned, in the maintenance sector, Colgate-Palmolive, Henkel, Reckitt Benckiser, Unilever, Bolton Solitaire, Sara Lee, and SC Johnson, and, in the hygiene sector, Colgate-Palmolive, Henkel, L’Oréal, Reckitt Benckiser, Unilever, Beiersdorf, Gillette, Laboratories Vendôme, Sara Lee, and Vania.  </w:t>
        <w:br/>
        <w:t xml:space="preserve">Exchanges on commercial cooperation rates  </w:t>
        <w:br/>
        <w:t xml:space="preserve">613. The exchanges on deviations that took place within the framework of the Dutreil circular, the Sarkozy commitment, and the Dutreil law were also accompanied, occasionally, by exchanges of information on commercial cooperation rates. This is evidenced, on the one hand, by the leniency request from Colgate-Palmolive (references 13 of file 06/0018AC and 12 of file 06/0019AC) and, on the other hand, by the material documents in the file.  </w:t>
        <w:br/>
        <w:t xml:space="preserve">614. These exchanges took place within the framework of the Team PCP Circles (meetings of December 2, 2003 – reference 710 of file 06/0019AC, May 4, 2004 – reference 720 of file 06/0019AC, March 9, 2005 – reference 742 of file 06/0019AC, and July 11, 2005 – reference 14804), Team HP  </w:t>
        <w:br/>
        <w:t>128</w:t>
      </w:r>
    </w:p>
    <w:p>
      <w:r>
        <w:t xml:space="preserve">(meeting of December 9, 2003 – reference 1174 of file 06/0018AC) and Friends (in the hygiene sector, meetings of September 21, 2004 – reference 655 of file 06/0019AC - and April 14, 2005 – reference 689 of file 06/0019AC; in the maintenance sector, meetings of November 4, 2004 – reference 12 399, January 14, 2005 - reference 13 767, February 17, 2005 – reference 9 586, and February 3, 2006 – references 14166 and 14137).  </w:t>
        <w:br/>
        <w:t xml:space="preserve">615. In the maintenance sector, additional contacts also provided an opportunity for exchanges related to commercial cooperation rates. This was the case during the following contacts:  </w:t>
        <w:br/>
        <w:t xml:space="preserve">- exchange on January 14, 2003, between Mr. Alain-Dominique 12... of Sara Lee and Mr. Denys E… of Colgate-Palmolive (reference 12 092);  </w:t>
        <w:br/>
        <w:t xml:space="preserve">- exchange on November 20, 2003, between Mr. Gérard H... of Henkel and Mr. Olivier J... of Unilever (reference 355 of file 08/0044AC);  </w:t>
        <w:br/>
        <w:t xml:space="preserve">- exchange that took place between December 2 and 5, 2004, between Mr. François D... of Sara Lee and an employee of SC Johnson (reference 12 464);  </w:t>
        <w:br/>
        <w:t xml:space="preserve">- exchange on September 8, 2005, between Mr. 14... of Bolton Solitaire and SC Johnson (reference 10 334).  </w:t>
        <w:br/>
        <w:t xml:space="preserve">d) Other exchanges observed throughout the period (2003-2006)  </w:t>
        <w:br/>
        <w:t xml:space="preserve">616. The exchanges on the main components of the net triple price were accompanied, throughout the identified period, by exchanges on other aspects of commercial negotiations with distributors or on their commercial performances.  </w:t>
        <w:br/>
        <w:t xml:space="preserve">Exchanges on promotional operations and NIPs  </w:t>
        <w:br/>
        <w:t xml:space="preserve">The context and purpose of the exchanges  </w:t>
        <w:br/>
        <w:t xml:space="preserve">617. Throughout the year, whether within or outside the framework of the commercial agreement, suppliers negotiate promotional operations and discounts in the form of new promotional instruments (NIPs).  </w:t>
        <w:br/>
        <w:t xml:space="preserve">618. NIPs are consumer loyalty programs (loyalty cards that allow for discounts at checkout, or virtual prizes such as: "one free product for one product purchased"). NIPs have resulted in lowering retail prices to consumers (reference 39 920) and allowed distributors to compete on retail prices, albeit indirectly, despite the context of the Galland law.  </w:t>
        <w:br/>
        <w:t xml:space="preserve">619. Generally stipulated by mandate contracts, they could also be included in commercial cooperation. They then represented an "additional element of deviation." At the beginning of the 2000s, it was "a new and therefore disruptive element" according to the terms of Ms. Nathalie Y... (reference 39 920). This mechanism allowed distributors to have their promotional operations financed by suppliers, at least in part, without the consumer necessarily being aware of this financing.  </w:t>
        <w:br/>
        <w:t xml:space="preserve">620. NIPs quickly proved to be a success (reference 40 503) and requests for NIPs became widespread.  </w:t>
        <w:br/>
        <w:t>621. Due to their impact on retail prices to consumers, NIPs did, however, "pose a danger to the brand, in the case of overly significant promotions and a budgetary danger given their cost to the supplier" (reference 39 920). This explains the</w:t>
      </w:r>
    </w:p>
    <w:p>
      <w:r>
        <w:rPr>
          <w:b/>
        </w:rPr>
        <w:t>[Pages 130–132]</w:t>
      </w:r>
    </w:p>
    <w:p>
      <w:r>
        <w:t xml:space="preserve">exchanges of information noted below aimed to slow down the development of NIPs and limit the decreases in consumer selling prices that they generated.  </w:t>
        <w:br/>
        <w:t xml:space="preserve">Findings in the maintenance sector  </w:t>
        <w:br/>
        <w:t xml:space="preserve">622. Participants in the "Friends" and Team HP meetings exchanged information on:  </w:t>
        <w:br/>
        <w:t xml:space="preserve">• their strategy regarding NIPs (reference 344 of dossier 08/0044AC);  </w:t>
        <w:br/>
        <w:t xml:space="preserve">• the status of negotiations on NIPs:  </w:t>
        <w:br/>
        <w:t xml:space="preserve">- the maximum rate, level of NIP earned or not spent (reference 1149 of dossier 06/0018AC);  </w:t>
        <w:br/>
        <w:t xml:space="preserve">- additional investments in NIPs made (references 1154 and 1155 of dossier 06/0018AC).  </w:t>
        <w:br/>
        <w:t xml:space="preserve">623. These exchanges took place on a monthly basis during the first half of 2005 and involved, at that time, all the companies mentioned in the table below.  </w:t>
        <w:br/>
        <w:t xml:space="preserve">Friends Friends Friends Friends HP  </w:t>
        <w:br/>
        <w:t xml:space="preserve">3/12/04 17/02/05 17/03/05 14/04/05 22/11/2005  </w:t>
        <w:br/>
        <w:t xml:space="preserve">Colgate X X X X X  </w:t>
        <w:br/>
        <w:t xml:space="preserve">Henkel X X X X X  </w:t>
        <w:br/>
        <w:t xml:space="preserve">Reckitt X X X X  </w:t>
        <w:br/>
        <w:t xml:space="preserve">Bolton X X X X  </w:t>
        <w:br/>
        <w:t xml:space="preserve">Sara Lee X X X X  </w:t>
        <w:br/>
        <w:t xml:space="preserve">SC X X X X  </w:t>
        <w:br/>
        <w:t xml:space="preserve">Johnson  </w:t>
        <w:br/>
        <w:t xml:space="preserve">Findings in the hygiene sector  </w:t>
        <w:br/>
        <w:t xml:space="preserve">624. In the hygiene sector, exchanges were more numerous regarding promotional operations. Thus, participants in these meetings discussed the merits or otherwise of promotional operations (references 709 and 710 of dossier 06/0019AC).  </w:t>
        <w:br/>
        <w:t xml:space="preserve">625. During the Team PCP meeting on November 9, 2005, participants discussed the opportunity to accept the BR2I (in-store reduction mechanisms comparable to NIPs) proposed by Galec. Colgate-Palmolive, Henkel, L'Oréal, Gillette, and Beiersdorf reached a genuine common decision to refuse the BR2I (reference 64 of dossier 08/0084AC).  </w:t>
        <w:br/>
        <w:t xml:space="preserve">626. During the Team PCP meeting on December 7, 2005, participants exchanged views on "the interest of avoiding the additional budget allocated in 2005 for [the Carrefour Anniversary] being renewed in 2006" (reference 768 of dossier 06/0019AC), which reflects the participants' willingness to coordinate their response regarding the behavior to adopt concerning this operation that generated direct price decreases for consumers.  </w:t>
        <w:br/>
        <w:t xml:space="preserve">627. The documents in the file also show the existence of exchanges on quantified commitments for certain commercial operations (references 720 and 721 of dossier 06/0019AC).  </w:t>
        <w:br/>
        <w:t xml:space="preserve">628. The table below identifies the participation of companies in the exchanges.  </w:t>
        <w:br/>
        <w:t xml:space="preserve">PCP PCP PCP PCP PCP PCP  </w:t>
        <w:br/>
        <w:t xml:space="preserve">2/12/03 4/05/04 9/11/04 14/02/05 9/11/05 7/12/05  </w:t>
        <w:br/>
        <w:t xml:space="preserve">Colgate X X X X X X  </w:t>
        <w:br/>
        <w:t xml:space="preserve">Henkel X X X X X X  </w:t>
        <w:br/>
        <w:t xml:space="preserve">L'Oréal X X X  </w:t>
        <w:br/>
        <w:t xml:space="preserve">Unilever X X X  </w:t>
        <w:br/>
        <w:t xml:space="preserve">Beiersdorf X X X X X X  </w:t>
        <w:br/>
        <w:t xml:space="preserve">Gillette X X X X X  </w:t>
        <w:br/>
        <w:t xml:space="preserve">Vania X X X X X  </w:t>
        <w:br/>
        <w:t xml:space="preserve">Exchanges on the status of negotiations  </w:t>
        <w:br/>
        <w:t xml:space="preserve">629. The implicated parties also exchanged information on the status of negotiations.  </w:t>
        <w:br/>
        <w:t xml:space="preserve">630. These exchanges concerned data similar to that obtained at ILEC and PBMO, the data being individualized. They served to reduce the uncertainty inherent in bilateral supplier-distributor discussions and had a strategic nature.  </w:t>
        <w:br/>
        <w:t xml:space="preserve">Findings in the maintenance sector  </w:t>
        <w:br/>
        <w:t xml:space="preserve">631. The elements in the file show that participants exchanged information on:  </w:t>
        <w:br/>
        <w:t xml:space="preserve">- the general climate of negotiations with each distributor (reference 1175 of dossier 06/0018AC);  </w:t>
        <w:br/>
        <w:t xml:space="preserve">- threats of penalties and delistings or actual delistings (references 1130, 1154, 1160, and 1161 of dossier 06/0018AC and 11 766);  </w:t>
        <w:br/>
        <w:t xml:space="preserve">- the status of the signing of agreements (signed, not signed, in progress) (references 1149 and 1163 of dossier 06/0018AC).  </w:t>
        <w:br/>
        <w:t xml:space="preserve">632. Participation in the exchanges is summarized in the following table:  </w:t>
        <w:br/>
        <w:t xml:space="preserve">Circular Post-commitment context Sarkozy - premises of the Dutreil law Dutreil law  </w:t>
        <w:br/>
        <w:t xml:space="preserve">Dutreil (from February 2005)  </w:t>
        <w:br/>
        <w:t xml:space="preserve">Team HP Friends Friends Friends Friends Team HP  </w:t>
        <w:br/>
        <w:t xml:space="preserve">09/12/03 17/02/05 17/03/05 14/04/05 12/05/05 05/01/06  </w:t>
        <w:br/>
        <w:t xml:space="preserve">Colgate X X X X X X  </w:t>
        <w:br/>
        <w:t xml:space="preserve">Henkel X X X X X X  </w:t>
        <w:br/>
        <w:t xml:space="preserve">Reckitt X X X  </w:t>
        <w:br/>
        <w:t xml:space="preserve">Unilever X  </w:t>
        <w:br/>
        <w:t xml:space="preserve">Bolton X X X X  </w:t>
        <w:br/>
        <w:t xml:space="preserve">Sara Lee X X X X  </w:t>
        <w:br/>
        <w:t xml:space="preserve">SC Johnson X X X  </w:t>
        <w:br/>
        <w:t xml:space="preserve">633. These exchanges took place on a nearly monthly basis during the 2005 negotiations.  </w:t>
        <w:br/>
        <w:t xml:space="preserve">Findings in the hygiene sector  </w:t>
        <w:br/>
        <w:t xml:space="preserve">634. As in the maintenance sector, participants exchanged information on:  </w:t>
        <w:br/>
        <w:t xml:space="preserve">- threats of delistings or actual delistings (references 719, 720, 742, and 743 of dossier 06/0019AC);  </w:t>
        <w:br/>
        <w:t xml:space="preserve">- the status of the signing of agreements (signed, not signed, in progress) (references 675, 742, 747 to 749, and 773 of dossier 06/0019AC).  </w:t>
        <w:br/>
        <w:t xml:space="preserve">635. This information is highly relevant as it is exchanged while negotiations are ongoing and allows for adjustments to suppliers' commercial strategies.  </w:t>
        <w:br/>
        <w:t>636. Participation in exchanges on the status of negotiations is summarized in the table below.</w:t>
      </w:r>
    </w:p>
    <w:p>
      <w:r>
        <w:rPr>
          <w:b/>
        </w:rPr>
        <w:t>[Pages 133–135]</w:t>
      </w:r>
    </w:p>
    <w:p>
      <w:r>
        <w:t xml:space="preserve">Circulaire Dutreil Context post Sarkozy engagement - premises of the Dutreil law (from February 2005) Dutreil Law  </w:t>
        <w:br/>
        <w:t xml:space="preserve">PCP PCP PCP Friends PCP Friends PCP Friends PCP Friends Friends PCP PCP PCP PCP PCP PCP Contact Friends  </w:t>
        <w:br/>
        <w:t xml:space="preserve">HKL/UL  </w:t>
        <w:br/>
        <w:t xml:space="preserve">2/12 24/0 4/05/ 14/01/ 14/02/ 17/02/ 09/0 17/03/ 11/0 14/04/ 12/05/ 17/05/ 15/06/ 11/0 8/11 7/12 Start 26/01/06  </w:t>
        <w:br/>
        <w:t xml:space="preserve">/03 3/04 04 05 05 05 3/05 05 4/05 05 05 05 05 7/05 /05 /05 January 2/01/2006  </w:t>
        <w:br/>
        <w:t xml:space="preserve">2006  </w:t>
        <w:br/>
        <w:t xml:space="preserve">Colgate X X X X X X X X X X X X X X X X X X  </w:t>
        <w:br/>
        <w:t xml:space="preserve">Henkel X X X X X X X X X X X X X X X X X x X  </w:t>
        <w:br/>
        <w:t xml:space="preserve">L’Oréal X X X X X X  </w:t>
        <w:br/>
        <w:t xml:space="preserve">Unilever X X X X X X x  </w:t>
        <w:br/>
        <w:t xml:space="preserve">Beiersdorf X X X X X X X X X X  </w:t>
        <w:br/>
        <w:t xml:space="preserve">Gillette X X X X X X X X X X X X  </w:t>
        <w:br/>
        <w:t xml:space="preserve">Vendôme X X X X X X  </w:t>
        <w:br/>
        <w:t xml:space="preserve">Reckitt X X  </w:t>
        <w:br/>
        <w:t xml:space="preserve">Sara Lee X X X X X X  </w:t>
        <w:br/>
        <w:t>Vania X X X X X X X X X X X</w:t>
      </w:r>
    </w:p>
    <w:p>
      <w:r>
        <w:t xml:space="preserve">The exchanges of general sales conditions and pricing grids  </w:t>
        <w:br/>
        <w:t xml:space="preserve">637. The consultation also took the form, in both sectors targeted by the instruction, of exchanges relating to the general sales conditions (GSC), which included the pricing grids of the participants.  </w:t>
        <w:br/>
        <w:t xml:space="preserve">638. It should be recalled that pursuant to the Dutreil circular of May 16, 2003, the GSC of each supplier contains (i) its "price schedule," that is, the list of prices for each of its products, and (ii) its "sales conditions," that is, legal and financial clauses.  </w:t>
        <w:br/>
        <w:t xml:space="preserve">639. In particular, the sales conditions contain price reductions (for example, logistical discounts) some of which are taken into account to calculate the resale price threshold and thus, ultimately, the resale price to the consumer.  </w:t>
        <w:br/>
        <w:t xml:space="preserve">640. The exchanges on the general sales conditions took place, essentially, within the framework of the correspondences organized within the three identified exchange circles.  </w:t>
        <w:br/>
        <w:t xml:space="preserve">641. Given the identity of the information exchanged in the hygiene and maintenance sectors, these practices will be analyzed simultaneously for both sectors.  </w:t>
        <w:br/>
        <w:t xml:space="preserve">Existence of exchanges relating to GSC and pricing grids  </w:t>
        <w:br/>
        <w:t xml:space="preserve">642. The existence of exchanges on the GSC and pricing grids emerges from the corporate statements of Colgate-Palmolive and Henkel (references 15 of dossier 06/0018AC, 15 of dossier 06/0019AC, 318 and 322 of dossier 08/0044AC, 836 and 840 of dossier 08/0084AC) corroborated by those of the participants in the practices, who almost all acknowledged having participated in exchanges on this theme, both in the maintenance sector and in the hygiene sector, within the framework of the Team HP Circles (references 22 564, 22 680, 23 941, 23 934 and 40 191), Team PCP (references 22 570, 40 045, 40 034, 39 841, 23 941, 24 116, 23 934, 40 526 and 40 177) and the "Friends" (references 22 577, 39 929, 39 930, 76 and 22 666).  </w:t>
        <w:br/>
        <w:t xml:space="preserve">Characteristics of exchanges of GSC and pricing grids  </w:t>
        <w:br/>
        <w:t xml:space="preserve">643. The information on the GSC was exchanged in two forms: on the one hand, through the communication of the GSC in raw form, to each of the members of the exchange circles, once the GSC were sent to the suppliers, and on the other hand, through summary tables centralized by Colgate-Palmolive. This practice likely ended after the departure of Denys E… from Colgate-Palmolive in May 2004.  </w:t>
        <w:br/>
        <w:t xml:space="preserve">644. The summary tables of the general sales conditions, all dating from the end of 2003 or the beginning of 2004, summarize, for the years 2000 to 2004, the level of certain discounts contained in the GSC for each participating company (references 909 to 912 of dossier 06/0018AC, 540 to 543 of dossier 06/0019AC). The documents mention the payment terms provided in the GSC and, in the "net net cascade" column, the method of calculating the resale price threshold.  </w:t>
        <w:br/>
        <w:t xml:space="preserve">645. These summary documents therefore contain commercially sensitive and precise information on the pricing conditions of Colgate-Palmolive, Unilever, Henkel, Procter &amp; Gamble, SC Johnson, Reckitt Benckiser, and Sara Lee for the maintenance products sector and of Colgate-Palmolive, Unilever, Henkel, Procter &amp; Gamble, Beiersdorf, L’Oréal, Gillette, Laboratoires Vendôme, Reckitt Benckiser, and Sara Lee for the hygiene sector.  </w:t>
        <w:br/>
        <w:t xml:space="preserve">646. Regardless of the circle in which they took place, the exchanges occurred shortly after the sending of these commercial documents to the distributors (references 22 666, 39 841, 39 814, 23 934, 23 941, 22 564, 22 680, 40 191, 15 of dossier 06/0018AC and 15 of dossier 06/0019AC).  </w:t>
        <w:br/>
        <w:t xml:space="preserve">647. Alain P... (Beiersdorf) specified that this system of exchanging GSC allowed him to "sometimes recover them before they came back from the field" (reference 40 177), which confirms the speed with which these documents were exchanged and highlights the interest of the exchange.  </w:t>
        <w:br/>
        <w:t xml:space="preserve">Conclusion on the exchanges of GSC and pricing grids  </w:t>
        <w:br/>
        <w:t xml:space="preserve">648. The consultation led, for all the companies implicated, to exchanges of commercially sensitive information concerning the pricing grids and the GSC. These exchanges took place at a regular pace and concerned recent data. They allowed for obtaining this information more comprehensively and quickly than through field reports. Suppliers could thus react to this information in shorter timeframes, gaining precious time while negotiations with distributors were ongoing.  </w:t>
        <w:br/>
        <w:t xml:space="preserve">The exchanges on turnover  </w:t>
        <w:br/>
        <w:t xml:space="preserve">649. The consultation was accompanied, in both sectors, by exchanges of information relating to turnover during the Team HP, Team PCP, and "Friends" meetings as well as within the framework of correspondences. Given the identity of the information relating to turnover exchanged in the hygiene and maintenance sectors, these practices will be analyzed simultaneously in both sectors.  </w:t>
        <w:br/>
        <w:t xml:space="preserve">650. The existence of these exchanges relating to turnover has been acknowledged by all participants in the practices.  </w:t>
        <w:br/>
        <w:t xml:space="preserve">The precise and detailed nature of the exchanged information  </w:t>
        <w:br/>
        <w:t xml:space="preserve">651. Regarding the correspondences, the exchanged information concerned the cumulative turnover of the participants, from the beginning of the current year to a determined date (references 756 to 844 of dossier 06/0018AC, 317 to 472 of dossier 06/0019AC) and on the evolution, between the current year and the previous year, of the cumulative turnover.  </w:t>
        <w:br/>
        <w:t xml:space="preserve">652. The exchanged information specified the invoiced turnover of suppliers to the brands, broken down by distributor as well as the total turnover of the suppliers. In the individual and summary turnover tables, the relative weight of each brand compared to the total turnover of the company was indicated, in most cases.  </w:t>
        <w:br/>
        <w:t xml:space="preserve">653. Regarding the exchanges organized during the meetings, these were more succinct and partially covered the data communicated during the correspondences. Thus, during twelve Team PCP meetings, two Team HP meetings, and six "Friends" meetings, the participating companies communicated information relating to the evolution of their monthly or cumulative turnover, overall or by brand, since the beginning of the current year.  </w:t>
        <w:br/>
        <w:t>654. The companies also exchanged data relating to turnover objectives in the maintenance sector during the "Friends" meeting of February 17, 2005 (reference 1148 of dossier 06/0018AC) and during a multilateral contact between Unilever, Colgate-Palmolive, and Henkel in October 2004 (reference 329 of dossier 08/0044AC) and, in the hygiene sector, on October 5, 2004 (references 728 and 729 of dossier 06/0019AC) and at the beginning of January 2006 (reference 775 of dossier 06/0019AC).</w:t>
      </w:r>
    </w:p>
    <w:p>
      <w:r>
        <w:rPr>
          <w:b/>
        </w:rPr>
        <w:t>[Pages 136–138]</w:t>
      </w:r>
    </w:p>
    <w:p>
      <w:r>
        <w:t xml:space="preserve">655. The communication of such information to competitors provided the participants in the exchange with visibility regarding the perception, by other operators active in the relevant sectors, of how the market was going to evolve.  </w:t>
        <w:br/>
        <w:t xml:space="preserve">The recent nature and added value of the exchanged data  </w:t>
        <w:br/>
        <w:t xml:space="preserve">656. The information exchanged between the participants concerned data relating to cumulative or gross turnover figures for periods that had just ended: it was, most often, at the end of the previous month, or, in some cases, data relating to the current month.  </w:t>
        <w:br/>
        <w:t xml:space="preserve">657. The summary tables on the turnover exchanged in the correspondence were prepared and communicated by Colgate-Palmolive within short timeframes, often within the month following the date of the information. The letters from Colgate-Palmolive requesting information from competitors show that the company required a response within a very short timeframe (references 750 to 753 of dossier 06/0018AC, 308 to 314 and 481 of dossier 06/0019AC).  </w:t>
        <w:br/>
        <w:t xml:space="preserve">658. The information relating to turnover exchanged between the participants was therefore recent, allowing for a quick detection of deviations from the consensus reached following the previously described consultations on price increases or the evolution of the drift in particular.  </w:t>
        <w:br/>
        <w:t xml:space="preserve">659. This data presented added value compared to that of the panels. In particular, they were:  </w:t>
        <w:br/>
        <w:t xml:space="preserve">- more comprehensive, as they included promotional products (references 22 578 and 24 129) and covered all distributors (references 22 558, 22 549, and 39 848);  </w:t>
        <w:br/>
        <w:t xml:space="preserve">- more recent than that communicated by the panels, which were sent approximately one month after the relevant period (references 22 666, 23 008, 22 578, 23 015, and 22 671).  </w:t>
        <w:br/>
        <w:t xml:space="preserve">The frequency of information exchanges and the diversity of supports  </w:t>
        <w:br/>
        <w:t xml:space="preserve">In the maintenance sector  </w:t>
        <w:br/>
        <w:t>660. The table below summarizes all occurrences of exchanges relating to turnover that took place in the maintenance sector during the relevant period.</w:t>
      </w:r>
    </w:p>
    <w:p>
      <w:r>
        <w:t>| Year | Nature of the exchange | Colgate | Henkel | Unilever | Procter | SC Johnson | Bolton | Reckitt | Sara Lee | Vendôme |</w:t>
        <w:br/>
        <w:t>|------|-----------------------|---------|--------|----------|---------|------------|--------|---------|----------|---------|</w:t>
        <w:br/>
        <w:t>| 2003 | Team HP – correspondence – January 2003 | x | x | x | x | x | x |   |   |   |</w:t>
        <w:br/>
        <w:t>|      | Team HP – correspondence – April 2003 | x | x | x | x | x |   |   |   |   |</w:t>
        <w:br/>
        <w:t>|      | Team HP – correspondence – September 2003 | x | x | x | x | x |   |   |   |   |</w:t>
        <w:br/>
        <w:t>|      | Team HP – correspondence – October 2003 | x | x | x | x | x |   |   |   |   |</w:t>
        <w:br/>
        <w:t>| 2004 | Team HP – correspondence – January 2004 | x | x | x | x | x |   |   |   |   |</w:t>
        <w:br/>
        <w:t>|      | Team HP – correspondence – April 2004 | x | x | x | x | x |   |   |   |   |</w:t>
        <w:br/>
        <w:t>|      | Team HP – correspondence – October 2004 | x | x | x | x | x |   |   |   |   |</w:t>
        <w:br/>
        <w:t>|      | Bilateral contact – October 2004 | x | x |   |   |   |   |   |   |   |</w:t>
        <w:br/>
        <w:t>|      | Bilateral contact – October 2004 | x | x |   |   |   |   |   |   |   |</w:t>
        <w:br/>
        <w:t>|      | Friends - meeting - November 4, 2004 | x | x | x | x | x | x |   |   |   |</w:t>
        <w:br/>
        <w:t>| 2005 | Team HP – correspondence – January 2005 | x | x | x | x | x |   |   |   |   |</w:t>
        <w:br/>
        <w:t>|      | Team HP – correspondence – February 2005 | x | x |   |   |   |   |   |   |   |</w:t>
        <w:br/>
        <w:t>|      | Friends - meeting - February 17, 2005 | x | x | x | x | x | x |   |   |   |</w:t>
        <w:br/>
        <w:t>|      | Team HP – correspondence – March 2005 | x | x |   |   |   |   |   |   |   |</w:t>
        <w:br/>
        <w:t>|      | Friends - meeting - March 17, 2005 | x | x | x | x | x | x |   |   |   |</w:t>
        <w:br/>
        <w:t>|      | Team HP – correspondence – April 2005 | x | x |   |   |   |   |   |   |   |</w:t>
        <w:br/>
        <w:t>|      | Friends - meeting - April 14, 2005 | x | x | x | x | x |   |   |   |   |</w:t>
        <w:br/>
        <w:t>|      | Team HP – correspondence – May 2005 | x | x | x |   |   |   |   |   |   |</w:t>
        <w:br/>
        <w:t>|      | Friends - meeting - May 12, 2005 | x | x | x | x |   |   |   |   |   |</w:t>
        <w:br/>
        <w:t>|      | Friends - correspondence – May 12, 2005 | x | x |   |   |   |   |   |   |   |</w:t>
        <w:br/>
        <w:t>|      | Team HP – correspondence – September 2005 | x | x |   |   |   |   |   |   |   |</w:t>
        <w:br/>
        <w:t>|      | Friends - meeting - October 27, 2005 | x | x | x | x | x | x |   |   |   |</w:t>
        <w:br/>
        <w:t>|      | Team HP – meeting - November 22, 2005 | x | x | x |   |   |   |   |   |   |</w:t>
        <w:br/>
        <w:t>| 2006 | Team HP – correspondence – January 2006 | x | x |   |   |   |   |   |   |   |</w:t>
        <w:br/>
        <w:t>|      | Team HP – meeting - January 5, 2006 | x | x | x |   |   |   |   |   |   |</w:t>
        <w:br/>
        <w:t>| Total | | 24 | 19 | 10 | 8 | 5 | 7 | 18 | 7 | 1 |</w:t>
      </w:r>
    </w:p>
    <w:p>
      <w:r>
        <w:t xml:space="preserve">661. The table above highlights the frequency of exchange occurrences. In the maintenance sector, exchanges took place quarterly during the years 2003 and 2004 and at an even more sustained pace during the year 2005.  </w:t>
        <w:br/>
        <w:t xml:space="preserve">In the hygiene sector  </w:t>
        <w:br/>
        <w:t>662. The table below summarizes the exchanges relating to turnover that took place in the hygiene sector during the practice.</w:t>
      </w:r>
    </w:p>
    <w:p>
      <w:r>
        <w:rPr>
          <w:b/>
        </w:rPr>
        <w:t>[Pages 139–141]</w:t>
      </w:r>
    </w:p>
    <w:p>
      <w:r>
        <w:t xml:space="preserve">Year Nature of the exchange Colgate Henkel Uni. Procter Reckitt Sara Vania Gillette GSK Beiersd. L’Oréal Vendôme Lee  </w:t>
        <w:br/>
        <w:t xml:space="preserve">2003 Team PCP – correspondence – April 2003 X X X X X X X X X X  </w:t>
        <w:br/>
        <w:t xml:space="preserve">Team PCP – correspondence – September 2003 X X X X X X X X  </w:t>
        <w:br/>
        <w:t xml:space="preserve">Team PCP – correspondence – October 2003 X X X X X X X X X  </w:t>
        <w:br/>
        <w:t xml:space="preserve">Team PCP – meeting – December 2, 2003 X X X X X X  </w:t>
        <w:br/>
        <w:t xml:space="preserve">2004 Team PCP – correspondence – January 2004 X X X X X X X X X  </w:t>
        <w:br/>
        <w:t xml:space="preserve">Team PCP – meeting – March 24, 2004 X X X X X X X  </w:t>
        <w:br/>
        <w:t xml:space="preserve">Team PCP – correspondence – April 2004 X X X X X X X X X X  </w:t>
        <w:br/>
        <w:t xml:space="preserve">Team PCP – meeting – May 4, 2004 X X X X X X  </w:t>
        <w:br/>
        <w:t xml:space="preserve">Team PCP – correspondence – July 2004 X X X X X X X X  </w:t>
        <w:br/>
        <w:t xml:space="preserve">Team PCP – meeting – July 1, 2004 X X X X X  </w:t>
        <w:br/>
        <w:t xml:space="preserve">Team PCP – meeting – August 30, 2004 X X X X X  </w:t>
        <w:br/>
        <w:t xml:space="preserve">Team PCP – correspondence – October 2004 X X X X X X X X X X  </w:t>
        <w:br/>
        <w:t xml:space="preserve">Team PCP – meeting – October 5, 2004 X X X X X X  </w:t>
        <w:br/>
        <w:t xml:space="preserve">Team PCP – correspondence – November 2004 X X X  </w:t>
        <w:br/>
        <w:t xml:space="preserve">Team PCP – meeting – November 9, 2004 X X X X X  </w:t>
        <w:br/>
        <w:t xml:space="preserve">2005 Team PCP – correspondence – January 2005 X X X X X X X X X X  </w:t>
        <w:br/>
        <w:t xml:space="preserve">Team PCP – correspondence – February 2005 X X X X  </w:t>
        <w:br/>
        <w:t xml:space="preserve">Team PCP – meeting – February 14, 2005 X X X X X X  </w:t>
        <w:br/>
        <w:t xml:space="preserve">Friends – meeting – February 17, 2005 X X X X X X  </w:t>
        <w:br/>
        <w:t xml:space="preserve">Team PCP – correspondence – March 2005 X X X X  </w:t>
        <w:br/>
        <w:t xml:space="preserve">Team PCP – meeting – March 9, 2005 X X X X  </w:t>
        <w:br/>
        <w:t xml:space="preserve">Friends – meeting – March 17, 2005 X X X X X  </w:t>
        <w:br/>
        <w:t xml:space="preserve">Team PCP – correspondence – April 2005 X X X X X X X  </w:t>
        <w:br/>
        <w:t xml:space="preserve">Team PCP – meeting – April 11, 2005 X X X X X X  </w:t>
        <w:br/>
        <w:t xml:space="preserve">Friends – meeting – April 14, 2005 X X X X  </w:t>
        <w:br/>
        <w:t xml:space="preserve">Team PCP – correspondence – May 2005 X X X  </w:t>
        <w:br/>
        <w:t xml:space="preserve">Friends – meeting – May 12, 2005 X X X X  </w:t>
        <w:br/>
        <w:t xml:space="preserve">Team PCP – meeting – May 17, 2005 X X X X X  </w:t>
        <w:br/>
        <w:t xml:space="preserve">Team PCP – meeting – June 15, 2005 X X X X  </w:t>
        <w:br/>
        <w:t xml:space="preserve">Team PCP – meeting – July 11, 2005 X X X X X  </w:t>
        <w:br/>
        <w:t xml:space="preserve">Team PCP – correspondence – September 2005 X X X X X X  </w:t>
        <w:br/>
        <w:t xml:space="preserve">Team PCP – correspondence – October 2005 X X X X X X X  </w:t>
        <w:br/>
        <w:t xml:space="preserve">Team PCP – correspondence – November 2005 X X X X  </w:t>
        <w:br/>
        <w:t xml:space="preserve">2006 Team PCP – correspondence – January 2006 X X X X X X X X  </w:t>
        <w:br/>
        <w:t xml:space="preserve">Team PCP – meeting – early January 2006 X X X X X X  </w:t>
        <w:br/>
        <w:t>Total 35 31 15 8 14 4 22 25 9 25 11 17</w:t>
      </w:r>
    </w:p>
    <w:p>
      <w:r>
        <w:t xml:space="preserve">663. The table highlights the high number of exchange occurrences. Exchanges took place every quarter, at least, during the years 2003 and 2004, and at a more sustained pace during the year 2005.  </w:t>
        <w:br/>
        <w:t xml:space="preserve">Conclusion  </w:t>
        <w:br/>
        <w:t xml:space="preserve">664. Reckitt Benckiser, Unilever, Procter &amp; Gamble, Henkel, Colgate-Palmolive, SC Johnson, Bolton Solitaire, and Sara Lee coordinated by exchanging information regarding their respective individual revenues in the maintenance sector, and Reckitt Benckiser, Unilever, Procter &amp; Gamble, Henkel, Colgate-Palmolive, Vania, Gillette, Beiersdorf, L’Oréal, Laboratoires Vendôme, and Sara Lee did the same regarding their respective individual revenues in the hygiene products sector.  </w:t>
        <w:br/>
        <w:t xml:space="preserve">665. The exchanged information consisted of precise and recent data related to the commercial performance of these companies compared to the previous year, or even to their performance objectives.  </w:t>
        <w:br/>
        <w:t xml:space="preserve">666. The frequency of these communications and the multiplicity of frameworks in which these exchanges took place (Cercle Team HP and "Friends" in the maintenance sector, Cercle Team PCP and "Friends" in the hygiene sector, during meetings or through correspondence) allowed participants to strengthen the credibility of the data they communicated to each other, ensuring mutual control.  </w:t>
        <w:br/>
        <w:t xml:space="preserve">3. THE PURPOSE OF THE PRACTICES FROM THE PARTICIPANTS' PERSPECTIVE  </w:t>
        <w:br/>
        <w:t xml:space="preserve">667. The preceding developments show that the implicated parties regularly and systematically coordinated by exchanging confidential strategic information on the main parameters of commercial negotiations with large retailers. Numerous statements, notably from leniency applicants, in the file allow for understanding and establishing the purpose of these information exchanges.  </w:t>
        <w:br/>
        <w:t xml:space="preserve">668. Thus, the implicated companies were able, by coordinating their commercial policies, to strengthen their position within the negotiation cycles with large retailers (a.). They were able to respond more coherently to the destabilization of old balances desired by public authorities: Dutreil circular, Sarkozy commitment, then Dutreil law (b.). The exchanges regarding revenues also allowed participants in the practices to monitor the commercial performance of their competitors and enhance the effectiveness of the collusion (c.).  </w:t>
        <w:br/>
        <w:t xml:space="preserve">a) The purpose of exchanges regarding key elements of commercial negotiation  </w:t>
        <w:br/>
        <w:t xml:space="preserve">669. The exchanges analyzed in this case primarily concerned the conduct of commercial negotiation cycles between suppliers in the hygiene sector, on the one hand, and in the maintenance sector, on the other hand, and large retailers. On this occasion, the implicated companies exchanged precise, individualized information, and in most cases, forward-looking information, regarding the main parameters of the commercial negotiation.  </w:t>
        <w:br/>
        <w:t>670. The possession of each of this information by the implicated suppliers, while their discussions with the buyers of large retail brands were still ongoing, presented a strategic interest.</w:t>
      </w:r>
    </w:p>
    <w:p>
      <w:r>
        <w:rPr>
          <w:b/>
        </w:rPr>
        <w:t>[Pages 142–144]</w:t>
      </w:r>
    </w:p>
    <w:p>
      <w:r>
        <w:t>671. First of all, all of these information exchanges must be placed in the historical context previously described. The Galland law had introduced a great deal of transparency in the commercial relationship between manufacturers and distributors through the mechanism for determining the threshold for resale at a loss, leading all operators to a tacit equilibrium. The successive initiatives of public authorities aimed to disrupt this equilibrium by introducing more uncertainty into the negotiations between suppliers and their clients, in order to revive competition and promote price reductions for consumers. In this new situation, suppliers risked finding themselves in a more uncomfortable position with respect to distributors and their competitors.</w:t>
      </w:r>
    </w:p>
    <w:p>
      <w:r>
        <w:t>672. This is why the information exchanges that developed and were organized among suppliers starting in 2003 sought to, and effectively did, largely eliminate the inherent uncertainty in any commercial negotiation, to their sole benefit. Indeed, the information gathered from their competitors, particularly regarding their future price changes or deviations, allowed each participant to know in advance the positioning of their competitors on the main points of negotiation. Each company could thus know, before or during the annual negotiation cycle, whether the behavior it intended to adopt would risk placing it in an isolated situation with respect to the distributor compared to its competitors. The information exchanges in question therefore offered each participant the opportunity to adapt or align their behavior with that of the majority, thereby entering into a "safety zone" where negotiation would be easier, safer, and therefore more profitable.</w:t>
      </w:r>
    </w:p>
    <w:p>
      <w:r>
        <w:t>673. The information exchanges thus reinforced the manufacturers' confidence in their negotiations with distributors and facilitated the acceptance by buyers in the retail sector of the pricing proposals and deviations in commercial cooperation from their suppliers, which were largely convergent. The companies involved were thus able to significantly modify the outcome of the negotiation to their advantage.</w:t>
      </w:r>
    </w:p>
    <w:p>
      <w:r>
        <w:t>674. In this context, the participants in the information exchanges were led to coordinate their positions on the various parameters of the commercial negotiation in order to strengthen their common "safety zone." This is why the numerous exchanges described above led to convergent, consensual, and even common approaches.</w:t>
      </w:r>
    </w:p>
    <w:p>
      <w:r>
        <w:t>675. Finally, from a more operational perspective, the interest of these information exchanges was reinforced by the fact that they concerned global data, covering all ranges of each supplier, and not their product-by-product strategies. Indeed, as negotiations with distributors were conducted on negotiation elements impacting the entirety of the commercial relationship (weighted price increases and margin deviations), only global information was relevant to assess the respective positioning of each participant and to allow companies to adjust their negotiation behavior.</w:t>
      </w:r>
    </w:p>
    <w:p>
      <w:r>
        <w:t>676. The purpose of the information exchanges between the implicated parties on the essential parameters of the commercial negotiation is confirmed by the statements of the companies, notably from leniency applicants.</w:t>
      </w:r>
    </w:p>
    <w:p>
      <w:r>
        <w:t>The exchanges regarding the weighted average price increases of suppliers</w:t>
      </w:r>
    </w:p>
    <w:p>
      <w:r>
        <w:t>677. These exchanges concerned both the effective date of application of the new prices and the weighted average rates of increases, past and future.</w:t>
      </w:r>
    </w:p>
    <w:p>
      <w:r>
        <w:t>The exchanges on the date of application of the new prices</w:t>
      </w:r>
    </w:p>
    <w:p>
      <w:r>
        <w:t>678. For the companies active in the hygiene and maintenance sectors, the question of the date of application of the new prices was crucial. Indeed, a price increase applied before that of other market operators posed a risk of price de-positioning. Obtaining information on the date of application of the new prices thus allowed for limiting these risks of temporary de-positioning and mitigating the competition that could arise among operators on a major parameter of their competitiveness.</w:t>
      </w:r>
    </w:p>
    <w:p>
      <w:r>
        <w:t>679. The exchanges regarding the dates of application of the prices also allowed participants to coordinate their behaviors regarding the date of sending their prices.</w:t>
      </w:r>
    </w:p>
    <w:p>
      <w:r>
        <w:t>680. This is confirmed by a statement from Mr. Alain Niccolaï (Henkel Detergents): "This information allowed me to know when the shelf price was modified. This is important information for the positioning of my products: it allows me to know if my products risk being out of sync with those of competitors on the shelves for a given period" (reference 40 517). Similarly, as indicated by Mr. Gérard H... (Henkel Detergents), at the time of the Sarkozy commitment, "The goal was not to [...] send [the general terms and conditions] before the issues related to the Sarkozy agreement were resolved, and not to be isolated in sending the general terms and conditions to facilitate their 'acceptance' by the distributors" (references 39 787 and 40 793).</w:t>
      </w:r>
    </w:p>
    <w:p>
      <w:r>
        <w:t>The exchanges on future price increases</w:t>
      </w:r>
    </w:p>
    <w:p>
      <w:r>
        <w:t>681. The statements of the individuals interviewed confirm that the information exchanges regarding the levels of price increases allowed suppliers to both identify a "safety zone" and set their price increases within this perimeter.</w:t>
      </w:r>
    </w:p>
    <w:p>
      <w:r>
        <w:t>682. Mr. Alain P... (Beiersdorf) indeed indicated: "It was obviously interesting to know what my competitors might do in terms of increases. We certainly had to think about what the retail sector could accept in terms of prices. The interest of this exchange was to know what the intentions of my competitors were and what the reaction of the distributors was to the increases that were informally proposed to the distributors before their official sending" (reference 40 175).</w:t>
      </w:r>
    </w:p>
    <w:p>
      <w:r>
        <w:t>683. When asked about the exchanges that took place during the "Friends" meeting on November 4, 2004, Ms. Nathalie Y... also explained: "My goal is to propose the price that gives the company the most latitude, that is to say, the highest possible price, with the responsibility for my hierarchy to reduce it if they deem it excessive. The information here is that everyone is below 3%, and therefore our risk-taking is limited; we are less in a 'risk zone' here" (reference 39 913).</w:t>
      </w:r>
    </w:p>
    <w:p>
      <w:r>
        <w:t>684. Regarding the same meeting, Mr. Michel 3... (SC Johnson) stated: "[the exchanges on future increases] allowed us to know if we were de-positioned compared to others, to have visibility on the market. This can lead to fairly homogeneous positions among the different competitors. Since the prices had not yet been sent, it is still possible to decide to change one's position internally if one is too de-positioned compared to others" (references 39 761, 39 762, and 39 913).</w:t>
      </w:r>
    </w:p>
    <w:p>
      <w:r>
        <w:t>685. This convergence of prices was favored by the low price elasticity of the products concerned by the increases. As indicated by Ms. Nathalie Y...: "At the time of Galland, the price passed into the prices; if you knew that a competitor was increasing their prices, normally you had an interest in increasing yours to avoid losing margin because the drop would not necessarily have been significant enough to have an effect on the consumer, as the products were not very elastic to prices outside of promotions" (reference 39 913).</w:t>
      </w:r>
    </w:p>
    <w:p>
      <w:r>
        <w:t>686. The interest of these exchanges on price increases was reinforced following the initiatives taken by public authorities to end the status quo favored by the Galland law. On this point, Ms. Nathalie Y... (Colgate-Palmolive) stated: "Knowing the level of increase of competitors and the existence of an increase is always important. With a politically 'amplified' context (a constraint like the Sarkozy agreement), this is just as important, if not more so" (reference 39 912).</w:t>
      </w:r>
    </w:p>
    <w:p>
      <w:r>
        <w:t>The exchanges on past price increases</w:t>
      </w:r>
    </w:p>
    <w:p>
      <w:r>
        <w:t>687. In addition to these exchanges on future increases, there were exchanges on the increases that had actually been implemented by suppliers and, more sporadically, on the acceptance of these increases by distributors or on arguments aimed at justifying the level of these increases.</w:t>
      </w:r>
    </w:p>
    <w:p>
      <w:r>
        <w:t>688. The interest of this consultation on the price increases already addressed to distributors was summarized by Ms. Nathalie Y... (Colgate-Palmolive): "What was the usefulness of these exchanges on past increases? This allows us to see if we are isolated or not and to anticipate what level of deviation would be requested from us. It could also allow: • To verify the truthfulness of the participants' statements; • To prepare for the next increase, subject to the product mix of each that we could see on the panels (Nielsen and Iri)" (reference 39 914).</w:t>
      </w:r>
    </w:p>
    <w:p>
      <w:r>
        <w:t>689. Firstly, the exchanges on increases already addressed to the brands allowed for better preparation of the ongoing and upcoming negotiation of the commercial agreement.</w:t>
      </w:r>
    </w:p>
    <w:p>
      <w:r>
        <w:t>690. In his statement regarding the "Friends" meeting of February 17, 2005, Mr. Gérard H... (Henkel Detergents) indicated: "The information regarding past price increases was useful in the context of negotiating deviations. This allowed for an estimation of the potential deviation requested and to anticipate the conditions under which the negotiation would take place (if we have a price that is isolated compared to our competitors, the buyer's aggressiveness will be higher). If our price increase is low compared to others and compared to inflation, the negotiation will be more balanced" (reference 39 785).</w:t>
      </w:r>
    </w:p>
    <w:p>
      <w:r>
        <w:t>691. Furthermore, the information regarding past increases was important at the time of negotiating other aspects of the suppliers' commercial policy, as indicated by Mr. Etienne X... (Vania): "During my negotiations, I could use this information to be stricter [...]: if I know that my increase is 3% compared to 10% for my competitor, I will be more demanding during negotiations on a promotion, for example" (reference 39 810).</w:t>
      </w:r>
    </w:p>
    <w:p>
      <w:r>
        <w:t>692. The interest of these exchanges was reinforced by the existence of sporadic exchanges regarding the acceptance of prices by the brands and arguments aimed at justifying the price increases. As indicated by Mr. Jean-François Q... (Colgate-Palmolive): "This allows us to know what the distributors' reaction is for a specific increase, which can reassure us in our upcoming negotiations" (reference 39 842).</w:t>
      </w:r>
    </w:p>
    <w:p>
      <w:r>
        <w:t>693. As for the exchanges on the arguments that could justify the price increases, they also aimed to facilitate the conduct of negotiations with distributors. Ms. Nathalie Y... (Colgate-Palmolive) thus stated: "In general, [this type of exchange] allowed us to have arguments to oppose to the distributors and to be more credible in front of them; it was a foundation on which we could add our own arguments and be creative" (reference 39 915).</w:t>
      </w:r>
    </w:p>
    <w:p>
      <w:r>
        <w:rPr>
          <w:b/>
        </w:rPr>
        <w:t>[Pages 145–147]</w:t>
      </w:r>
    </w:p>
    <w:p>
      <w:r>
        <w:t xml:space="preserve">694. Secondly, these exchanges regarding prices already communicated to distributors allowed, according to the consistent statements of Mr. Etienne X... and Ms. Nathalie Y..., to "control the information previously communicated by the participants" and "to be certain that we could trust the people present at the meetings" (references 39 813 and 39 914). These exchanges on past price increases thus aimed to retrospectively legitimize the exchanges on future price increases.  </w:t>
        <w:br/>
        <w:t xml:space="preserve">695. Thirdly, the exchanges regarding prices already communicated allowed for the preparation of the next price increase, by proceeding with a "catch-up" in case of a lag compared to other operators in the sector. Mr. Etienne X... (Vania) indicated: "It's interesting to know in the negotiation the past increases in the market. This allowed for readjustment during the next increase" (reference 39 809). This statement aligns with that of Ms. Nathalie Y...: "At the time of Galland, the price was included in the prices; if you knew that a competitor was increasing their prices, you normally had an interest in increasing yours so as not to lose margin because the lag would not necessarily have been significant enough to have an effect on the consumer" (references 39 913 and 40 177).  </w:t>
        <w:br/>
        <w:t xml:space="preserve">696. Lastly, the exchanges of information on past prices allowed suppliers to detect any potential "bluff" from the distributor who could misleadingly indicate to a supplier that their increase was excessive compared to that of other participants, in order to obtain a greater deviation (references 40 175, 40 793, and 40 794).  </w:t>
        <w:br/>
        <w:t xml:space="preserve">The exchanges related to the General Terms and Conditions of Sale and pricing grids  </w:t>
        <w:br/>
        <w:t xml:space="preserve">697. The participants in the practices also exchanged their general terms and conditions of sale and the pricing grids associated with them.  </w:t>
        <w:br/>
        <w:t xml:space="preserve">The exchanges related to prices  </w:t>
        <w:br/>
        <w:t xml:space="preserve">698. The exchange of general terms and conditions of sale, which involved the exchange of the companies' pricing grids, allowed the participants to "monitor and control the price evolution of each" (file reference 5 of dossier 08/0084AC, 39 764, and 39 788).  </w:t>
        <w:br/>
        <w:t xml:space="preserve">699. Thanks to the precision of the information contained in these documents, companies could engage in "a product-by-product comparison exercise of price evolutions" (reference 39 814), which allowed them to monitor any potential downgrading of their own products (references 39 841 and 39 774), which could be countered at any time by occasional promotions (references 40 071 and 40 072).  </w:t>
        <w:br/>
        <w:t xml:space="preserve">700. The information obtained from the exchanges of general terms and conditions of sale also allowed for "preparing the next increase" (references 39 813 and 39 914). Indeed, operators in the hygiene and maintenance sector tended, when they detected a price increase of competing products, to align with it the following year, rather than trying to exploit it to increase their market share.  </w:t>
        <w:br/>
        <w:t xml:space="preserve">701. Finally, the analysis of pricing grids facilitated the detection of innovations and allowed for an immediate response. Promotions constituted an important tool for this response as they allowed for "stocking the consumer" (reference 40 177).  </w:t>
        <w:br/>
        <w:t xml:space="preserve">702. This consultation thus strengthened the companies' ability to coordinate while limiting the incentives to deviate from the concerted practice, since any innovation or price reduction could be detected and countered quickly.  </w:t>
        <w:br/>
        <w:t xml:space="preserve">The exchanges related to price reductions contained in the General Terms and Conditions of Sale  </w:t>
        <w:br/>
        <w:t xml:space="preserve">703. The exchanged General Terms and Conditions of Sale also contained information regarding price reductions (discounts and rebates), which presented a dual interest.  </w:t>
        <w:br/>
        <w:t xml:space="preserve">704. Firstly, these exchanges allowed participants to "anticipate the impact on selling prices" of these discounts (reference 39 774) and to react quickly if one of their products was downgraded.  </w:t>
        <w:br/>
        <w:t xml:space="preserve">705. Secondly, the information allowed participants to better position themselves in the negotiations of their commercial cooperation contract that took place after the sending of prices. Indeed, "The comparison of the General Terms and Conditions of Sale could be important as it allowed to know if [the] General Terms and Conditions of Sale [were] more interesting than those of competitors and, during negotiations, to use it to justify a less significant deviation or vice versa" (reference 39 814). These exchanges could prompt reflection if a participant realized that they were offering more than other operators in the sector on certain elements and that, consequently, their commercial conditions were probably more advantageous (reference 40 601).  </w:t>
        <w:br/>
        <w:t xml:space="preserve">706. These exchanges related to the General Terms and Conditions of Sale were particularly important at the time of the entry into force of the Dutreil circular, as highlighted by Mr. Maxime S... (Henkel), "probably at the time of the Dutreil circular, there was an institutionalization of the General Terms and Conditions of Sale that were systematically requested by distributors, so we had to enhance and work on them. It was about benchmarking ourselves on this point" (reference 40 509).  </w:t>
        <w:br/>
        <w:t xml:space="preserve">The exchanges on the progress of commercial negotiations  </w:t>
        <w:br/>
        <w:t xml:space="preserve">707. The implicated companies exchanged information on the progress of commercial negotiations.  </w:t>
        <w:br/>
        <w:t xml:space="preserve">708. This information allowed each supplier to know:  </w:t>
        <w:br/>
        <w:t xml:space="preserve">- whether they could still try to negotiate with the distributor or if their margin of maneuver was more limited, all their competitors having signed. Conversely, knowing that no competitor had signed or that everyone was in a deadlock could reassure the supplier in a strategy of opposition;  </w:t>
        <w:br/>
        <w:t xml:space="preserve">- whether the distributor's threats in the negotiation were credible, particularly because actual delistings had been made;  </w:t>
        <w:br/>
        <w:t xml:space="preserve">- under what conditions their competitors had signed their commercial agreement, particularly regarding the rate of deviation ultimately granted. As Ms. Nathalie Y... (Colgate-Palmolive) indicated: "If I knew that a competitor had signed at a deviation level lower than my target, I could insist on signing at that rate in order to save compared to my target or reinvest it elsewhere" (references 39 919 and 39 765).  </w:t>
        <w:br/>
        <w:t xml:space="preserve">The exchanges on commercial cooperation  </w:t>
        <w:br/>
        <w:t xml:space="preserve">709. The description of the information exchanged among the implicated parties shows that it covered all the determinants of the rate of commercial cooperation (overall rate, requests for deviation, and offers of deviation).  </w:t>
        <w:br/>
        <w:t xml:space="preserve">The exchanges on the rates of commercial cooperation  </w:t>
        <w:br/>
        <w:t xml:space="preserve">710. Regarding the interest of information on the rates of commercial cooperation, Ms. Nathalie Y... (Colgate-Palmolive) stated: "It is about knowing the level of investments of competitors over a given year. This allows us to know what our zone of risk and resistance is in the negotiation. It is also about thwarting the bluff of distributors who might indicate to us that our competitors are more generous."  </w:t>
        <w:br/>
        <w:t xml:space="preserve">711. These exchanges allowed for a better assessment of the importance of the deviation requested by distributors compared to that requested from other participants in the meetings. If a supplier realized that their rate of commercial cooperation was higher than that of operators in the same sector, without justification, they were better equipped to negotiate a lower deviation and thus ultimately increase their profitability.  </w:t>
        <w:br/>
        <w:t xml:space="preserve">712. These exchanges on the overall level of the rate of commercial cooperation of the participants in the practices thus constituted a support for discussions on the demand and offer of commercial cooperation deviation, which represented the bulk of the exchanges.  </w:t>
        <w:br/>
        <w:t xml:space="preserve">The exchanges on requests for commercial cooperation deviations  </w:t>
        <w:br/>
        <w:t xml:space="preserve">713. When asked about the interest of this type of information, Ms. Nathalie Y... stated (reference 39 919): "These exchanges allowed me to know:  </w:t>
        <w:br/>
        <w:t xml:space="preserve">- if the request made to me was unacceptable, which was the case when it was significantly above that made to my competitors;  </w:t>
        <w:br/>
        <w:t xml:space="preserve">- Or if this request was acceptable, which was the case when it was below that made to my competitors. In this case, we could be more demanding because I could deduce that the distributor needed me and that they might be more flexible in terms of compensation;  </w:t>
        <w:br/>
        <w:t xml:space="preserve">- or if it was fanciful because it had no link with my individual situation, which happened when buyers made exactly the same quantified requests. In the latter case, we had to bring the distributors back to reason."  </w:t>
        <w:br/>
        <w:t xml:space="preserve">714. Information on requests for deviations thus allowed the concerned companies to optimally calibrate their offer proposal to achieve a better deviation.  </w:t>
        <w:br/>
        <w:t xml:space="preserve">The exchanges on offers of commercial cooperation deviations  </w:t>
        <w:br/>
        <w:t xml:space="preserve">715. As with price increases, exchanges on offers of deviation allowed participants to adapt their strategy based on the behavior of their competitors. This was particularly important for the first offer as it allowed suppliers to start the negotiation with a lower proposed level of deviation, which increased their chances of concluding with a lower level of commercial cooperation.  </w:t>
        <w:br/>
        <w:t xml:space="preserve">716. Mr. Alain P... (Beiersdorf), when asked about the exchanges on this topic that took place during the Team PCP meeting on October 5, 2004, explained: "The deviation is an important element in a company's strategy. It gave me an idea of my competitors' intentions and reassured me in my strategy" (reference 40 178). Mr. Jean-François Q... (Colgate-Palmolive) confirmed this analysis: "[this information] allows me to know at what level of deviation a competitor is positioned. This allows me to detect the bluff of distributors and to calibrate my offer based on that of my competitors, even if this information is taken into account, along with other elements such as the price increase I have passed, to propose a level of deviation" (reference 39 845).  </w:t>
        <w:br/>
        <w:t xml:space="preserve">Conclusion on the exchanges related to the determining parameters of commercial negotiation  </w:t>
        <w:br/>
        <w:t>717. The practices of consultation, in the form of exchanges of information concerning the parameters of commercial negotiation, thus took place regularly, each</w:t>
      </w:r>
    </w:p>
    <w:p>
      <w:r>
        <w:rPr>
          <w:b/>
        </w:rPr>
        <w:t>[Pages 148–150]</w:t>
      </w:r>
    </w:p>
    <w:p>
      <w:r>
        <w:t>information on overall sales, this allowed the participants to adjust their strategies accordingly and maintain a competitive balance in the market.</w:t>
      </w:r>
    </w:p>
    <w:p>
      <w:r>
        <w:t>741. The exchanges regarding turnover also served to reinforce the collective understanding of market dynamics, enabling the implicated companies to anticipate potential shifts in competitive behavior and respond proactively.</w:t>
      </w:r>
    </w:p>
    <w:p>
      <w:r>
        <w:t>742. Ultimately, these practices of information exchange regarding turnover were instrumental in sustaining the pricing strategies and market positions of the companies involved, ensuring that they could navigate the competitive landscape effectively while adhering to the broader objectives set forth by regulatory initiatives.</w:t>
      </w:r>
    </w:p>
    <w:p>
      <w:r>
        <w:rPr>
          <w:b/>
        </w:rPr>
        <w:t>[Pages 151–153]</w:t>
      </w:r>
    </w:p>
    <w:p>
      <w:r>
        <w:t xml:space="preserve">exchanges on promotional mechanisms, this consultation around turnover thus prevented the collusive balance from being compromised by the implementation of negotiated operations after the signing of the commercial cooperation agreement.  </w:t>
        <w:br/>
        <w:t xml:space="preserve">741. Finally, the data relating to turnover developments, which constituted indicators of the overall situation of competitors, allowed participants to refine their commercial negotiation strategies in relation to those of other operators active in the market (reference 23 005).  </w:t>
        <w:br/>
        <w:t xml:space="preserve">742. Beyond their role in monitoring the balance resulting from the practices, the dissemination of information relating to turnover thus contributed to further strengthening coordination on commercial policies among the various operators in the hygiene and maintenance sectors.  </w:t>
        <w:br/>
        <w:t xml:space="preserve">d) Conclusion on the purpose of the practices from the participants' perspective  </w:t>
        <w:br/>
        <w:t xml:space="preserve">743. In each of the two concerned sectors, participants coordinated by exchanging strategic data, both future and past, on the main parameters for setting their future net triple prices, whether concerning the tariff, drift, content of the general terms and conditions (CGV), and the conduct of negotiations. The effectiveness of the consultation was reinforced by the frequency of contacts between participants and the existence of exchanges on the CGV or turnover, which allowed for the detection of any discrepancies and responses within short timeframes.  </w:t>
        <w:br/>
        <w:t xml:space="preserve">744. Overall, the investigated exchanges aimed, according to the participants in the practices, to reduce the inherent uncertainty of any commercial negotiation, to enable the implicated companies to coordinate their behaviors, and to strengthen their position towards distributors to maintain their profitability.  </w:t>
        <w:br/>
        <w:t xml:space="preserve">F. REMINDERS OF THE ALLEGATIONS NOTIFIED TO THE PARTIES  </w:t>
        <w:br/>
        <w:t xml:space="preserve">1. ON THE ALLEGATION OF A UNIQUE, COMPLEX, AND CONTINUOUS AGREEMENT IN THE FRENCH MARKET FOR THE SUPPLY OF MAINTENANCE PRODUCTS  </w:t>
        <w:br/>
        <w:t xml:space="preserve">"It is alleged against the companies:  </w:t>
        <w:br/>
        <w:t xml:space="preserve">- Topaze,  </w:t>
        <w:br/>
        <w:t xml:space="preserve">- Unilever France,  </w:t>
        <w:br/>
        <w:t xml:space="preserve">- Unilever France Holdings,  </w:t>
        <w:br/>
        <w:t xml:space="preserve">- Procter &amp; Gamble France,  </w:t>
        <w:br/>
        <w:t xml:space="preserve">- Procter &amp; Gamble Holding France,  </w:t>
        <w:br/>
        <w:t xml:space="preserve">- The Procter &amp; Gamble Company,  </w:t>
        <w:br/>
        <w:t xml:space="preserve">- Henkel France,  </w:t>
        <w:br/>
        <w:t xml:space="preserve">- Henkel AG &amp; Co. KGaA,  </w:t>
        <w:br/>
        <w:t xml:space="preserve">- Colgate-Palmolive,  </w:t>
        <w:br/>
        <w:t xml:space="preserve">- Colgate-Palmolive Services,  </w:t>
        <w:br/>
        <w:t xml:space="preserve">- Colgate Palmolive Company,  </w:t>
        <w:br/>
        <w:t xml:space="preserve">- Colgate Palmolive succeeding the rights of Sara Lee Household and Body Care France,  </w:t>
        <w:br/>
        <w:t xml:space="preserve">- Hillshire Brands Company,  </w:t>
        <w:br/>
        <w:t xml:space="preserve">- SC Johnson SAS,  </w:t>
        <w:br/>
        <w:t xml:space="preserve">- SC Johnson &amp; Son, Inc.,  </w:t>
        <w:br/>
        <w:t xml:space="preserve">- Reckitt Benckiser France,  </w:t>
        <w:br/>
        <w:t xml:space="preserve">- RB Holding Southern Europe,  </w:t>
        <w:br/>
        <w:t xml:space="preserve">- Reckitt Benckiser PLC,  </w:t>
        <w:br/>
        <w:t xml:space="preserve">- Bolton Solitaire SAS,  </w:t>
        <w:br/>
        <w:t xml:space="preserve">- Bolton Manitoba S.p.A.,  </w:t>
        <w:br/>
        <w:t xml:space="preserve">for having participated during the adjustments or reforms of the Galland law between 2003 and 2006, in a unique, complex, and continuous agreement in the French market for the supply of maintenance products, by implementing, within the framework of the Team HP and Friends Circles (meetings and/or correspondence) as well as during additional bilateral or multilateral contacts, a set of concerted practices contributing, within the framework of an overall plan, to achieving a unique anti-competitive objective, namely to increase, to their sole benefit, the transparency of commercial negotiation in order to maintain a margin level comparable to that achieved at the time of the Galland law.  </w:t>
        <w:br/>
        <w:t xml:space="preserve">By pursuing this unique anti-competitive objective, the recipients of the allegations imposed, in the French market for the supply of maintenance products, an organizational mode substituting for the free play of competition, autonomy, and uncertainty, a generalized collusion among almost all major suppliers of maintenance products, undermining price setting by the free play of the market, which is prohibited by Article L. 420-1 of the Commercial Code and Article 101 TFEU.  </w:t>
        <w:br/>
        <w:t xml:space="preserve">In addition to constituting restrictions by object, these practices had the effect of altering the normal course of negotiations with distributors, to the benefit of the suppliers who participated in the agreement, and thus contributed to slowing down the price reductions desired by public authorities and to maintaining the net triple prices of maintenance products at an artificially high level, which impacted resale prices to consumers, notably due to the regulatory context of the Galland Law.  </w:t>
        <w:br/>
        <w:t xml:space="preserve">This unique, complex, and continuous agreement has been implemented since at least January 2003 and until February 3, 2006.  </w:t>
        <w:br/>
        <w:t xml:space="preserve">The allegations will be notified to the aforementioned companies, considering the extent of their individual responsibility for the unique, complex, and continuous agreement and the period during which they participated or were aware of it.  </w:t>
        <w:br/>
        <w:t xml:space="preserve">Colgate-Palmolive  </w:t>
        <w:br/>
        <w:t xml:space="preserve">The allegations are notified to:  </w:t>
        <w:br/>
        <w:t xml:space="preserve">- Colgate-Palmolive Services and Colgate Palmolive Company, from January 2003 to February 3, 2006;  </w:t>
        <w:br/>
        <w:t xml:space="preserve">- Colgate-Palmolive, from January 1, 2005, to February 3, 2006;  </w:t>
        <w:br/>
        <w:t xml:space="preserve">for Colgate-Palmolive's participation in the entirety of the unique, complex, and continuous infringement described above between January 2003 and February 3, 2006.  </w:t>
        <w:br/>
        <w:t xml:space="preserve">Henkel  </w:t>
        <w:br/>
        <w:t xml:space="preserve">The allegations are notified to Henkel France and Henkel AG &amp; Co. KGaA, for Henkel's participation in the entirety of the unique, complex, and continuous infringement described above from January 2003 to February 3, 2006.  </w:t>
        <w:br/>
        <w:t xml:space="preserve">Reckitt Benckiser  </w:t>
        <w:br/>
        <w:t xml:space="preserve">The allegations are notified to:  </w:t>
        <w:br/>
        <w:t xml:space="preserve">- Reckitt Benckiser France;  </w:t>
        <w:br/>
        <w:t xml:space="preserve">- RB Holding Southern Europe;  </w:t>
        <w:br/>
        <w:t xml:space="preserve">- Reckitt Benckiser PLC;  </w:t>
        <w:br/>
        <w:t xml:space="preserve">for Reckitt Benckiser's participation in the practices constituting the unique, complex, and continuous infringement described above, within the framework of the Team HP Circle, the Friends Circle, and additional contacts (bilateral or multilateral) from July 30, 2003, at the latest until February 3, 2006.  </w:t>
        <w:br/>
        <w:t xml:space="preserve">Unilever  </w:t>
        <w:br/>
        <w:t xml:space="preserve">The allegations are notified to:  </w:t>
        <w:br/>
        <w:t xml:space="preserve">- Topaze and Unilever France Holdings, from January 2003 to April 3, 2005;  </w:t>
        <w:br/>
        <w:t xml:space="preserve">- Unilever France and Unilever France Holdings, from April 3, 2005, to early August 2005;  </w:t>
        <w:br/>
        <w:t xml:space="preserve">for Unilever's participation in the practices constituting the unique, complex, and continuous infringement described above, within the framework of the Team HP Circle, additional contacts (bilateral or multilateral), and at least one founding meeting of the Friends Circle from January 2003 to early August 2005.  </w:t>
        <w:br/>
        <w:t xml:space="preserve">Procter &amp; Gamble  </w:t>
        <w:br/>
        <w:t xml:space="preserve">The allegations are notified to:  </w:t>
        <w:br/>
        <w:t xml:space="preserve">- Procter &amp; Gamble France;  </w:t>
        <w:br/>
        <w:t xml:space="preserve">- Procter &amp; Gamble Holding France; and  </w:t>
        <w:br/>
        <w:t xml:space="preserve">- The Procter &amp; Gamble Company;  </w:t>
        <w:br/>
        <w:t xml:space="preserve">for Procter &amp; Gamble's participation in the practices constituting the unique, complex, and continuous infringement described above within the framework of the Team HP Circle as well as in the context of additional contacts (bilateral and multilateral) from January 2003 to February 2005.  </w:t>
        <w:br/>
        <w:t xml:space="preserve">Sara Lee  </w:t>
        <w:br/>
        <w:t>The allegations are notified to Colgate-Palmolive succeeding the rights of Sara Lee Household and Body Care France and Hillshire Brands Company for Sara Lee's participation in the practices constituting the unique, complex, and continuous infringement described above, within the framework of the Friends Circle (meetings) as well as in the context of additional contacts (bilateral or multilateral) from September 21, 2004, to February 3, 2006.</w:t>
      </w:r>
    </w:p>
    <w:p>
      <w:r>
        <w:rPr>
          <w:b/>
        </w:rPr>
        <w:t>[Pages 154–156]</w:t>
      </w:r>
    </w:p>
    <w:p>
      <w:r>
        <w:t xml:space="preserve">continue décrite ci-dessus, dans le cadre du Cercle des Amis ainsi que dans le cadre de contacts complémentaires (bilatéraux ou plurilatéraux) du 30 juillet 2003 au plus tard au 3 février 2006.  </w:t>
        <w:br/>
        <w:t xml:space="preserve">SC Johnson  </w:t>
        <w:br/>
        <w:t xml:space="preserve">The allegations are notified to SC Johnson SAS and SC Johnson &amp; Son, Inc. for SC Johnson's participation in the practices constituting the unique, complex, and continuous offense described above, within the framework of the Cercle des Amis as well as in the context of complementary contacts (bilateral or multilateral) from July 30, 2003, until at least February 3, 2006.  </w:t>
        <w:br/>
        <w:t xml:space="preserve">Bolton Solitaire  </w:t>
        <w:br/>
        <w:t xml:space="preserve">The allegations are notified to Bolton Solitaire SAS and Bolton Manitoba S.p.A. for Bolton Solitaire's participation in the practices constituting the unique, complex, and continuous offense described above, within the framework of the Cercle des Amis as well as in the context of complementary contacts (bilateral or multilateral) from July 30, 2003, until at least February 3, 2006.  </w:t>
        <w:br/>
        <w:t xml:space="preserve">2. ON THE ALLEGATION OF A UNIQUE, COMPLEX, AND CONTINUOUS AGREEMENT ON THE FRENCH MARKET FOR THE SUPPLY OF HYGIENE PRODUCTS  </w:t>
        <w:br/>
        <w:t xml:space="preserve">"It is alleged against the companies:  </w:t>
        <w:br/>
        <w:t xml:space="preserve">- Topaze,  </w:t>
        <w:br/>
        <w:t xml:space="preserve">- Unilever France,  </w:t>
        <w:br/>
        <w:t xml:space="preserve">- Unilever France Holdings,  </w:t>
        <w:br/>
        <w:t xml:space="preserve">- Procter &amp; Gamble France,  </w:t>
        <w:br/>
        <w:t xml:space="preserve">- Procter &amp; Gamble Holding France,  </w:t>
        <w:br/>
        <w:t xml:space="preserve">- The Procter &amp; Gamble Company,  </w:t>
        <w:br/>
        <w:t xml:space="preserve">- Procter &amp; Gamble France succeeding to the rights of Groupe Gillette France,  </w:t>
        <w:br/>
        <w:t xml:space="preserve">- The Procter &amp; Gamble Company succeeding to the rights of The Gillette Company,  </w:t>
        <w:br/>
        <w:t xml:space="preserve">- Henkel France,  </w:t>
        <w:br/>
        <w:t xml:space="preserve">- Henkel AG &amp; Co. KGaA,  </w:t>
        <w:br/>
        <w:t xml:space="preserve">- Colgate-Palmolive,  </w:t>
        <w:br/>
        <w:t xml:space="preserve">- Colgate-Palmolive Services,  </w:t>
        <w:br/>
        <w:t xml:space="preserve">- Colgate Palmolive Company,  </w:t>
        <w:br/>
        <w:t xml:space="preserve">- Colgate Palmolive succeeding to the rights of Sara Lee Household and Body Care France,  </w:t>
        <w:br/>
        <w:t xml:space="preserve">- Hillshire Brands Company,  </w:t>
        <w:br/>
        <w:t xml:space="preserve">- Reckitt Benckiser France,  </w:t>
        <w:br/>
        <w:t xml:space="preserve">- RB Holding Southern Europe,  </w:t>
        <w:br/>
        <w:t xml:space="preserve">- Reckitt Benckiser PLC,  </w:t>
        <w:br/>
        <w:t xml:space="preserve">- Johnson &amp; Johnson Santé Beauté France,  </w:t>
        <w:br/>
        <w:t xml:space="preserve">- SCA Tissue France,  </w:t>
        <w:br/>
        <w:t xml:space="preserve">- Johnson &amp; Johnson Consumer Holdings France,  </w:t>
        <w:br/>
        <w:t xml:space="preserve">- Vania Expansion,  </w:t>
        <w:br/>
        <w:t xml:space="preserve">- Lascad,  </w:t>
        <w:br/>
        <w:t xml:space="preserve">- L’Oréal,  </w:t>
        <w:br/>
        <w:t xml:space="preserve">- Beiersdorf SAS,  </w:t>
        <w:br/>
        <w:t xml:space="preserve">- Beiersdorf Holding France SARL,  </w:t>
        <w:br/>
        <w:t xml:space="preserve">- Beiersdorf AG,  </w:t>
        <w:br/>
        <w:t xml:space="preserve">for having participated during the adjustments or reforms of the Galland law between 2003 and 2006, in a unique, complex, and continuous agreement on the French market for the supply of hygiene products, by implementing, within the framework of the Cercles Team PCP and the Amis (meetings and/or correspondence) as well as during complementary contacts, bilateral or multilateral, a set of concerted practices contributing, within the framework of an overall plan, to achieving a unique anti-competitive objective, namely to increase, for their sole benefit, the transparency of commercial negotiations, in order to maintain a margin level comparable to that achieved at the time of the Galland law.  </w:t>
        <w:br/>
        <w:t xml:space="preserve">By pursuing this unique anti-competitive objective, the recipients of the allegations imposed, on the French market for the supply of hygiene products, a mode of organization substituting for the free play of competition, autonomy, and uncertainty, a generalized collusion among almost all major suppliers of hygiene products, affecting price setting by the free play of the market, which is prohibited by Article L. 420-1 of the Commercial Code and Article 101 TFEU.  </w:t>
        <w:br/>
        <w:t xml:space="preserve">In addition to these practices constituting restrictions by object, they had the effect of altering the normal course of negotiations with distributors, to the benefit of the suppliers who participated in the agreement, and thus contributed to slowing down the price reductions desired by the public authorities and to maintaining the triple net prices of hygiene products at an artificially high level, which impacted resale prices to consumers, due to the regulatory context of the Galland Law.  </w:t>
        <w:br/>
        <w:t xml:space="preserve">This unique, complex, and continuous agreement was implemented from January 22, 2003, at least until February 3, 2006.  </w:t>
        <w:br/>
        <w:t xml:space="preserve">The allegations will be notified to the aforementioned companies, considering the extent of their individual responsibility for the unique, complex, and continuous agreement and the period during which they participated or were aware of it.  </w:t>
        <w:br/>
        <w:t xml:space="preserve">Colgate-Palmolive  </w:t>
        <w:br/>
        <w:t xml:space="preserve">The allegations are notified to  </w:t>
        <w:br/>
        <w:t xml:space="preserve">- Colgate-Palmolive Services and Colgate Palmolive Company, from January 22, 2003, to February 3, 2006;  </w:t>
        <w:br/>
        <w:t xml:space="preserve">- Colgate-Palmolive, from January 1, 2005, to February 3, 2006;  </w:t>
        <w:br/>
        <w:t xml:space="preserve">for Colgate-Palmolive's participation in the entirety of the unique, complex, and continuous offense described above between January 22, 2003, and February 3, 2006.  </w:t>
        <w:br/>
        <w:t xml:space="preserve">Henkel  </w:t>
        <w:br/>
        <w:t xml:space="preserve">The allegations are notified to Henkel France and Henkel AG &amp; Co. KGaA for Henkel's participation in the entirety of the unique, complex, and continuous offense described above from January 22, 2003, to February 3, 2006.  </w:t>
        <w:br/>
        <w:t xml:space="preserve">Unilever  </w:t>
        <w:br/>
        <w:t xml:space="preserve">The allegations are notified to:  </w:t>
        <w:br/>
        <w:t xml:space="preserve">- Topaze and Unilever France Holdings, from April 2003 to April 3, 2005,  </w:t>
        <w:br/>
        <w:t xml:space="preserve">- Unilever France and Unilever France Holdings, from April 3, 2005, to January 2, 2006,  </w:t>
        <w:br/>
        <w:t xml:space="preserve">for Unilever's participation in the practices constituting the unique, complex, and continuous offense described above, within the framework of the Cercle Team PCP, complementary contacts (bilateral or multilateral), and at least one meeting constituting the Cercle des "Amis" between April 2003 and January 2, 2006.  </w:t>
        <w:br/>
        <w:t xml:space="preserve">Procter &amp; Gamble  </w:t>
        <w:br/>
        <w:t xml:space="preserve">The allegations are notified to:  </w:t>
        <w:br/>
        <w:t xml:space="preserve">- Procter &amp; Gamble France;  </w:t>
        <w:br/>
        <w:t xml:space="preserve">- Procter &amp; Gamble Holding France;  </w:t>
        <w:br/>
        <w:t xml:space="preserve">- The Procter &amp; Gamble Company;  </w:t>
        <w:br/>
        <w:t xml:space="preserve">for Procter &amp; Gamble's participation in the practices constituting the unique, complex, and continuous offense described above within the framework of the Cercle Team PCP as well as certain complementary contacts (bilateral and multilateral) for a period between April 2003 and January 2005.  </w:t>
        <w:br/>
        <w:t xml:space="preserve">Reckitt Benckiser  </w:t>
        <w:br/>
        <w:t xml:space="preserve">The allegations are notified to:  </w:t>
        <w:br/>
        <w:t xml:space="preserve">- Reckitt Benckiser France;  </w:t>
        <w:br/>
        <w:t xml:space="preserve">- RB Holding Southern Europe;  </w:t>
        <w:br/>
        <w:t xml:space="preserve">- Reckitt Benckiser PLC;  </w:t>
        <w:br/>
        <w:t xml:space="preserve">for Reckitt Benckiser's participation in the practices constituting the unique, complex, and continuous offense described above, within the framework of the Cercle Team PCP (correspondence), the Cercle des Amis, and a multilateral contact, for a period between July 12 or 13, 2004, and February 3, 2006.  </w:t>
        <w:br/>
        <w:t xml:space="preserve">Sara Lee  </w:t>
        <w:br/>
        <w:t xml:space="preserve">The allegations are notified to Colgate-Palmolive succeeding to the rights of Sara Lee Household and Body Care France and Hillshire Brands Company, for Sara Lee's participation in the practices constituting the unique, complex, and continuous offense described above, within the framework of the Cercle des Amis (meetings) for a period between September 21, 2004, and February 3, 2006.  </w:t>
        <w:br/>
        <w:t xml:space="preserve">Laboratoires Vendôme  </w:t>
        <w:br/>
        <w:t>The allegations are notified to Johnson &amp; Johnson Santé Beauté France for the participation of Laboratoires Vendôme in the practices constituting the unique, complex, and continuous offense described above, within the framework of the Cercle des Amis as well as in the context of complementary contacts (bilateral or multilateral) from July 30, 2003, until at least February 3, 2006.</w:t>
      </w:r>
    </w:p>
    <w:p>
      <w:r>
        <w:rPr>
          <w:b/>
        </w:rPr>
        <w:t>[Pages 157–159]</w:t>
      </w:r>
    </w:p>
    <w:p>
      <w:r>
        <w:t xml:space="preserve">continue within the framework of the Cercle Team PCP (correspondences) and the Cercle des Amis for a period from September 21, 2004, to February 3, 2006.  </w:t>
        <w:br/>
        <w:t xml:space="preserve">Gillette  </w:t>
        <w:br/>
        <w:t xml:space="preserve">The allegations are notified to:  </w:t>
        <w:br/>
        <w:t xml:space="preserve">- Procter &amp; Gamble France succeeding the company Groupe Gillette France from April 2003 to February 3, 2006;  </w:t>
        <w:br/>
        <w:t xml:space="preserve">- Procter &amp; Gamble Holding France from November 30, 2005, to February 3, 2006;  </w:t>
        <w:br/>
        <w:t xml:space="preserve">- The Procter &amp; Gamble Company succeeding the company The Gillette Company from April 2003 to November 8, 2005;  </w:t>
        <w:br/>
        <w:t xml:space="preserve">- The Procter &amp; Gamble Company from November 8, 2005, to February 3, 2006;  </w:t>
        <w:br/>
        <w:t xml:space="preserve">for the participation of Gillette in the practices constituting the unique, complex, and continuous infringement described above within the framework of the Cercle Team PCP as well as at two meetings organized within the framework of the Cercle des Amis from April 2003 to February 3, 2006.  </w:t>
        <w:br/>
        <w:t xml:space="preserve">L’Oréal and Lascad  </w:t>
        <w:br/>
        <w:t xml:space="preserve">The allegations are notified to:  </w:t>
        <w:br/>
        <w:t xml:space="preserve">- L’Oréal, between April 2003 and March 24, 2004, and between October 2005 and February 3, 2006, for having participated in the practices constituting the unique, complex, and continuous infringement described above within the framework of the Cercle Team PCP as well as in the practices organized within the framework of the Cercle des Amis from January 26, 2006;  </w:t>
        <w:br/>
        <w:t xml:space="preserve">- Lascad, between October 2005 and February 3, 2006, for having participated in the practices constituting the unique, complex, and continuous infringement described above within the framework of the Cercle Team PCP as well as in the practices organized within the framework of the Cercle des Amis (meetings) from January 26, 2006.  </w:t>
        <w:br/>
        <w:t xml:space="preserve">Beiersdorf  </w:t>
        <w:br/>
        <w:t xml:space="preserve">The allegations are notified to:  </w:t>
        <w:br/>
        <w:t xml:space="preserve">- Beiersdorf SAS;  </w:t>
        <w:br/>
        <w:t xml:space="preserve">- Beiersdorf Holding France SARL; and  </w:t>
        <w:br/>
        <w:t xml:space="preserve">- Beiersdorf AG;  </w:t>
        <w:br/>
        <w:t xml:space="preserve">for the participation of Beiersdorf in the practices constituting the unique, complex, and continuous infringement described above, within the framework of the Cercle Team PCP and a multilateral contact, for a period from January 22, 2003, to February 3, 2006, as well as in the practices organized within the framework of the Cercle des Amis from January 19, 2006.  </w:t>
        <w:br/>
        <w:t xml:space="preserve">Vania  </w:t>
        <w:br/>
        <w:t xml:space="preserve">The allegations are notified to:  </w:t>
        <w:br/>
        <w:t xml:space="preserve">- Vania Expansion;  </w:t>
        <w:br/>
        <w:t xml:space="preserve">- SCA Tissue France; and  </w:t>
        <w:br/>
        <w:t xml:space="preserve">- Johnson &amp; Johnson Consumer Holdings France;  </w:t>
        <w:br/>
        <w:t>for the participation of Vania in the practices constituting the unique, complex, and continuous infringement described above within the framework of the Cercle Team PCP as well as in a multilateral contact, for a period from January 22, 2003, to February 3, 2006.</w:t>
      </w:r>
    </w:p>
    <w:p>
      <w:r>
        <w:t xml:space="preserve">G. PROCEDURES FOR NON-CONTESTATION OF ALLEGATIONS  </w:t>
        <w:br/>
        <w:t xml:space="preserve">745. Pursuant to III of Article L. 464-2 of the Commercial Code: "When an organization or a company does not contest the reality of the allegations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  </w:t>
        <w:br/>
        <w:t xml:space="preserve">746. The investigation services have taken note of the request from the following companies to benefit from the non-contestation procedure:  </w:t>
        <w:br/>
        <w:t xml:space="preserve">- regarding Unilever, Topaze, Unilever France, and Unilever France Holdings (minutes of July 19, 2013);  </w:t>
        <w:br/>
        <w:t xml:space="preserve">- regarding Laboratoires Vendôme, Johnson &amp; Johnson Santé Beauté France, succeeding Laboratoires Vendôme (minutes of July 22, 2013);  </w:t>
        <w:br/>
        <w:t xml:space="preserve">- regarding Vania Expansion, Vania Expansion, and Johnson &amp; Johnson Consumer Holdings France (minutes of August 8, 2013) and SCA Tissue France (minutes of August 8, 2013);  </w:t>
        <w:br/>
        <w:t xml:space="preserve">- regarding Henkel, Henkel France, and Henkel AG &amp; Co KGaA (minutes of August 22, 2013);  </w:t>
        <w:br/>
        <w:t xml:space="preserve">- regarding Reckitt Benckiser, Reckitt Benckiser France, RB Holding Southern Europe, and Reckitt Benckiser PLC (minutes of August 28, 2013);  </w:t>
        <w:br/>
        <w:t xml:space="preserve">- regarding Colgate-Palmolive, Colgate-Palmolive, Colgate-Palmolive Services, and Colgate-Palmolive Company (minutes of August 30, 2013);  </w:t>
        <w:br/>
        <w:t xml:space="preserve">- regarding Sara Lee, Colgate-Palmolive, legal successor of Sara Lee Household and Body Care France (minutes of August 30, 2013);  </w:t>
        <w:br/>
        <w:t xml:space="preserve">- regarding Procter &amp; Gamble and Gillette, Procter &amp; Gamble France, Procter &amp; Gamble Holding France, and The Procter &amp; Gamble Company, in their name and as entities succeeding the companies Groupe Gillette France and The Gillette Company (minutes of August 30, 2013);  </w:t>
        <w:br/>
        <w:t xml:space="preserve">- regarding Beiersdorf, Beiersdorf SAS, Beiersdorf Holding France SARL, and Beiersdorf AG (minutes of September 2, 2013).  </w:t>
        <w:br/>
        <w:t xml:space="preserve">747. For all these companies, the investigation services proposed a 10% reduction in the amount of the sanction incurred in exchange for the non-contestation of the allegations.  </w:t>
        <w:br/>
        <w:t>748. The investigation services also committed to proposing, for all these companies, that the level of this fine reduction be increased from 10% to 15-20% in exchange for their commitment to strengthen their current compliance program with competition law.</w:t>
      </w:r>
    </w:p>
    <w:p>
      <w:r>
        <w:t xml:space="preserve">II. Discussion  </w:t>
        <w:br/>
        <w:t xml:space="preserve">A. ON THE CONDUCT OF THE PROCEDURE  </w:t>
        <w:br/>
        <w:t xml:space="preserve">749. The companies Bolton Manitoba, Hillshire Brands Company (hereinafter "Hillshire"), and L’Oréal contest the regularity of the procedure on the following points:  </w:t>
        <w:br/>
        <w:t xml:space="preserve">- the principle of fairness in the search for evidence (1);  </w:t>
        <w:br/>
        <w:t xml:space="preserve">- the alleged right to be heard before the notification of allegations (2);  </w:t>
        <w:br/>
        <w:t xml:space="preserve">- the duration of the investigation (3);  </w:t>
        <w:br/>
        <w:t xml:space="preserve">- the response time to the notification of allegations (4);  </w:t>
        <w:br/>
        <w:t xml:space="preserve">- the principle of equality of arms (5);  </w:t>
        <w:br/>
        <w:t xml:space="preserve">- the absence of an English translation of the notification of allegations (6).  </w:t>
        <w:br/>
        <w:t xml:space="preserve">1. REGARDING THE PRINCIPLE OF FAIRNESS IN THE SEARCH FOR EVIDENCE  </w:t>
        <w:br/>
        <w:t xml:space="preserve">750. Hillshire argues that the hearing by the investigation services of Mr. Andréas 17..., former executive of Sara Lee Household &amp; Body Care France, was conducted in violation of the principle of fairness in the search for evidence since this hearing aimed, according to Hillshire, to have Sara Lee self-incriminate through its former executive, who was not represented by counsel.  </w:t>
        <w:br/>
        <w:t xml:space="preserve">751. It should be recalled that the principle of fairness in the search for evidence guarantees the right of any person who is the subject of an investigation not to self-incriminate, that is to say, not to be compelled to testify against oneself or to confess guilt. This obligation of fairness requires the Authority's agents to inform the persons heard of the scope and purpose of the investigation, which must be understood both in terms of the legal framework within which the investigators operate and the sector concerned by their investigations (decision no. 2001-D-24 of the Competition Council dated May 4, 2001, regarding practices identified during public lighting and rural electrification markets in the Hérault department and the cited case law).  </w:t>
        <w:br/>
        <w:t>752. In this case, Mr. 17..., former president of Sara Lee Household and Bodycare France, was heard on January 7, 2014, by the investigation services. At that time, Mr. 17... was no longer an employee of either Hillshire or Sara Lee Household and Bodycare France, so there was no risk of self-incrimination. In any case, Mr. 17... was informed, in the summons sent to him, of the purpose of the investigation and of his right to be assisted by counsel in accordance with the provisions of Article R. 463-6 of the Commercial Code (reference 52 758). The hearing resulted in the establishment of a report signed by the interested party which mentions both the questions posed by the rapporteurs and the responses of the interested party (references 52 945 to 52 950). Therefore, the hearing of Mr. 17... was not conducted in violation of the principle of fairness in the search for evidence.</w:t>
      </w:r>
    </w:p>
    <w:p>
      <w:r>
        <w:rPr>
          <w:b/>
        </w:rPr>
        <w:t>[Pages 160–162]</w:t>
      </w:r>
    </w:p>
    <w:p>
      <w:r>
        <w:t>Palmolive aurait des éléments de preuve à décharge, elle ne saurait justifier à elle seule une violation du principe d’égalité des armes.</w:t>
      </w:r>
    </w:p>
    <w:p>
      <w:r>
        <w:t>775. En conclusion, la situation de Hillshire ne constitue pas une violation du principe d’égalité des armes, et les arguments avancés à cet égard ne sauraient être retenus.</w:t>
      </w:r>
    </w:p>
    <w:p>
      <w:r>
        <w:rPr>
          <w:b/>
        </w:rPr>
        <w:t>[Pages 163–165]</w:t>
      </w:r>
    </w:p>
    <w:p>
      <w:r>
        <w:t xml:space="preserve">Palmolive would have no interest in collaborating in the defense of Hillshire, it is in any case foreign to the will of the Authority and cannot characterize a breach of equality of treatment between the parties. Hillshire's argument must therefore be dismissed.  </w:t>
        <w:br/>
        <w:t xml:space="preserve">775. Regarding the possibility for Hillshire to present commitments within the framework of a potential procedure for not contesting the allegations, it should be recalled that, in accordance with paragraphs 14 to 17, and then 34 of the procedural notice of February 10, 2012, relating to the non-contestation of allegations, the essential element of this procedure is the waiver of contesting the allegations. This waiver gives rise to a fine reduction of 10%, corresponding to the procedural gain obtained by the Authority. Nothing prevented Hillshire, if it wished, from resorting to this procedural avenue and benefiting from a fine reduction in this regard. Since Hillshire did not request to be included in the procedure for not contesting the allegations, it cannot usefully invoke its inability to propose commitments within the framework of this procedure.  </w:t>
        <w:br/>
        <w:t xml:space="preserve">776. Moreover, as indicated in paragraphs 18 to 22 of the aforementioned notice, the subscription of behavioral or structural commitments, in exchange for a greater reduction of the fine, constitutes the optional part of the procedure for not contesting the allegations. These commitments are "a means of contributing to developing a culture of competition or ensuring the competitive functioning of the economy." It is therefore the positive impact of the commitments made by a company on the competitive functioning of the markets that the Authority intends to reward with an additional fine reduction. In this regard, the commitments represent a significant burden in financial, human, and organizational terms for companies.  </w:t>
        <w:br/>
        <w:t xml:space="preserve">777. In this context, if, as it claims, Hillshire was unable to propose commitments that would improve the competitive functioning of the markets, the Authority would not have been able to grant it a fine reduction exceeding the 10% corresponding to the waiver of contesting the allegations, without resulting in any breach of equality of treatment.  </w:t>
        <w:br/>
        <w:t xml:space="preserve">778. Hillshire's argument must therefore be dismissed.  </w:t>
        <w:br/>
        <w:t xml:space="preserve">6. REGARDING THE ABSENCE OF TRANSLATION OF THE NOTIFICATION OF ALLEGATIONS  </w:t>
        <w:br/>
        <w:t xml:space="preserve">779. Hillshire considers that the procedure violates Article 6, paragraph 3, of the European Convention on Human Rights and Fundamental Freedoms due to the absence of translation of the notification of allegations into English and the insufficiency of the three-month period granted to it to present its observations in response to the notification of allegations.  </w:t>
        <w:br/>
        <w:t xml:space="preserve">780. However, it should be recalled that, in accordance with the requirements arising from Article 2 of the Constitution, reiterated, particularly concerning public services, in Article 1 of Law No. 94-665 of August 4, 1994, relating to the use of the French language (JORF of August 5, 1994, p. 11,392), the language of procedure before the Authority is French, as recalled in Article 26 of its internal regulations.  </w:t>
        <w:br/>
        <w:t xml:space="preserve">781. Article 6, paragraph 3, of the European Convention on Human Rights and Fundamental Freedoms provides, concerning it, that "everyone charged with a criminal offense has the right to: (a) be informed promptly, in a language which he understands and in detail, of the nature and cause of the accusation against him; (b) have adequate time and facilities for the preparation of his defense."  </w:t>
        <w:br/>
        <w:t xml:space="preserve">782. The Authority, whose decision does not occur at the end of a criminal procedure per se, and does not target natural persons, but legal entities generally having more resources to ensure their defense, does not disregard the requirements of Article 6, paragraph 3, subparagraph a) of the Convention if it establishes, following a request made by the parties, that they sufficiently possess French to grasp the scope of the accusations made against them.  </w:t>
        <w:br/>
        <w:t xml:space="preserve">783. The Authority ensures, in each specific case and in a concrete manner, that the party concerned, taking into account in particular its command of the French language, the assistance and advice it has sought, and all the means and facilities at its disposal, has been able to take cognizance of the notification of allegations and access the case files under conditions allowing it to fully exercise its rights (see in this sense CE, December 7, 2005, Société Ryanair, No. 270424, A; Paris Court of Appeal, November 20, 2014, Société Grands Moulins de Paris, p. 20; decision No. 13-D-12 of May 28, 2013, relating to practices implemented in the chemical commodities marketing sector, points 557 and following).  </w:t>
        <w:br/>
        <w:t xml:space="preserve">784. In this case, if Hillshire is a company whose headquarters is located in the United States, it evidently has the financial and human resources to respond effectively to the allegations notified to it by the Authority. Hillshire has also chosen to domicile with a French counsel, a specialist in French and European competition law, who has necessarily informed it about the content of the facts and the internal and European regulations.  </w:t>
        <w:br/>
        <w:t xml:space="preserve">785. Furthermore, Hillshire, which could not have been unaware of the existence of a procedure initiated against its subsidiary Sara Lee Household &amp; Body Care France even before the notification of allegations, exceptionally benefited from an extension of the response time to the notification of allegations from two to three months, which is the longest period allowed by French procedure.  </w:t>
        <w:br/>
        <w:t xml:space="preserve">786. The substantial observations submitted by Hillshire in response to the notification of allegations, exceeding 130 pages, followed by the observations of 218 pages in response to the report, confirm, if needed, that the company cannot seriously claim that its insufficient command of the French language prevented it from having the time and facilities necessary for the preparation of its defense.  </w:t>
        <w:br/>
        <w:t xml:space="preserve">B. ON THE APPLICABILITY OF UNION LAW  </w:t>
        <w:br/>
        <w:t xml:space="preserve">1. PRINCIPLES  </w:t>
        <w:br/>
        <w:t xml:space="preserve">787. Article 81 of the EC Treaty, now Article 101 of the TFEU, prohibits agreements between undertakings, decisions by associations of undertakings, and concerted practices between undertakings that have the object or effect of restricting competition and that may affect trade between Member States.  </w:t>
        <w:br/>
        <w:t xml:space="preserve">788. Based on the consistent case law of the Union, and in light of the European Commission's communication on guidelines relating to the notion of affecting trade as set out in Articles 81 and 82 of the Treaty [now Articles 101 and 102 of the TFEU] (OJ C 101, April 27, 2004, p. 81), the Authority consistently considers that three elements must be met for practices to be likely to significantly affect trade between Member States: the existence of exchanges, at least potential, between Member States concerning the products or services in question, the existence of practices likely to affect those exchanges, and the sensitive nature of this possible effect.  </w:t>
        <w:br/>
        <w:t xml:space="preserve">789. Regarding the first element, in cases of agreements extending to the entirety or vast majority of the territory of a Member State, the Court of Justice of the European Union has ruled "that there is, at the very least, a strong presumption that a restrictive practice applied throughout the territory of a Member State is likely to contribute to market partitioning and affect intra-Community trade. This presumption can only be rebutted if the analysis of the characteristics of the agreement and the economic context in which it is situated demonstrates otherwise" (judgment of December 14, 2006, Raiffeisen Zentralbank Österreich e.a./Commission, T-259/02 to T-264/02 and T-271/02, Rec. p. II-5169, point 181). On appeal, the Court of Justice clarified in a judgment of September 24, 2009, Erste Group Bank/Commission, that "the fact that an agreement only concerns the marketing of products in a single Member State is not sufficient to exclude that trade between Member States may be affected. Indeed, an agreement extending throughout the territory of a Member State has, by its very nature, the effect of consolidating national partitioning, thereby hindering the economic interpenetration intended by the EC Treaty" (C-125/07 P, C-133/07 P, C-135/07 P and C-137/07 P, Rec. p. I-8681, point 38).  </w:t>
        <w:br/>
        <w:t xml:space="preserve">790. Regarding the second element, to be likely to affect trade between Member States, a decision, agreement, or concerted practice "must, based on a set of factual and legal elements, allow for a sufficient degree of probability that they may exert a direct or indirect, actual or potential influence on the flow of trade between Member States" (judgments of the Court of Justice of January 21, 1999, Bagnasco e.a., C-215/96 P and C-216/96, Rec. p I-135, point 47, and of October 25, 2001, Ambulanz Glöckner, C-475-99, Rec. 2001 p. I-8089, point 48). The Court of Cassation has also recalled that the terms "likely to affect" as stated in Articles 101 and 102 of the TFEU "imply that the agreement or abusive practice in question allows, based on a set of objective legal or factual elements, for a sufficient degree of probability that it may exert a direct or indirect, actual or potential influence on the flow of trade between Member States, without requiring the establishment of an effect realized on intra-Community trade" (judgment of January 31, 2012, France Télécom, No. 10-25.772, 10-25.775 and 10-25.882, p. 6).  </w:t>
        <w:br/>
        <w:t xml:space="preserve">791. Finally, regarding the third element, the Court of Cassation ruled in the aforementioned France Télécom judgment that the demonstration of the sensitive nature of this possible effect, in cases where the practices in question are committed in only part of a Member State, "results from a set of criteria, among which the nature of the practices, the nature of the products concerned, and the market position of the companies involved" must be taken into account, "the total sales volume concerned relative to the national volume being only one element among others."  </w:t>
        <w:br/>
        <w:t xml:space="preserve">792. Paragraph 52 of the aforementioned guidelines refers to two cumulative thresholds below which an agreement is presumed, from the perspective of the European Commission, not to significantly affect trade between Member States:  </w:t>
        <w:br/>
        <w:t xml:space="preserve">- the total market share of the parties in the affected Community market does not exceed 5%;  </w:t>
        <w:br/>
        <w:t>- and, in the case of horizontal agreements, the average annual turnover achieved in the Union by the companies involved with the products concerned by the agreement does not exceed 40 million euros.</w:t>
      </w:r>
    </w:p>
    <w:p>
      <w:r>
        <w:rPr>
          <w:b/>
        </w:rPr>
        <w:t>[Pages 166–168]</w:t>
      </w:r>
    </w:p>
    <w:p>
      <w:r>
        <w:t xml:space="preserve">2. APPLICATION TO THE CASE AT HAND  </w:t>
        <w:br/>
        <w:t xml:space="preserve">793. In this case, several elements allow us to consider that the practices are likely to affect trade between Member States.  </w:t>
        <w:br/>
        <w:t xml:space="preserve">794. Firstly, the negotiations between the buyers of large retail chains and the suppliers involved take place at the national level and cover the supply of the chains for the entire French territory. The numerous identified contacts concerned all the components of the net triple price, as well as the conduct of these negotiations between the suppliers and all the large retail chains. Consequently, the practices impacted, at the very least, the entirety of the French market.  </w:t>
        <w:br/>
        <w:t xml:space="preserve">795. These practices, which aimed to distort negotiations across the entire French territory, had, by their very nature, the effect of consolidating national compartmentalizations and hindering the economic interpenetration intended by the TFEU.  </w:t>
        <w:br/>
        <w:t xml:space="preserve">796. Secondly, most of the companies involved belong to international groups, active in several Member States of the European Union, where they often engage in production or marketing activities for their products.  </w:t>
        <w:br/>
        <w:t xml:space="preserve">797. The markets for the supply of hygiene products and cleaning products are characterized by the existence of cross-border trade flows, destined for or originating from French territory, notably with the rest of the European Union.  </w:t>
        <w:br/>
        <w:t xml:space="preserve">798. In the hygiene products sector, French manufacturers market a significant portion of their production outside French territory (approximately 1.4 billion euros in 2006), of which 70% is in Western European countries (Xerfi Study – Hygiene and Toiletry Products – Market Analysis, Forecasts 2007, forces in play – January 2007, p. 23, reference 44 605). As for the trade flows of hygiene products destined for French territory, they were estimated, at the same date, at 650 million euros, of which 90% originated from Western Europe.  </w:t>
        <w:br/>
        <w:t xml:space="preserve">799. In the cleaning products sector, in 2005, trade flows destined for French territory amounted to 1.5 billion euros, of which 90.3% came from Western European countries. The outgoing flows of cleaning products from French territory represented, in value, 1.25 billion euros, of which 78.5% was destined for Western Europe (Xerfi Study – Soaps, Detergents, and Cleaning Products – June 2006, pp. 29 to 32, references 44 527 to 44 530).  </w:t>
        <w:br/>
        <w:t xml:space="preserve">800. Finally, the practices examined have, on certain occasions, concerned international contracts concluded with international purchasing centers for sales outside France, thereby affecting exports to other Member States of the Union.  </w:t>
        <w:br/>
        <w:t xml:space="preserve">801. Under these conditions, the practices in question were likely to affect the trade flows that existed between Member States.  </w:t>
        <w:br/>
        <w:t xml:space="preserve">802. Thirdly and finally, this decision concerns two horizontal agreements between the main suppliers, on the one hand, in the French market for hygiene products, and on the other hand, for cleaning products. The operators involved, almost all backed by large international groups, represent between 65% and 70% of their respective sectors in France and play, for some, a leading role in these sectors.  </w:t>
        <w:br/>
        <w:t xml:space="preserve">803. These practices involved companies whose European turnover in each of the relevant sectors significantly exceeded 40 million euros. Therefore, the negative presumption of non-significant effect on intra-community trade recalled in point 792 above is not applicable. On the contrary, regarding practices implemented across the entirety of French territory by international groups holding very significant positions in the relevant markets, the sensitive nature of the effect on trade between Member States is established.  </w:t>
        <w:br/>
        <w:t xml:space="preserve">804. The practices in question must therefore be examined not only in light of national law, notably Article L. 420-1 of the Commercial Code, but also in light of Union law, and notably Article 81 of the EC Treaty, now Article 101 of the TFEU.  </w:t>
        <w:br/>
        <w:t xml:space="preserve">C. ON THE DELIMITATION OF THE RELEVANT MARKET  </w:t>
        <w:br/>
        <w:t xml:space="preserve">1. PRINCIPLES  </w:t>
        <w:br/>
        <w:t xml:space="preserve">805. In order to define the market for products or services, it is necessary to determine whether the products or services in question are considered by buyers "as interchangeable or substitutable due to their characteristics, price, and use" (in this regard, see for example Cass. com., July 13, 2010, Vedettes inter-îles vendéennes, no. 09-67439, p. 5).  </w:t>
        <w:br/>
        <w:t xml:space="preserve">806. In the same vein, the European Commission recalled, in its communication no. 97/C 372/03 of December 9, 1997, on the definition of the relevant market, that the market for products "includes all products and/or services that the consumer considers interchangeable or substitutable due to their characteristics, price, and intended use" (OJEC C 372 of December 9, 1997, p. 5, point 7).  </w:t>
        <w:br/>
        <w:t xml:space="preserve">807. The geographical market, for its part, includes: "the territory on which the companies concerned are engaged in the offering of the goods and services in question, where the conditions of competition are sufficiently homogeneous and which can be distinguished from neighboring geographical areas because, in particular, the conditions of competition differ appreciably" (Commission communication on the definition of the relevant market cited above, point 8).  </w:t>
        <w:br/>
        <w:t xml:space="preserve">808. It follows from case law that the obligation to delimit the relevant market in a decision adopted under Article 101 of the TFEU is imposed on the Commission only when, without such delimitation, it is not possible to determine whether the agreement, the decision of association of companies, or the concerted practice in question is likely to affect trade between Member States and has as its object or effect the prevention, restriction, or distortion of competition within the common market (Judgment of the Court of September 12, 2007, William Prym/Commission, T-30/05, Rec. p. II-107, point 86, and the case law cited).  </w:t>
        <w:br/>
        <w:t xml:space="preserve">809. Similarly, under domestic law, when the practices in question are examined under the prohibition of horizontal agreements, as is the case here, it is not necessary to define the market precisely as long as the sector has been sufficiently identified to qualify the observed practices and allow them to be attributed to the operators who implemented them (Decision No. 05-D-27 of June 15, 2005, concerning practices identified in the tuna sector, point 28, and Decision No. 13-D-12 of May 28, 2013, concerning practices implemented in the marketing of chemical commodities, point 575).  </w:t>
        <w:br/>
        <w:t xml:space="preserve">2. APPLICATION TO THE CASE AT HAND  </w:t>
        <w:br/>
        <w:t xml:space="preserve">810. The practices identified in the findings took place in the market for the supply of hygiene products to large retail chains, on the one hand, and in the market for the supply of cleaning products to large retail chains, on the other hand. These two markets bring together, on the supply side, suppliers of hygiene and cleaning products and, on the demand side, large retail chains.  </w:t>
        <w:br/>
        <w:t xml:space="preserve">811. Firstly, the conduct of negotiations between suppliers and distributors reflects the existence of a market for the supply of hygiene products, on the one hand, and for the supply of cleaning products, on the other hand. Indeed, as stated in points 92 and 96, the individuals within the chains who conduct negotiations with suppliers are exclusively responsible for one or the other of the two sectors.  </w:t>
        <w:br/>
        <w:t xml:space="preserve">812. Secondly, the analysis of substitution from the demand side and the supply side justifies the definition of the markets.  </w:t>
        <w:br/>
        <w:t xml:space="preserve">813. From the demand perspective, products that are not substitutable from the consumer's viewpoint are, to a greater or lesser extent, substitutable from the distributor's viewpoint. As stated in points 119 and following, competition does not only occur, in each of the two sectors, between products that are directly substitutable from the consumer's viewpoint, but within broader product categories, as distributors can arbitrate between several distinct product segments to organize their shelves. Provided they have a minimum assortment capable of satisfying consumer demand for hygiene or cleaning products, a large retail chain may decide to favor the product that generates the highest margin.  </w:t>
        <w:br/>
        <w:t xml:space="preserve">814. As a result, different suppliers find themselves in direct competition in the markets for the supply of hygiene products, on the one hand, and for cleaning products, on the other hand. In the context of commercial negotiations, suppliers compete to obtain better shelf exposure, larger purchases, or better promotion of their products.  </w:t>
        <w:br/>
        <w:t xml:space="preserve">815. From the supply perspective, each of the two sectors is characterized by a number of entry barriers, identified respectively in points 105 and following and 114, whether they relate to regulatory and technological constraints, the necessity for any new entrant to have significant resources in research and development and advertising, and the difficulties related to access to shelves. There is therefore low substitutability of the supply of products in the hygiene and cleaning sectors, both among themselves and in relation to other consumer goods.  </w:t>
        <w:br/>
        <w:t xml:space="preserve">816. Thirdly, this definition of the markets corresponds to the conduct of the practices considered, in the context of which the participants exchanged, essentially, data relating to their relationships with large retail chains.  </w:t>
        <w:br/>
        <w:t>817. The exchanges were organized within specialized circles in these two sectors (the Cercle Team PCP and the Cercle Team HP), with the Cercle des Amis having split according to these same activity scopes at the end of the practice. Furthermore, the information exchanged focused almost exclusively on the supply of the chains in these two categories of products.</w:t>
      </w:r>
    </w:p>
    <w:p>
      <w:r>
        <w:rPr>
          <w:b/>
        </w:rPr>
        <w:t>[Pages 169–171]</w:t>
      </w:r>
    </w:p>
    <w:p>
      <w:r>
        <w:t xml:space="preserve">products in the French territory (although some occasional exchanges concerned international contracts).  </w:t>
        <w:br/>
        <w:t xml:space="preserve">818. Fourth and finally, the decision-making practice of competition authorities, at both the French and European levels, confirms the relevance of distinguishing the markets for the supply of fast-moving consumer goods subdivided by product group, as well as the existence of specific segments for hygiene and maintenance products.  </w:t>
        <w:br/>
        <w:t xml:space="preserve">819. The European Commission, in the context of its concentration control activities, specified that the sale of fast-moving consumer goods by producers to customers such as wholesalers, retailers, or other businesses (for example, cafés/hotels/restaurants) constituted a market for the supply of fast-moving consumer goods, segmented into 23 product groups, among which are the specific segments for perfumery/hygiene products and drugstore products (maintenance) (European Commission decision M. 2115 of September 28, 2000, Carrefour/GB, paragraph 8).  </w:t>
        <w:br/>
        <w:t xml:space="preserve">820. This definition of the market for the supply of fast-moving consumer goods by product groups has been adopted by the Authority regarding the control of concentration operations (decision No. 11-DCC-134 of September 2, 2011, concerning the exclusive acquisition of assets of the Louis Delhaize group by Groupe Bernard Hayot, paragraph 18) and anti-competitive practices (decision No. 10-D-08 of March 3, 2010, concerning practices implemented by Carrefour in the sector of proximity general food trade, paragraph 148).  </w:t>
        <w:br/>
        <w:t xml:space="preserve">821. It follows from the decision-making practice of competition authorities, both in terms of concentration control (the aforementioned European Commission decision M. 2115 of September 28, 2000, paragraph 12; the aforementioned decision No. 11-DCC-134 of September 2, 2011, paragraph 19) and anti-competitive practices (the aforementioned decision No. 10-D-08 of March 3, 2010, paragraph 148), that the market for the supply of fast-moving consumer products is of national dimension.  </w:t>
        <w:br/>
        <w:t xml:space="preserve">822. In accordance with the principles recalled in paragraphs 808 and 809, it is not necessary to further specify the definition of the market in question, as retaining the market for the supply of hygiene products to large distribution brands, on the one hand, and the supply of maintenance products to large distribution brands, on the other hand, allows for the identification, qualification, and attribution of the observed practices.  </w:t>
        <w:br/>
        <w:t xml:space="preserve">On Hillshire's Observations  </w:t>
        <w:br/>
        <w:t xml:space="preserve">823. Hillshire argues that the market definition is too broad given the lack of competition among the participants in the practices. It claims that there exists a distinct market for commercial cooperation services.  </w:t>
        <w:br/>
        <w:t xml:space="preserve">824. However, the market retained is not the downstream market for the sale of products to consumers but the upstream market for the supply of hygiene and maintenance products to brands. As explained, the implicated companies are in a competitive situation in the markets for the supply of brands.  </w:t>
        <w:br/>
        <w:t xml:space="preserve">825. Moreover, most companies were also competing with all or part of the companies participating in the practices in the downstream market for sales to consumers.  </w:t>
        <w:br/>
        <w:t xml:space="preserve">826. Thus, concerning Sara Lee Household and Bodycare France, a subsidiary of Hillshire that participated in the practices, all its competitors in the main product categories mentioned (deodorants, toiletries, insecticides, waxes) participated in the exchanges within the framework of the Cercle des Amis (references 31 153 and 31 154).  </w:t>
        <w:br/>
        <w:t xml:space="preserve">827. The only statement cited by Hillshire to establish the absence of direct competition among participants in the "Friends" meetings is that of Mr. Emmanuel 6... from Laboratoires Vendôme, who stated in 2006, speaking of the "Friends" meetings: "I went there calmly because I had no direct competitor except a little CP." However, this statement is incorrect: Laboratoires Vendôme was the "main competitor" of Sara Lee in its Sanex product lines (deodorants) (reference 31 164) and Monsavon (solid or liquid soaps) (reference 31 175).  </w:t>
        <w:br/>
        <w:t xml:space="preserve">828. For example, regarding insecticides, Sara Lee's main competitor in the downstream market, SC Johnson, was present at the meetings. Sara Lee and its competitor SC Johnson exchanged information multiple times on insecticides:  </w:t>
        <w:br/>
        <w:t xml:space="preserve">- during a contact between December 2 and 5, 2004, Sara Lee and SC Johnson exchanged precise (brand by brand) and accurate commercial cooperation rates, sometimes to the hundredth (reference 8 491 (VC) / reference 47 111 (VNC)).  </w:t>
        <w:br/>
        <w:t xml:space="preserve">- during the "Friends" meeting on April 14, 2005, which Sara Lee attended, SC Johnson announced to the participants its intention not to grant any deviation in commercial cooperation on insecticides (reference 10 307).  </w:t>
        <w:br/>
        <w:t xml:space="preserve">- during the "Friends" meeting on October 27, 2005, Sara Lee and SC Johnson, who held nearly two-thirds of the insecticide market, attempted to align their level of commercial cooperation in 2005 (reference 10 140).  </w:t>
        <w:br/>
        <w:t xml:space="preserve">829. Therefore, Hillshire is not justified in claiming that the participants in the practices were not in a competitive situation in the relevant markets for the supply of hygiene products, on the one hand, and maintenance products, on the other hand, nor, furthermore, in the downstream market for sales to consumers.  </w:t>
        <w:br/>
        <w:t xml:space="preserve">830. Finally, regarding the question of a potential market for commercial cooperation services, it should be noted that the negotiation of the back margin and its evolution from year to year had become the central issue of negotiations between suppliers and distributors, and the main means of discrimination among the various clients of manufacturers. The payments made to distributors for commercial cooperation fell within the definition of the net triple price, which represented the actual remuneration of the supplier.  </w:t>
        <w:br/>
        <w:t xml:space="preserve">831. Thus, at the time of the practices, the negotiation of back margin levels, even if it also involved commercial cooperation services, primarily represented a central element of the pricing negotiation between distributors and suppliers and an important determinant of the final remuneration of these distributors. Consequently, the analysis of exchanges on the issue of commercial deviation must also be conducted within the general framework of the supply markets as defined above, without the need to define a distinct market for commercial cooperation services.  </w:t>
        <w:br/>
        <w:t>832. In conclusion, the relevant markets for the practices incriminated in this decision are the French markets for the supply of hygiene products, on the one hand, and maintenance products, on the other hand. These markets bring together suppliers and players in large distribution within the framework of negotiations concerning all products in each of the two concerned sectors.</w:t>
      </w:r>
    </w:p>
    <w:p>
      <w:r>
        <w:t xml:space="preserve">D. ON THE MERITS OF THE ALLEGATIONS  </w:t>
        <w:br/>
        <w:t xml:space="preserve">833. The following will be addressed successively:  </w:t>
        <w:br/>
        <w:t xml:space="preserve">- the consequences of the implementation of the procedure for not contesting the allegations (1);  </w:t>
        <w:br/>
        <w:t xml:space="preserve">- the existence of two unique, complex, and continuous agreements (2);  </w:t>
        <w:br/>
        <w:t xml:space="preserve">- the participation of companies in the two unique complex and continuous agreements (3).  </w:t>
        <w:br/>
        <w:t xml:space="preserve">1. ON THE CONSEQUENCES OF THE IMPLEMENTATION OF THE PROCEDURE FOR NOT CONTESTING THE ALLEGATIONS  </w:t>
        <w:br/>
        <w:t xml:space="preserve">a) Principles  </w:t>
        <w:br/>
        <w:t xml:space="preserve">834. The organization or company that chooses to seek the benefit of the implementation of III of Article L. 464-2 of the Commercial Code must comply with the conditions imposed in this regard, by not contesting the reality of the allegations that have been notified to it.  </w:t>
        <w:br/>
        <w:t xml:space="preserve">835. The interested party thus waives contesting the materiality of all practices referred to in the notification of allegations, the qualification given to them in light of the provisions of Union law and the Commercial Code, as well as its responsibility in the implementation of these practices (judgment of the Paris Court of Appeal of March 29, 2012, Lacroix Signalisation e.a., No. 2011/01228, p. 23). This waiver must be clear, complete, and unambiguous (decision No. 06-D-09 of April 11, 2006, concerning practices implemented in the door manufacturing sector, paragraph 303, and decision No. 10-D-39 of December 22, 2010, concerning practices implemented in the vertical road signage sector, paragraph 425).  </w:t>
        <w:br/>
        <w:t xml:space="preserve">836. The waiver of contesting the allegations is sufficient for the Authority to consider that all the infringements in question are established with respect to the parties that have made this procedural choice. Only the question of participation in the anti-competitive practices of the parties that have not waived contesting the allegations must be discussed (see, in this sense, judgment of the Paris Court of Appeal of January 26, 2010, Adecco France e.a., No. 2009/03532, p. 10, and on appeal judgment of the Court of Cassation of March 29, 2011, Manpower France e.a., No. 10-12913; see also decisions No. 04-D-42 concerning practices implemented in the context of the restoration of the spire of the cathedral of Tréguier, paragraph 12, and No. 11-D-07 of February 24, 2011, concerning practices implemented in the painting works of metal infrastructures, paragraph 113).  </w:t>
        <w:br/>
        <w:t xml:space="preserve">b) Application in this case  </w:t>
        <w:br/>
        <w:t xml:space="preserve">In the maintenance sector  </w:t>
        <w:br/>
        <w:t xml:space="preserve">837. The allegation recalled in paragraph 744 concerning the unique, complex, and continuous agreement in the French market for the supply of maintenance products has not been contested by the companies referred to in paragraph 746. It is therefore established with respect to them. It is only for the sake of clarity that the Authority will recall its content below.  </w:t>
        <w:br/>
        <w:t xml:space="preserve">838. It remains necessary to demonstrate the individual participation in this unique, complex, and continuous agreement of each of the parties that did not make this procedural choice.  </w:t>
        <w:br/>
        <w:t>839. In this case, it concerns Hillshire Brands Company, the parent company of Sara Lee Household &amp; Body Care France at the time of the pursued practices, SC Johnson SAS and SC Johnson &amp; Son, Inc., Bolton Solitaire SAS, and Bolton Manitoba S.p.A.</w:t>
      </w:r>
    </w:p>
    <w:p>
      <w:r>
        <w:rPr>
          <w:b/>
        </w:rPr>
        <w:t>[Pages 172–174]</w:t>
      </w:r>
    </w:p>
    <w:p>
      <w:r>
        <w:t>que la nécessité de prouver l’existence de telles pratiques et accords ne doivent pas conduire à une exigence de preuve excessive. En effet, il est possible de prouver l’existence d’une entente par des éléments indirects, tels que des comportements de marché, des échanges d’informations ou des déclarations des entreprises concernées » (arrêt du 16 décembre 1975, Suiker Unie précité, point 174).</w:t>
      </w:r>
    </w:p>
    <w:p>
      <w:r>
        <w:t>858. En outre, la Commission européenne a précisé que « la preuve d’une entente peut être établie par des éléments circonstanciels, tels que des comportements de marché qui ne peuvent être expliqués que par l’existence d’une entente » (lignes directrices sur l’applicabilité de l’article 101 du traité sur le fonctionnement de l’Union européenne aux accords de coopération horizontale, paragraphe 62).</w:t>
      </w:r>
    </w:p>
    <w:p>
      <w:r>
        <w:t>859. Dans ce contexte, il convient de rappeler que la preuve d’une pratique concertée peut également être établie par des éléments tels que des documents internes, des courriels, des notes de réunion ou des témoignages de personnes ayant participé aux réunions.</w:t>
      </w:r>
    </w:p>
    <w:p>
      <w:r>
        <w:t>860. En conclusion, la démonstration de l’existence d’une pratique concertée nécessite une analyse approfondie des éléments de preuve disponibles, en tenant compte des comportements des entreprises sur le marché et des échanges d’informations entre elles.</w:t>
      </w:r>
    </w:p>
    <w:p>
      <w:r>
        <w:rPr>
          <w:b/>
        </w:rPr>
        <w:t>[Pages 175–177]</w:t>
      </w:r>
    </w:p>
    <w:p>
      <w:r>
        <w:t>the sanctions that offenders may incur being notorious, it is customary for the activities that these practices and agreements involve to take place clandestinely, for meetings to be held secretly, most often in a third country, and for the related documentation to be kept to a minimum. Even if the Commission discovers documents explicitly attesting to an illegitimate contact between operators, such as the minutes of a meeting, these will normally only be fragmentary and scattered, so it often proves necessary to reconstruct certain details through deductions. In most cases, the existence of a practice or an anticompetitive agreement must be inferred from a number of coincidences and indicators which, considered together, may constitute, in the absence of another coherent explanation, evidence of a violation of competition rules (Judgment of the Court of Justice of January 7, 2004, Aalborg Portland e.a./Commission, C-204/00 P, C-205/00 P, C-211/00 P, C-213/00 P, C-217/00 P and C-219/00 P, Rec. p. I-123, paragraphs 55 to 57).</w:t>
      </w:r>
    </w:p>
    <w:p>
      <w:r>
        <w:t>858. National courts have confirmed the evidentiary value of a set of serious, precise, and consistent indicators (Court of Cassation, April 7, 2010, Société puériculture de France, no. 09-11853; Court of Appeal of Paris, January 19, 1999, Gerland Routes SA e.a.).</w:t>
      </w:r>
    </w:p>
    <w:p>
      <w:r>
        <w:t>859. Regarding the statements of a leniency applicant, the Tribunal ruled: "As for the statements, a particularly high evidentiary value may be recognized for those which, first, are reliable, second, are made on behalf of a company, third, come from a person bound by a professional obligation to act in the interest of that company, fourth, go against the interests of the declarant, fifth, come from a direct witness of the circumstances they report, and, sixth, have been provided in writing, deliberately and after careful consideration (see, in this sense, Judgment JFE Engineering e.a./Commission, paragraph 62 above, paragraphs 205 to 210). Furthermore, although a certain distrust towards voluntary statements from the main participants in an illicit agreement is generally warranted, given the possibility, invoked by the applicants, that these participants may tend to minimize the importance of their contribution to the infringement and maximize that of others, it remains that the fact of requesting to benefit from the application of the communication on cooperation in order to obtain immunity or a reduction of the fine does not necessarily create an incentive to present distorted evidence regarding the participation of other members of the agreement. Indeed, any attempt to mislead the Commission could undermine the sincerity as well as the completeness of the cooperation of the applicant and, consequently, jeopardize the possibility for that applicant to fully benefit from the communication on cooperation (see, in this sense, Judgment of the Tribunal of November 16, 2006, Peróxidos Orgánicos/Commission, T-120/04, Rec. p. II-4441, paragraph 70)" (Judgment of July 12, 2011, Hitachi e.a./Commission, T-112/07, Rec. 2011 II-03871, paragraphs 69 and following).</w:t>
      </w:r>
    </w:p>
    <w:p>
      <w:r>
        <w:t>860. In its decision No. 11-D-17 of December 8, 2011, regarding practices implemented in the laundry sector, the Competition Authority considered that the statements of several leniency applicants that corroborate each other constitute evidence to demonstrate the existence of an agreement: "The evidence of the practices in question is provided, first of all, by the statements of the four laundry manufacturers who, in the context of their respective leniency applications, all acknowledged having colluded with their competitors (...). These statements corroborate each other and therefore constitute converging evidence of the existence of the alleged collusion" (paragraph 399).</w:t>
      </w:r>
    </w:p>
    <w:p>
      <w:r>
        <w:t>The anticompetitive object of the concerted practices</w:t>
      </w:r>
    </w:p>
    <w:p>
      <w:r>
        <w:t>861. The essential objective of competition law is for every economic operator to autonomously determine the policy it intends to follow in the market (Court of Justice, July 14, 1981, Züchner, 172/80, Rec. p. 2021, paragraph 13, and June 4, 2009, T-Mobile Netherlands BV, cited above, paragraph 32).</w:t>
      </w:r>
    </w:p>
    <w:p>
      <w:r>
        <w:t>862. Article 81 EC (now Article 101 TFEU) prohibits as incompatible with the common market all concerted practices that may affect trade between Member States and that have as their object or effect the prevention, restriction, or distortion of competition within the common market, and in particular those that consist of directly or indirectly fixing purchase or selling prices or other trading conditions (see in this sense Judgment of the Tribunal of March 14, 2013, Fresh del Monte Produce, T-587/08, paragraphs 344 and 345).</w:t>
      </w:r>
    </w:p>
    <w:p>
      <w:r>
        <w:t>863. Similarly, under Article L. 420-1 of the Commercial Code: "Concerted actions, agreements, express or tacit understandings, or coalitions are prohibited, even through a direct or indirect intermediary of a group company established outside France, when they have as their object or may have as their effect the prevention, restriction, or distortion of competition in a market, particularly when they aim to: 1° limit access to the market or the free exercise of competition by other companies; 2° obstruct the setting of prices by the free play of the market by artificially promoting their increase or decrease [...]".</w:t>
      </w:r>
    </w:p>
    <w:p>
      <w:r>
        <w:t>864. It follows from the very terms of the two articles mentioned above as well as from national and Union jurisprudence that the anticompetitive object and effect of such practices are alternative conditions for assessing whether they can be sanctioned under these provisions (Judgments of the Court of Justice of June 4, 2009, T-Mobile Netherlands BV, cited above, paragraphs 28 and 30 and of the Court of Appeal of Paris of June 15, 2010, Veolia Transports, p. 13).</w:t>
      </w:r>
    </w:p>
    <w:p>
      <w:r>
        <w:t>865. Generally, the distinction between "infringement by object" and "infringement by effect" lies in the fact that certain forms of collusion between companies can be considered, by their very nature, as harmful to the proper functioning of normal competition (Court of Justice, November 20, 2008, Beef Industry Development Society and Barry Brothers, C-209/07, Rec. p. I-8637, paragraph 17).</w:t>
      </w:r>
    </w:p>
    <w:p>
      <w:r>
        <w:t>866. A concerted practice has an anticompetitive object within the meaning of Article 101(1) TFEU when, due to its content as well as its purpose and taking into account the legal and economic context in which it is situated, it is concretely capable of preventing, restricting, or distorting competition within the common market. It is not necessary for competition to be actually prevented, restricted, or distorted nor for there to be a direct link between this concerted practice and consumer prices (Court of Justice, June 4, 2009, T-Mobile Netherlands BV, cited above, paragraph 43).</w:t>
      </w:r>
    </w:p>
    <w:p>
      <w:r>
        <w:t>867. In this regard, it matters little whether the parties acted without a subjective intention to restrict competition and colluded for reasons among which some were legitimate (Court of Justice, November 20, 2008, Beef Industry Development Society and Barry Brothers, cited above, paragraph 21). If the anticompetitive object is established, the elements relating to efficiency gains can only be invoked by the defendants for the purpose of obtaining an exemption under paragraph 3 of Article 101 TFEU.</w:t>
      </w:r>
    </w:p>
    <w:p>
      <w:r>
        <w:t>868. Concerted practices, taking the form of exchanges on the determining elements regarding the price that the final consumer will pay, are considered a restriction of competition by object, even in the absence of a direct link with consumer prices (Judgments of the Court of Justice of June 4, 2009, T-Mobile Netherlands BV, cited above, paragraphs 36 to 43).</w:t>
      </w:r>
    </w:p>
    <w:p>
      <w:r>
        <w:t>The nature of the practices in question</w:t>
      </w:r>
    </w:p>
    <w:p>
      <w:r>
        <w:t>Typology of concerted practices</w:t>
      </w:r>
    </w:p>
    <w:p>
      <w:r>
        <w:t>869. The elements presented in the "Findings" section demonstrate the existence of concerted practices, in the maintenance sector on the one hand and in the hygiene sector on the other.</w:t>
      </w:r>
    </w:p>
    <w:p>
      <w:r>
        <w:t>♦ In the maintenance sector</w:t>
      </w:r>
    </w:p>
    <w:p>
      <w:r>
        <w:t>870. A first concerted practice was realized, within the framework of the Cercle Team HP (described in paragraph 352), between the sales directors of Colgate-Palmolive, Henkel, Reckitt Benckiser, Unilever, and Procter &amp; Gamble. It materialized through exchanges that took place during secret Team HP meetings (paragraphs 234 and following) that occurred every two to three months and during correspondence exchanged between the participants (paragraphs 303 and following).</w:t>
      </w:r>
    </w:p>
    <w:p>
      <w:r>
        <w:t>871. A second concerted practice was realized, within the framework of the Cercle des Amis (described in paragraph 352) between the sales directors and, in some cases, the commercial directors of the following companies in the maintenance sector: Bolton Solitaire, Colgate-Palmolive, Henkel, SC Johnson, Reckitt Benckiser, Sara Lee, and Unilever. It materialized through exchanges that took place during secret "Friends" meetings (paragraphs 267 and following) that occurred on average every one to two months and were occasionally accompanied by correspondence exchanged between the participants (paragraphs 312 and following).</w:t>
      </w:r>
    </w:p>
    <w:p>
      <w:r>
        <w:t>872. These two practices were complemented by a set of bilateral or multilateral collusive exchanges, in which all the aforementioned companies participated more or less actively. These collusive exchanges took on a less regular and less formalized nature, during phone contacts or meetings (these practices are summarized in paragraphs 341 and following).</w:t>
      </w:r>
    </w:p>
    <w:p>
      <w:r>
        <w:t>♦ In the hygiene sector</w:t>
      </w:r>
    </w:p>
    <w:p>
      <w:r>
        <w:t>873. A first concerted practice was realized, within the framework of the Cercle Team PCP (described in paragraph 352) between the sales directors of Colgate-Palmolive, Henkel, Unilever, Procter &amp; Gamble, Beiersdorf, Gillette, Vania, Laboratoires Vendôme, Reckitt Benckiser, and L'Oréal. It materialized through exchanges that took place during secret Team PCP meetings (paragraphs 261 and following) that occurred on average every one to two months and during correspondence exchanged between the participants (paragraphs 293 and following).</w:t>
      </w:r>
    </w:p>
    <w:p>
      <w:r>
        <w:t>874. A second concerted practice was realized, within the framework of the Cercle des Amis (described in paragraph 352) between the sales directors and, in some cases, the commercial directors of the following companies in the hygiene sector: Colgate-Palmolive, Henkel, Reckitt Benckiser, Sara Lee, Laboratoires Vendôme, Unilever, Gillette, Beiersdorf, and Lascad. It materialized through exchanges that took place during secret "Friends" meetings (paragraphs 267 and following) that occurred on average every one to two months and were occasionally accompanied by correspondence exchanged between the participants (paragraphs 312 and following). In fact, these practices occurred simultaneously with those identified in paragraph 871 in the maintenance sector.</w:t>
      </w:r>
    </w:p>
    <w:p>
      <w:r>
        <w:t>875. These two practices were complemented by a set of bilateral or multilateral collusive exchanges, in which most of these companies participated. These exchanges took on a less regular and less formalized nature, during phone contacts or meetings (paragraphs 341 and following).</w:t>
      </w:r>
    </w:p>
    <w:p>
      <w:r>
        <w:rPr>
          <w:b/>
        </w:rPr>
        <w:t>[Pages 178–180]</w:t>
      </w:r>
    </w:p>
    <w:p>
      <w:r>
        <w:t xml:space="preserve">876. The table below recalls the coordinated practices implemented in the two sectors.  </w:t>
        <w:br/>
        <w:t xml:space="preserve">Hygiene Sector   Maintenance Sector  </w:t>
        <w:br/>
        <w:t xml:space="preserve">seuqitarP  </w:t>
        <w:br/>
        <w:t xml:space="preserve">seétrecnoc  </w:t>
        <w:br/>
        <w:t xml:space="preserve">Cercle Team PCP (meetings and correspondence)   Cercle Team HP (meetings and correspondence)  </w:t>
        <w:br/>
        <w:t xml:space="preserve">Cercle des Amis - hygiene aspect (meetings and correspondence)   Cercle des Amis - maintenance aspect (meetings and correspondence)  </w:t>
        <w:br/>
        <w:t xml:space="preserve">Bilateral or multilateral contacts   Bilateral or multilateral contacts  </w:t>
        <w:br/>
        <w:t>Content of the coordinated practices</w:t>
      </w:r>
    </w:p>
    <w:p>
      <w:r>
        <w:t xml:space="preserve">877. Given their similarity, the analysis of the content of the coordinated practices will concern both the consultation on maintenance products and that on hygiene products. The content of the practices will be recalled for the successive periods of the Dutreil circular, the Sarkozy commitment, and the Dutreil law, then for the entire period during which the practices were implemented.  </w:t>
        <w:br/>
        <w:t xml:space="preserve">♦ Dutreil Circular  </w:t>
        <w:br/>
        <w:t xml:space="preserve">878. Upon the adoption of the Dutreil circular, the companies involved coordinated their pricing policy. To do this, they exchanged information on the main parameters for determining the future net triple price, namely the rates (points 361 et seq. for the maintenance sector and 374 et seq. for the hygiene sector) and the deviations (points 388 et seq. for the maintenance sector and 401 et seq. for the hygiene sector).  </w:t>
        <w:br/>
        <w:t xml:space="preserve">879. This consultation took place in each of the circles of sales directors (Cercle Team HP and Cercle Team PCP) and was supplemented by collusive exchanges of a bilateral or multilateral nature between certain concerned companies, which notably allowed for the dissemination of the "recommendations" issued within the framework of the circles of sales directors to other companies.  </w:t>
        <w:br/>
        <w:t xml:space="preserve">880. In certain aspects, the consultation among participants was more advanced. This is particularly the case when participants issued consensual "recommendations," aiming not to reintegrate margin before in margin after ("No coop in CGV"), to limit their commercial cooperation deviation ("All no slippage"), to implement price increases equal to inflation ("prices = inflation"), or not to practice price differentiation ("No price differentiation") (points 365 et seq., points 389 et seq.).  </w:t>
        <w:br/>
        <w:t xml:space="preserve">881. The convergence of behaviors is illustrated by the fact that the vast majority of participants did not reintegrate margin after in margin before, as indicated in their exchanges (points 369 for maintenance and 375 for hygiene) or warned their competitors of their intention to proceed with this reintegration if necessary (points 370 for maintenance and 380 for hygiene). It should also be noted that the announced price increases were mostly respected, whether regarding their level (for the hygiene sector, point 378) or their date (in the maintenance sector, point 371).  </w:t>
        <w:br/>
        <w:t xml:space="preserve">♦ Commitment to a sustainable reduction in consumer prices  </w:t>
        <w:br/>
        <w:t xml:space="preserve">882. Upon signing the commitment for a sustainable reduction in consumer prices on June 17, 2004, the companies involved continued their consultation on their pricing policy. They continued their exchanges of information on the main parameters for determining the future net triple price, namely the rates (points 361 et seq. for the maintenance sector and 374 et seq. for the hygiene sector) and the deviations (points 388 et seq. for the maintenance sector and 401 et seq. for the hygiene sector).  </w:t>
        <w:br/>
        <w:t xml:space="preserve">883. The consultation on these elements for determining future prices took place both in the circles of sales directors (Cercle Team HP and Cercle Team PCP) and sales directors (Cercle des Amis hygiene and maintenance aspects). It was supplemented, in both sectors, by collusive exchanges of a bilateral or multilateral nature between certain concerned companies, which allowed for the completion and verification of the information obtained in the Team and Amis Circles.  </w:t>
        <w:br/>
        <w:t xml:space="preserve">884. This coordination was notably manifested by the adoption of a "common position" among the five major leaders in the maintenance sector on the "1+1" solution (points 412 et seq. for the maintenance and hygiene sectors) and then, by a coordinated exit from the commitment (points 427 et seq. for the maintenance and hygiene sectors) with, in the meantime, exchanges on the status of distributor reimbursements (points 445 et seq. for the maintenance and hygiene sectors).  </w:t>
        <w:br/>
        <w:t xml:space="preserve">885. The consultation concerned the level of tariff changes envisaged by each participant, in the hygiene sector and in the maintenance sector: the exchanges thus focused on the level of envisaged price reductions (points 464 et seq. for the maintenance sector and 498 et seq. for the hygiene sector) and then on the level of increases (points 471 et seq. for maintenance and 502 et seq. for the hygiene sector). The level of deviations envisaged by each in 2005 was discussed during these secret meetings (points 531 et seq. for the maintenance sector, 537 et seq. for the hygiene sector).  </w:t>
        <w:br/>
        <w:t xml:space="preserve">886. The elements in the file again indicate acts of more advanced consultation and homogeneous positions on prices and deviations. This includes the following elements:  </w:t>
        <w:br/>
        <w:t xml:space="preserve">- "common position" of the five major leaders in the maintenance sector for the "1+1" solution (points 416 et seq.);  </w:t>
        <w:br/>
        <w:t xml:space="preserve">- "agreement" to coordinate the end of the 1% price reduction on promotional products by the end of March (points 433 et seq.);  </w:t>
        <w:br/>
        <w:t xml:space="preserve">- absence of sending the general terms and conditions of sale before negotiating the 2005 amendment related to the Sarkozy agreement (points 473 for the maintenance sector and 503 for the hygiene sector);  </w:t>
        <w:br/>
        <w:t xml:space="preserve">- great homogeneity of the commercial conditions proposed by the parties (points 480 et seq. for the maintenance sector, 507 et seq. for the hygiene sector).  </w:t>
        <w:br/>
        <w:t xml:space="preserve">♦ Dutreil Law  </w:t>
        <w:br/>
        <w:t xml:space="preserve">887. Finally, the participants continued their consultation on their pricing policy in the context of the entry into force of the Dutreil law. They continued their exchanges of information on the main parameters for determining the future net triple price, namely the rates (points 572 et seq. for the maintenance sector and 548 et seq. for the hygiene sector) and the deviations (points 588 et seq., 594 et seq. for the maintenance sector and 590 et seq., 604 et seq. for the hygiene sector).  </w:t>
        <w:br/>
        <w:t xml:space="preserve">888. The consultation took place in all circles of sales directors (Cercle Team HP and Cercle Team PCP) and sales directors (Cercle des Amis). It was also supplemented by collusive bilateral or multilateral contacts that strengthened and refined the consultation in both sectors.  </w:t>
        <w:br/>
        <w:t xml:space="preserve">889. Primarily, the participants coordinated on very significant price increases addressed to distributors (see points 549 et seq. in the hygiene sector and 572 et seq. in the maintenance sector).  </w:t>
        <w:br/>
        <w:t xml:space="preserve">890. Once these significant increases were addressed to distributors, the participants supplemented this coordination by exchanging, at a sustained pace, information on each stage of the negotiation of the commercial agreement, namely:  </w:t>
        <w:br/>
        <w:t xml:space="preserve">- requests for deviations (points 588 et seq. in the maintenance sector and 590 et seq. in the hygiene sector);  </w:t>
        <w:br/>
        <w:t xml:space="preserve">- offers of deviations (points 594 et seq. in the maintenance sector, 604 et seq. in the hygiene sector).  </w:t>
        <w:br/>
        <w:t xml:space="preserve">891. A final series of acts of more advanced consultation took place within the framework of the Dutreil law:  </w:t>
        <w:br/>
        <w:t xml:space="preserve">- most participants in both the hygiene and maintenance sectors implemented price increases close to those of Unilever (between 4 and 6%) (points 549 et seq. in the hygiene sector, 572 et seq. in the maintenance sector);  </w:t>
        <w:br/>
        <w:t xml:space="preserve">- an "agreement," in the maintenance sector, among participants at the "Friends" meeting on February 3, 2006, not to accept a deviation greater than 0.5% at Intermarché and acts of consultation on maximum deviation rates for other brands (point 601).  </w:t>
        <w:br/>
        <w:t xml:space="preserve">♦ Throughout the period  </w:t>
        <w:br/>
        <w:t xml:space="preserve">892. It follows from the above that, throughout the duration of the practices and in both sectors, the companies involved coordinated within each of the exchange circles and complementary contacts on the commercial policy to adopt in the context of legal framework reforms, exchanging information on their future behavior, particularly regarding the evolution of prices and deviations.  </w:t>
        <w:br/>
        <w:t xml:space="preserve">893. This consultation was supplemented, throughout the duration of the practices, by exchanges on:  </w:t>
        <w:br/>
        <w:t xml:space="preserve">- the general terms and conditions of sale and pricing grids (points 637 et seq.);  </w:t>
        <w:br/>
        <w:t xml:space="preserve">- promotional operations and NIPs (points 622 et seq. in the maintenance sector and 624 et seq. in the hygiene sector);  </w:t>
        <w:br/>
        <w:t xml:space="preserve">- the status of negotiations with distributors (points 631 et seq. in the maintenance sector and 634 et seq. in the hygiene sector);  </w:t>
        <w:br/>
        <w:t xml:space="preserve">- turnover figures (points 649 et seq.), as well as the general terms and conditions of sale and prices following their sending to distributors (point 646).  </w:t>
        <w:br/>
        <w:t xml:space="preserve">894. The consultation on past prices, general terms and conditions of sale and pricing grids, and turnover figures particularly allowed companies to monitor the behavior of other participants in the exchange by controlling the prices actually applied or the overall commercial performances of the concerned companies (points 694, 698, and 740):  </w:t>
        <w:br/>
        <w:t xml:space="preserve">- the exchanges of general terms and conditions of sale and pricing grids allowed for obtaining this information from competitors in a certain and rapid manner, and to quickly detect any deviations from the collusive equilibrium;  </w:t>
        <w:br/>
        <w:t>- the exchanges relating to very recent, albeit past, prices allowed companies to verify the accuracy of the exchanged information once the prices were sent to the retail sector;</w:t>
      </w:r>
    </w:p>
    <w:p>
      <w:r>
        <w:rPr>
          <w:b/>
        </w:rPr>
        <w:t>[Pages 181–183]</w:t>
      </w:r>
    </w:p>
    <w:p>
      <w:r>
        <w:t xml:space="preserve">- the exchanges relating to turnover allowed the participants in the practices to monitor the evolution of the commercial performance of other operators. To the extent that the communicated turnover figures included "promotional effects," they notably contributed to detecting the implementation, by the companies concerned, of promotional policies likely to alter the collusive balance resulting from the exchanges.  </w:t>
        <w:br/>
        <w:t xml:space="preserve">Evidence of concerted practices  </w:t>
        <w:br/>
        <w:t xml:space="preserve">895. The existence of these concerted practices is demonstrated by a wide array of serious, precise, and consistent indicators, attesting to the organization of these practices, the participants in these contacts, and the statements made therein, which establish the information shared and disseminated within the framework of the consultation.  </w:t>
        <w:br/>
        <w:t xml:space="preserve">896. The different categories of evidence or indicators making up this body of evidence are as follows:  </w:t>
        <w:br/>
        <w:t xml:space="preserve">In the maintenance sector  </w:t>
        <w:br/>
        <w:t xml:space="preserve">♦ Statements  </w:t>
        <w:br/>
        <w:t xml:space="preserve">897. The evidence in the file consists, primarily, of the leniency applications from SC Johnson, Colgate-Palmolive, and Henkel, supplemented by their subsequent corporate statements and the hearing minutes of their employees or former employees, notably for Colgate-Palmolive, Messrs. Denys E… and Jean-François Q... and Ms. Nathalie Y..., for Henkel, Mr. Gérard H..., and for SC Johnson, Mr. Michel 3....  </w:t>
        <w:br/>
        <w:t xml:space="preserve">898. The explanations added by Colgate-Palmolive under each mention of the reports communicated in the context of its leniency application have also been used to clarify the meaning of certain notes.  </w:t>
        <w:br/>
        <w:t xml:space="preserve">899. The file is finally supported by the hearing minutes of employees or former employees of the other implicated companies who, for the most part, do not contest the existence of information exchanges.  </w:t>
        <w:br/>
        <w:t xml:space="preserve">♦ Contemporary documentary evidence of the facts  </w:t>
        <w:br/>
        <w:t xml:space="preserve">900. The declarative elements are corroborated by the following documentary evidence:  </w:t>
        <w:br/>
        <w:t xml:space="preserve">- Minutes of Team HP meetings, communicated by the leniency applicants, or seized during the inspection and seizure operations (ISO);  </w:t>
        <w:br/>
        <w:t xml:space="preserve">- Minutes of "Friends" meetings, communicated by the leniency applicants, or seized during the ISO;  </w:t>
        <w:br/>
        <w:t xml:space="preserve">- Handwritten notes taken during exchanges with competitors, during telephone contacts or bilateral or multilateral meetings;  </w:t>
        <w:br/>
        <w:t xml:space="preserve">- Expense notes for meals or room reservations in restaurants that establish the existence of meetings;  </w:t>
        <w:br/>
        <w:t xml:space="preserve">- Letters, emails, or faxes exchanged between participants;  </w:t>
        <w:br/>
        <w:t xml:space="preserve">- Internal meeting minutes containing information gathered in meetings;  </w:t>
        <w:br/>
        <w:t>- Mentions or notes appearing on agendas.</w:t>
      </w:r>
    </w:p>
    <w:p>
      <w:r>
        <w:t xml:space="preserve">901. These material elements are mostly listed in points 234 and following for Team HP meetings, 277 and following for "Friends" meetings, and 304 and following for correspondence. All of these elements establish the materiality of the exchanges and the reality of the practices denounced by the leniency applicants.  </w:t>
        <w:br/>
        <w:t xml:space="preserve">In the hygiene sector  </w:t>
        <w:br/>
        <w:t xml:space="preserve">♦ Statements  </w:t>
        <w:br/>
        <w:t xml:space="preserve">902. The evidence in the file consists, primarily, of the leniency applications from Colgate-Palmolive and Henkel, supplemented by their subsequent corporate statements and the hearing minutes of their employees or former employees, notably for Colgate-Palmolive, Messrs. Denys E…, Jean-François Q..., and Ms. Nathalie Y..., and for Henkel, Mr. Frédéric T....  </w:t>
        <w:br/>
        <w:t xml:space="preserve">903. The explanations added by Colgate-Palmolive under each mention of the reports communicated in the context of its leniency application have also been used to clarify the meaning of certain notes.  </w:t>
        <w:br/>
        <w:t xml:space="preserve">904. The file is finally supported by the hearing minutes of employees or former employees of the other implicated companies who, for the most part, do not contest the existence of information exchanges.  </w:t>
        <w:br/>
        <w:t xml:space="preserve">♦ Contemporary documentary evidence of the facts  </w:t>
        <w:br/>
        <w:t xml:space="preserve">905. The statements of the leniency applicants and the implicated parties are corroborated by the following documentary evidence:  </w:t>
        <w:br/>
        <w:t xml:space="preserve">- Minutes of Team PCP meetings, communicated by the leniency applicants, or seized during the ISO;  </w:t>
        <w:br/>
        <w:t xml:space="preserve">- Minutes of "Friends" meetings, communicated by the leniency applicants, or seized during the ISO;  </w:t>
        <w:br/>
        <w:t xml:space="preserve">- Handwritten notes taken during exchanges with competitors, during telephone contacts or bilateral or multilateral meetings;  </w:t>
        <w:br/>
        <w:t xml:space="preserve">- Expense notes for meals or room reservations in restaurants that establish the existence of meetings;  </w:t>
        <w:br/>
        <w:t xml:space="preserve">- Letters, emails, or faxes exchanged between participants;  </w:t>
        <w:br/>
        <w:t xml:space="preserve">- Internal debriefing notes of information gathered in meetings;  </w:t>
        <w:br/>
        <w:t>- Mentions or notes appearing on agendas.</w:t>
      </w:r>
    </w:p>
    <w:p>
      <w:r>
        <w:t xml:space="preserve">906. These material elements are mostly listed in points 261 and following for Team PCP meetings, 277 and following for "Friends" meetings, and 295 and following and 314 and following for correspondence. All of these elements establish the materiality of the exchanges and the reality of the practices denounced by the leniency applicants.  </w:t>
        <w:br/>
        <w:t xml:space="preserve">The anti-competitive object of the practices  </w:t>
        <w:br/>
        <w:t xml:space="preserve">The content and purpose of the practices  </w:t>
        <w:br/>
        <w:t xml:space="preserve">907. The anti-competitive object of the practices identified in points 870 and following presents identical characteristics for the offenses pursued in each of the sectors considered (hygiene or maintenance). Thus, it will be analyzed in a common manner in the following developments.  </w:t>
        <w:br/>
        <w:t xml:space="preserve">908. The concerted practices all aimed to eliminate the uncertainty inherent in any commercial negotiation, primarily regarding the determinants of price, in order to improve the negotiating position of suppliers and maintain a margin level close to that achieved before the initiatives taken by public authorities.  </w:t>
        <w:br/>
        <w:t xml:space="preserve">909. Furthermore, the file allows us to observe that:  </w:t>
        <w:br/>
        <w:t xml:space="preserve">- the examined practices consisted of a concertation on prices through frequent exchanges of precise, individualized, and strategic data covering the main parameters for setting the future net price, of major national brands, at the highest levels of commercial management. These exchanges took place before the net price was set through the negotiation process and materialized, during each evolution of the legal framework, through announcements regarding future price developments and potential deviations.  </w:t>
        <w:br/>
        <w:t xml:space="preserve">- moreover, these practices were accompanied by exchanges on extremely recent data (prices, requests and offers of already formulated deviations, promotional operations, NIP, progress of negotiations) and on turnover or CGV that allowed, in addition to facilitating negotiations, to monitor potential deviations from the participants in the practices.  </w:t>
        <w:br/>
        <w:t xml:space="preserve">910. These exchanges were, for the vast majority, prior to the definitive setting of prices, commercial cooperation rates, and net prices resulting from the signing of the commercial cooperation contract at the end of the negotiation and therefore concerned the determinants of the future net price in the markets for the supply of hygiene and maintenance products.  </w:t>
        <w:br/>
        <w:t xml:space="preserve">911. The observed exchanges, by significantly reducing the uncertainty resulting from the normal play of competition at each stage of the same negotiation cycle, thus contributed, either directly or indirectly, to the setting of prices, commercial cooperation rates, and ultimately, net prices higher than the level that would have resulted from a non-distorted competition situation.  </w:t>
        <w:br/>
        <w:t xml:space="preserve">912. Moreover, the prices and commercial cooperation in the market for the supply of hygiene and maintenance products are determining elements regarding the price set by the distributor in the downstream market, that is to say, the retail prices.  </w:t>
        <w:br/>
        <w:t xml:space="preserve">The economic context  </w:t>
        <w:br/>
        <w:t xml:space="preserve">913. The concerted practices could only be harmful to competition, due to the economic context in which they unfolded. The characteristics of the sectors concerned were indeed likely to reinforce the anti-competitive impact of the concerted practices.  </w:t>
        <w:br/>
        <w:t xml:space="preserve">914. These are, as mentioned in points 98 to 136, sectors characterized by:  </w:t>
        <w:br/>
        <w:t xml:space="preserve">- the dominance of a limited number of global leaders with renowned brands;  </w:t>
        <w:br/>
        <w:t xml:space="preserve">- relatively stable market shares during the period in question;  </w:t>
        <w:br/>
        <w:t xml:space="preserve">- high barriers to entry;  </w:t>
        <w:br/>
        <w:t xml:space="preserve">- relatively stable demand and regular orders from large retailers;  </w:t>
        <w:br/>
        <w:t>- low price elasticity in the downstream market.</w:t>
      </w:r>
    </w:p>
    <w:p>
      <w:r>
        <w:rPr>
          <w:b/>
        </w:rPr>
        <w:t>[Pages 184–186]</w:t>
      </w:r>
    </w:p>
    <w:p>
      <w:r>
        <w:t>en droit de lui imputer la responsabilité de l’ensemble de l’infraction, même si elle n’a pas directement participé à tous les comportements anticoncurrentiels.</w:t>
      </w:r>
    </w:p>
    <w:p>
      <w:r>
        <w:t>936. Il en résulte que la responsabilité d’une entreprise peut être engagée non seulement pour sa propre participation aux comportements anticoncurrentiels, mais également pour sa connaissance ou son acceptation des comportements d’autres entreprises participant à l’entente, dans la mesure où ces comportements poursuivent le même objectif anticoncurrentiel.</w:t>
      </w:r>
    </w:p>
    <w:p>
      <w:r>
        <w:t>937. En conséquence, la participation d’une entreprise à une entente unique, complexe et continue peut être établie sur la base de sa participation directe à certains comportements anticoncurrentiels, ainsi que de sa connaissance ou de son acceptation des comportements d’autres entreprises, même si elle n’a pas directement participé à tous les aspects de l’infraction.</w:t>
      </w:r>
    </w:p>
    <w:p>
      <w:r>
        <w:t>938. Cette approche permet de garantir que toutes les entreprises qui contribuent à la réalisation d’un objectif anticoncurrentiel commun soient tenues responsables de leurs actions, qu’elles aient participé directement ou non à tous les comportements anticoncurrentiels.</w:t>
      </w:r>
    </w:p>
    <w:p>
      <w:r>
        <w:t>939. En résumé, la responsabilité d’une entreprise dans le cadre d’une entente unique, complexe et continue repose sur sa participation directe aux comportements anticoncurrentiels, ainsi que sur sa connaissance ou son acceptation des comportements d’autres entreprises poursuivant le même objectif anticoncurrentiel.</w:t>
      </w:r>
    </w:p>
    <w:p>
      <w:r>
        <w:rPr>
          <w:b/>
        </w:rPr>
        <w:t>[Pages 187–189]</w:t>
      </w:r>
    </w:p>
    <w:p>
      <w:r>
        <w:t xml:space="preserve">en law to attribute to this company the responsibility for all anticompetitive behaviors constituting such an infringement and, consequently, for the infringement as a whole.  </w:t>
        <w:br/>
        <w:t xml:space="preserve">936. Conversely, if a company has directly participated in one or more anticompetitive behaviors constituting a single and continuous infringement, but it is not established that, by its own behavior, it intended to contribute to the overall common objectives pursued by the other participants in the agreement and that it was aware of all the other infringing behaviors considered or implemented by said participants in pursuit of the same objectives or that it could reasonably foresee them and was willing to accept the risk, the competition authority is only entitled to attribute to it the responsibility for the specific behaviors to which it directly participated and for the behaviors considered or implemented by the other participants in pursuit of the same objectives as those it pursued and of which it is proven that it had knowledge or could reasonably foresee and was willing to accept the risk.  </w:t>
        <w:br/>
        <w:t xml:space="preserve">937. However, this cannot lead to exempting this company from its responsibility for the behaviors of which it is established that it participated or for which it can effectively be held responsible. Indeed, the fact that a company did not participate in all the constitutive elements of an agreement or that it played a minor role in the aspects to which it participated is not relevant to establish the existence of an infringement on its part, given that these elements should only be taken into account when assessing the severity of the infringement and, where appropriate, determining the fine (judgments of the Court of Justice of December 6, 2012, Verhuizingen Coppens, C-441/11 P, paragraphs 41 to 44, of July 8, 1999, Commission/Anic Partecipazioni, cited above, paragraph 90, and of January 7, 2004, Aalborg Portland, paragraph 86).  </w:t>
        <w:br/>
        <w:t xml:space="preserve">On the existence of a single and complex agreement in each of the two sectors  </w:t>
        <w:br/>
        <w:t xml:space="preserve">938. As established in paragraphs 870 and following, several concerted practices based on multiple circles of exchanges, complemented by bilateral or multilateral contacts, have materialized in the French market for the supply of hygiene products, on the one hand, and in the French market for the supply of maintenance products, on the other hand.  </w:t>
        <w:br/>
        <w:t xml:space="preserve">939. As will be demonstrated below, these various concerted practices constitute, although they take different forms, two unique agreements that took place, respectively, in the hygiene products sector on the one hand, and in the maintenance products sector on the other hand.  </w:t>
        <w:br/>
        <w:t xml:space="preserve">940. In the hygiene products sector, the practices organized within the framework of the Cercle Team PCP and the Cercle des Amis, complemented by bilateral or multilateral exchanges, aimed at a common "overall plan" due to their identical purpose (explained below). Furthermore, these different practices, characterized by a very strong identity, enabled the realization of this global "overall plan."  </w:t>
        <w:br/>
        <w:t xml:space="preserve">941. In the maintenance products sector, the practices organized within the framework of the Cercle Team HP and the Cercle des Amis, complemented by bilateral or multilateral exchanges, aimed at a common "overall plan" due to their identical purpose (explained below). Furthermore, these different practices, characterized by a very strong identity, enabled the realization of this global "overall plan."  </w:t>
        <w:br/>
        <w:t>942. As a preliminary point, the following table identifies the different concerted practices that make up the two unique agreements, the existence of which will be demonstrated below.</w:t>
      </w:r>
    </w:p>
    <w:p>
      <w:r>
        <w:t xml:space="preserve">Unique and complex agreement (hygiene) | Unique and complex agreement (maintenance)  </w:t>
        <w:br/>
        <w:t xml:space="preserve">--- | ---  </w:t>
        <w:br/>
        <w:t xml:space="preserve">Cercle Team PCP (meetings and correspondence) | Cercle Team HP (meetings and correspondence)  </w:t>
        <w:br/>
        <w:t xml:space="preserve">Cercle des Amis - hygiene aspect (meetings and correspondence) | Cercle des Amis - maintenance aspect (meetings and correspondence)  </w:t>
        <w:br/>
        <w:t>Bilateral or multilateral contacts | Bilateral or multilateral contacts</w:t>
      </w:r>
    </w:p>
    <w:p>
      <w:r>
        <w:t xml:space="preserve">On the "overall plan" aiming at a single objective  </w:t>
        <w:br/>
        <w:t xml:space="preserve">943. The emergence of an "overall plan" for each of the two unique agreements is correlated with the evolution of the legal framework. The various reforms created a source of uncertainty in the conduct of negotiations between suppliers and large retail chains (paragraphs 212 and following). They heightened the stakes related to the negotiations of commercial relationships between suppliers and distributors, for each of the two sectors, and generated a risk on the profitability of suppliers.  </w:t>
        <w:br/>
        <w:t xml:space="preserve">944. It emerges from the case files, notably from the content of the leniency applications of Colgate-Palmolive and Henkel, which apprehended all practices as a single whole in which they played a central role, and from the statements of the participants regarding the purpose of the practices (paragraphs 667 and following) that, for each of the two unique agreements, the different concerted practices contributed to the realization of an "overall plan," common to all companies that participated, aiming at a single objective, namely to increase the transparency of commercial negotiations primarily on the determinants of price, through exchanges of information or more advanced acts of cooperation, in order to improve their individual negotiating position, notably by presenting pricing conditions that are not isolated from those of their competitors, in order to maintain a margin level close to that achieved at the time of the Galland law.  </w:t>
        <w:br/>
        <w:t xml:space="preserve">945. Each of the concerted practices constitutive of the unique agreement in each sector contributed to the realization of its respective overall plan.  </w:t>
        <w:br/>
        <w:t xml:space="preserve">On the objective identity of the practices  </w:t>
        <w:br/>
        <w:t xml:space="preserve">♦ The identity of the products concerned  </w:t>
        <w:br/>
        <w:t xml:space="preserve">946. In each of the two sectors involved, the concerted practices consisted of a consultation on commercial strategies through the exchange of strategic information concerning all products marketed to the retail chains.  </w:t>
        <w:br/>
        <w:t xml:space="preserve">947. The information exchanged indeed concerned, in the vast majority of cases, global data relating to all hygiene products on the one hand, and all maintenance products on the other hand.  </w:t>
        <w:br/>
        <w:t xml:space="preserve">948. This characteristic of each of the two unique and complex agreements primarily stems from the conduct of negotiations with distributors: as explained in paragraph 152, negotiations with buyers from large retail chains, focused on drift, take place by sector and not product by product.  </w:t>
        <w:br/>
        <w:t>949. It follows that all practices that took place in the maintenance sector on the one hand, and in the hygiene sector on the other hand, concerned the same categories of products.</w:t>
      </w:r>
    </w:p>
    <w:p>
      <w:r>
        <w:t xml:space="preserve">♦ The identity of the nature of the practices  </w:t>
        <w:br/>
        <w:t xml:space="preserve">950. The concerted practices, which took place in each of the concerned markets, consisted of exchanges of information on the same data, relating to the main aspects of the commercial policy of the companies involved, regardless of the framework in which these exchanges took place.  </w:t>
        <w:br/>
        <w:t xml:space="preserve">951. As outlined in the findings, the exchanges indeed concerned the different components of the net triple price of the products marketed by the participating companies (tariffs, drifts, price reductions contained in the general terms and conditions). The exchanges also concerned the conduct and progress of negotiations between the participants in the practices and the buyers from large retail chains.  </w:t>
        <w:br/>
        <w:t xml:space="preserve">952. In this regard, the situation of all clients of the suppliers participating in the practices, namely the retail chains, was addressed in these different concerted practices. The identity of the themes of exchanges was thus reinforced by the identity of the clients impacted by the practices.  </w:t>
        <w:br/>
        <w:t xml:space="preserve">953. Finally, the companies exchanged information on their individual performances, overall and/or by distributors, through exchanges on their turnover.  </w:t>
        <w:br/>
        <w:t xml:space="preserve">954. The diversity of the information exchanged on the same theme, within the different concerted practices, thus allowed the participants, notably, to control and complement the information obtained within each of them.  </w:t>
        <w:br/>
        <w:t xml:space="preserve">♦ The identity of the participants  </w:t>
        <w:br/>
        <w:t xml:space="preserve">955. In each of the two sectors, the concerted practices involved the same core of companies, most of which are leading companies in the fast-moving consumer goods sector.  </w:t>
        <w:br/>
        <w:t xml:space="preserve">956. In the market for the supply of hygiene products, nearly half of the companies participated in all the practices identified previously, namely the exchanges organized within the framework of the Cercle Team PCP and the Cercle des Amis (meetings and/or correspondence) and in bilateral or multilateral contacts. These are Colgate-Palmolive, Henkel, Unilever, Beiersdorf, and Reckitt Benckiser.  </w:t>
        <w:br/>
        <w:t xml:space="preserve">957. The same is true in the market for the supply of maintenance products, where four out of eight companies participated in all the practices identified previously, namely the exchanges organized within the framework of the Cercle Team HP and the Cercle des Amis (meetings and/or correspondence) and in bilateral or multilateral contacts. These are Colgate-Palmolive, Henkel, Reckitt Benckiser, and Unilever.  </w:t>
        <w:br/>
        <w:t xml:space="preserve">958. There was thus a strong identity among the participants in the different practices that took place, respectively, in the hygiene sector and in the maintenance sector.  </w:t>
        <w:br/>
        <w:t xml:space="preserve">♦ The identity of the modalities of implementation of the practices  </w:t>
        <w:br/>
        <w:t xml:space="preserve">959. When the practices were implemented within the framework of formalized circles of exchanges (excluding therefore bilateral or multilateral contacts), the analysis of the modalities according to which the practices took place also shows a convergence between them, in each of the two sectors concerned by the investigation.  </w:t>
        <w:br/>
        <w:t>960. Firstly, the described practices were implemented by executives from the commercial management, mainly sales directors and sales managers.</w:t>
      </w:r>
    </w:p>
    <w:p>
      <w:r>
        <w:rPr>
          <w:b/>
        </w:rPr>
        <w:t>[Pages 190–192]</w:t>
      </w:r>
    </w:p>
    <w:p>
      <w:r>
        <w:t>961. Secondly, the practices formalized within the framework of the circles of sales directors and the Friends took place under similar modalities: the meetings took the form of lunches or dinners in restaurants, during which a roundtable was organized, where participants communicated to others information regarding their commercial strategy and the progress of their own negotiations with distributors. These meetings could be accompanied, in the interim, by correspondence aimed at refining or specifying the information communicated. This was notably the case within the framework of the concerted practices organized among sales directors (Cercle Team HP and Cercle Team PCP).</w:t>
      </w:r>
    </w:p>
    <w:p>
      <w:r>
        <w:t>962. Lastly, these various practices were coordinated by Colgate-Palmolive, either alone or assisted by other participants, notably Henkel, for the meetings of the "Friends": indeed, Colgate-Palmolive played a predominant role in convening new participants (individuals) to the Team HP, Team PCP, and "Friends" meetings, as well as in organizing the Cercle des Amis for room reservations and determining meeting dates (point 244 for Team HP meetings, 260 for Team PCP meetings, and 284 for "Friends" meetings). Furthermore, its employees, notably its sales directors, were, according to the elements established in points 322 and following, responsible for coordinating the correspondence exchanged within the framework of the previously identified concerted practices.</w:t>
      </w:r>
    </w:p>
    <w:p>
      <w:r>
        <w:t>♦ The identity concerning the end of the practices</w:t>
      </w:r>
    </w:p>
    <w:p>
      <w:r>
        <w:t>963. The elements in the file show that, in the maintenance sector, the practices, particularly those structured within the Cercle Team HP and the Cercle des Amis, all ceased following the inspection and seizure operations that took place on February 3, 2006.</w:t>
      </w:r>
    </w:p>
    <w:p>
      <w:r>
        <w:t>964. While the order of the judge of liberty and detention issued on January 31, 2006, in the maintenance sector only referred to the meetings of the "Friends," the participants simultaneously ceased all practices that were ongoing in the sector as of February 3, 2006. Such a simultaneous cessation of practices corroborates the finding that there was an objective identity between these various practices and confirms the existence of a unique and complex agreement in this sector, the cessation of one of the concerted practices having immediately led to the cessation of the others.</w:t>
      </w:r>
    </w:p>
    <w:p>
      <w:r>
        <w:t>965. This is also the case for the practices that took place in the hygiene sector, as all practices also ceased on February 3, 2006.</w:t>
      </w:r>
    </w:p>
    <w:p>
      <w:r>
        <w:t>♦ Conclusion on the objective identity of the different concerted practices</w:t>
      </w:r>
    </w:p>
    <w:p>
      <w:r>
        <w:t>966. There is therefore a strong identity between the previously identified concerted practices in the market for the supply of hygiene products on the one hand, and in the market for the supply of maintenance products on the other hand. This objective identity relates to the products targeted by the practices, their nature, the identity of the participating companies, the conditions for implementing the practices, and the dates on which they ended.</w:t>
      </w:r>
    </w:p>
    <w:p>
      <w:r>
        <w:t>The complementarity of the practices</w:t>
      </w:r>
    </w:p>
    <w:p>
      <w:r>
        <w:t>967. As stated in point 934, it is not necessary to demonstrate the complementarity of the concerted practices to characterize the existence of a unique and complex agreement.</w:t>
      </w:r>
    </w:p>
    <w:p>
      <w:r>
        <w:t>968. However, it should be noted, as a surplus, that the concerted practices presented, in this case, a high degree of complementarity in two respects.</w:t>
      </w:r>
    </w:p>
    <w:p>
      <w:r>
        <w:t>969. Firstly, the links of complementarity between the practices result from the complementarity of the functions of the physical participants in the meetings: strategic functions for the sales directors who are members of the Cercle Team PCP and the Cercle Team HP, and more operational functions for the sales directors, members of the Cercle des Amis.</w:t>
      </w:r>
    </w:p>
    <w:p>
      <w:r>
        <w:t>970. Secondly, the multiplication of concerted practices responds to the objective attached to each of the practices – to reduce uncertainty to improve negotiation positions with large retailers. To achieve this objective, it was necessary to obtain the most numerous and varied information possible on the setting of the net triple price of each, in the changing context described above. Hence the multiplicity of meeting circles and a certain "benchmark frenzy," according to the expression of Mr. Thierry R... from Gillette (reference 40 045), which allowed for enriching, specifying, cross-referencing, and updating, in a moving context, the information obtained in each of the identified meeting circles (see in this sense point 283).</w:t>
      </w:r>
    </w:p>
    <w:p>
      <w:r>
        <w:t>Conclusion</w:t>
      </w:r>
    </w:p>
    <w:p>
      <w:r>
        <w:t>971. In each of the two sectors concerned, the concerted practices identified in points 870 and following therefore constitute a unique and complex agreement, composed of behaviors that certainly take different forms, but which present a certain identity and have been implemented with the aim of achieving the same anti-competitive "overall plan."</w:t>
      </w:r>
    </w:p>
    <w:p>
      <w:r>
        <w:t>The duration and continuity of each unique and complex agreement</w:t>
      </w:r>
    </w:p>
    <w:p>
      <w:r>
        <w:t>Principles</w:t>
      </w:r>
    </w:p>
    <w:p>
      <w:r>
        <w:t>972. To determine the duration of an infringement of competition rules, it is necessary to seek the period that elapsed between the date of its commencement and the date on which it was terminated (judgments of the Court of July 27, 2005, Brasserie nationale e.a./Commission, T-49/02 to T-51/02, Rec. p. II-3033, point 185, and of December 5, 2006, Westfalen Gassen Nederland/Commission, T-303/02, Rec. p. II-4567, point 138).</w:t>
      </w:r>
    </w:p>
    <w:p>
      <w:r>
        <w:t>973. In the absence of evidence capable of directly establishing the duration of this infringement and its continuity, the competition authority must rely, at least, on evidence relating to facts sufficiently close in time, so that it can be reasonably admitted that this infringement continued uninterrupted between two specific dates (judgments of the Court of July 7, 1994, Dunlop Slazenger/Commission, T-43/92, Rec. p. II-441, point 79, and of November 16, 2006, Peróxidos Orgánicos/Commission, T-120/04, Rec. p. II-4441, point 51).</w:t>
      </w:r>
    </w:p>
    <w:p>
      <w:r>
        <w:t>974. It should be emphasized that, according to case law, the suspension of an anti-competitive practice for a determined period does not prevent it from being classified as a continuous infringement as long as, after its interruption, it was resumed under the same modalities (judgments of the Court of March 20, 2002, Dansk Rørindustri/Commission, T-21/99, Rec. p. II-1681, points 53 to 56, of April 5, 2006, Degussa/Commission, T-279/02, Rec. p. II-897, point 178, of May 19, 2010, IMI e.a./Commission, T-18/05, Rec. p. II-1769, points 96 and 97, and of the Paris Court of Appeal of March 29, 2012, Lacroix signalisation e.a., cited above, p. 10).</w:t>
      </w:r>
    </w:p>
    <w:p>
      <w:r>
        <w:t>975. Regarding the proof of the duration of this infringement and its continuity, the Union judge has considered that between two specific dates for which it was established, companies' statements about their continuity could constitute sufficient evidence (judgment of the Court of April 5, 2006, Degussa/Commission, cited above, point 153).</w:t>
      </w:r>
    </w:p>
    <w:p>
      <w:r>
        <w:t>On the start of the practices</w:t>
      </w:r>
    </w:p>
    <w:p>
      <w:r>
        <w:t>♦ In the maintenance sector</w:t>
      </w:r>
    </w:p>
    <w:p>
      <w:r>
        <w:t>976. The first piece of material in the file concerning the practices in this sector is a revenue table at the end of December 2002 prepared in January 2003 (point 354). Colgate-Palmolive, Henkel, Unilever, Procter &amp; Gamble, Reckitt Benckiser, and Sara Lee are mentioned in this table. It has been demonstrated that the information in these tables was collected through information exchanges. Therefore, it should be noted that the practice in the maintenance sector began in January 2003.</w:t>
      </w:r>
    </w:p>
    <w:p>
      <w:r>
        <w:t>♦ In the hygiene sector</w:t>
      </w:r>
    </w:p>
    <w:p>
      <w:r>
        <w:t>977. The first piece of material in the file reporting exchanges between individuals participating in the practices consists of a handwritten note recounting a trilateral contact on January 22, 2003, between Beiersdorf, Vania, and Colgate (point 354). Therefore, it should be noted that the practice began on that date.</w:t>
      </w:r>
    </w:p>
    <w:p>
      <w:r>
        <w:t>On the cessation of the practices</w:t>
      </w:r>
    </w:p>
    <w:p>
      <w:r>
        <w:t>978. The elements present in the file show that the practices all ceased, in the maintenance sector and in the hygiene sector, following the inspection and seizure operations that took place on February 3, 2006. Therefore, it should be noted that the practices ended on that date.</w:t>
      </w:r>
    </w:p>
    <w:p>
      <w:r>
        <w:t>On the continuity of the practices</w:t>
      </w:r>
    </w:p>
    <w:p>
      <w:r>
        <w:t>979. The summary tables of the practices that appear in point 354 show that, in the two sectors concerned by the investigation, the two unique agreements took place continuously between the beginning of 2003 and February 3, 2006: they were characterized by numerous and regular contacts during this period, in various forms.</w:t>
      </w:r>
    </w:p>
    <w:p>
      <w:r>
        <w:t>On the duration of the two unique, complex, and continuous agreements</w:t>
      </w:r>
    </w:p>
    <w:p>
      <w:r>
        <w:t>980. It appears from the documents in the file that the unique, complex, and continuous agreements lasted continuously from January 2003 to February 3, 2006, in the maintenance sector and from January 22, 2003, to February 3, 2006, in the hygiene sector.</w:t>
      </w:r>
    </w:p>
    <w:p>
      <w:r>
        <w:t>981. The elements thus presented, relating to the duration of the two unique, complex, and continuous agreements, are without prejudice to the consideration of the duration of each company's participation in the various identified practices, which will be analyzed at the stage of individual responsibility.</w:t>
      </w:r>
    </w:p>
    <w:p>
      <w:r>
        <w:t>3. THE PARTICIPATION OF COMPANIES IN THE TWO UNIQUE, COMPLEX, AND CONTINUOUS AGREEMENTS</w:t>
      </w:r>
    </w:p>
    <w:p>
      <w:r>
        <w:t>982. The following developments analyze the participation of companies in the two unique, complex, and continuous agreements (hereinafter, "the unique agreements"). For the companies in the procedure of not contesting the allegations, participation in the two unique agreements is only recalled below for the sake of clarity.</w:t>
      </w:r>
    </w:p>
    <w:p>
      <w:r>
        <w:rPr>
          <w:b/>
        </w:rPr>
        <w:t>[Pages 193–195]</w:t>
      </w:r>
    </w:p>
    <w:p>
      <w:r>
        <w:t xml:space="preserve">a) Colgate-Palmolive  </w:t>
        <w:br/>
        <w:t xml:space="preserve">983. Regarding Colgate-Palmolive, the legal entities implicated in this case do not contest the allegations.  </w:t>
        <w:br/>
        <w:t xml:space="preserve">984. The company Colgate-Palmolive participated:  </w:t>
        <w:br/>
        <w:t xml:space="preserve">- in the maintenance sector, in practices organized within the framework of the Cercle Team HP, the Cercle des Amis, and a large number of bilateral or multilateral contacts;  </w:t>
        <w:br/>
        <w:t xml:space="preserve">- in the hygiene sector, in practices organized within the framework of the Cercle Team PCP, the Cercle des Amis, and a large number of bilateral or multilateral contacts.  </w:t>
        <w:br/>
        <w:t xml:space="preserve">985. Furthermore, Colgate-Palmolive had reasonable knowledge of all bilateral or multilateral exchanges and was willing to accept the risk. It is therefore fully responsible for them.  </w:t>
        <w:br/>
        <w:t>986. In this context, Colgate-Palmolive is held responsible for the entirety of the unique agreement in the maintenance sector between January 2003 and February 3, 2006, and for that in the hygiene sector between January 22, 2003, and February 3, 2006.</w:t>
      </w:r>
    </w:p>
    <w:p>
      <w:r>
        <w:t xml:space="preserve">b) Henkel  </w:t>
        <w:br/>
        <w:t xml:space="preserve">987. Regarding Henkel, the legal entities implicated in this case do not contest the allegations.  </w:t>
        <w:br/>
        <w:t xml:space="preserve">988. The company Henkel participated:  </w:t>
        <w:br/>
        <w:t xml:space="preserve">- in the maintenance sector, in practices organized within the framework of the Cercle Team HP, the Cercle des Amis, and a large number of bilateral or multilateral contacts;  </w:t>
        <w:br/>
        <w:t xml:space="preserve">- in the hygiene sector, in practices organized within the framework of the Cercle Team PCP, the Cercle des Amis, and a large number of bilateral or multilateral contacts.  </w:t>
        <w:br/>
        <w:t xml:space="preserve">989. Furthermore, the company had reasonable knowledge of all bilateral or multilateral exchanges and was willing to accept the risk. It is therefore fully responsible for them.  </w:t>
        <w:br/>
        <w:t>990. Under these conditions, Henkel is held responsible for the entirety of the unique agreement in the maintenance sector between January 2003 and February 3, 2006, and for that in the hygiene sector between January 22, 2003, and February 3, 2006.</w:t>
      </w:r>
    </w:p>
    <w:p>
      <w:r>
        <w:t xml:space="preserve">c) Unilever  </w:t>
        <w:br/>
        <w:t xml:space="preserve">991. Regarding Unilever, the legal entities implicated in this case do not contest the allegations.  </w:t>
        <w:br/>
        <w:t xml:space="preserve">992. The company Unilever participated, in the maintenance sector, in the coordinated practices organized within the Cercle Team HP as well as in bilateral and multilateral contacts. However, it is not established that Unilever was aware of the exact extent of other bilateral or multilateral contacts.  </w:t>
        <w:br/>
        <w:t>993. Unilever participated, in the hygiene sector, in the coordinated practices organized within the Cercle Team PCP as well as in bilateral and multilateral contacts. However, it is not established that Unilever was aware of the exact extent of other bilateral or multilateral contacts.</w:t>
      </w:r>
    </w:p>
    <w:p>
      <w:r>
        <w:t xml:space="preserve">994. Furthermore, in both sectors, the company participated, at the end of 2004, in a meeting of the "Friends." However, it is not established that Unilever was aware or could reasonably have been aware of the continuation of organized exchanges within the Cercle des Amis thereafter, nor of the existence of such exchanges prior to its participation.  </w:t>
        <w:br/>
        <w:t xml:space="preserve">995. In this context, regarding the unique agreement in the maintenance products sector, Unilever is held responsible for only the following coordinated practices, contrary to Articles 81 of the EC Treaty, now Article 101 of the TFEU, and L. 420-1 of the Commercial Code: the practices organized within the framework of the Cercle Team HP, the bilateral or multilateral contacts in which it participated, and a meeting of the "Friends" at the end of 2004. These practices took place between January 2003 and early August 2005. However, the company is not held responsible for other coordinated practices constitutive of the unique agreement in the maintenance sector.  </w:t>
        <w:br/>
        <w:t>996. Regarding the unique agreement in the hygiene sector, Unilever is held responsible for only the following coordinated practices, contrary to Articles 81 of the EC Treaty, now Article 101 of the TFEU, and L. 420-1 of the Commercial Code: the practices organized within the framework of the Cercle Team PCP, the bilateral or multilateral contacts in which it participated, and a meeting of the "Friends" at the end of 2004. These practices took place between January 2003 and early August 2005. However, the company is not held responsible for other coordinated practices constitutive of the unique agreement in the hygiene sector.</w:t>
      </w:r>
    </w:p>
    <w:p>
      <w:r>
        <w:t xml:space="preserve">d) Reckitt Benckiser  </w:t>
        <w:br/>
        <w:t xml:space="preserve">997. Regarding Reckitt Benckiser, the legal entities implicated in this case do not contest the allegations.  </w:t>
        <w:br/>
        <w:t xml:space="preserve">998. The company Reckitt Benckiser participated, concerning the unique agreement in the maintenance sector, in the coordinated practices organized within the framework of the Cercle des Amis, the Cercle Team HP, and in bilateral or multilateral contacts. However, it is not established that Reckitt Benckiser was aware of the exact extent of other bilateral or multilateral contacts that took place in this sector.  </w:t>
        <w:br/>
        <w:t xml:space="preserve">999. Reckitt Benckiser is held responsible for only the following coordinated practices, contrary to Articles 81 of the EC Treaty, now Article 101 of the TFEU, and L. 420-1 of the Commercial Code: the coordinated practices organized within the framework of the Cercle des Amis and the Cercle Team HP and the bilateral or multilateral contacts in which it participated, between July 30, 2003, at the latest, and February 3, 2006. However, the company is not held responsible for other coordinated practices constitutive of the unique agreement in the maintenance sector.  </w:t>
        <w:br/>
        <w:t xml:space="preserve">1000. Regarding the unique agreement in the hygiene sector, the company participated in the coordinated practice organized within the framework of the Cercle des Amis and in a multilateral contact between July 12 or 13, 2004, and February 3, 2006. However, it is not established that Reckitt Benckiser was aware of the exact extent of other bilateral or multilateral contacts in this sector.  </w:t>
        <w:br/>
        <w:t>1001. Furthermore, regarding the coordinated practice organized within the Cercle Team PCP, the company participated in the correspondences that were organized within this framework between July 13, 2004, and September 2005. However, it is not established that the company had any knowledge, at least probable, of the meetings organized within the Cercle Team PCP.</w:t>
      </w:r>
    </w:p>
    <w:p>
      <w:r>
        <w:t>1002. Reckitt Benckiser is held responsible for only the following coordinated practices, contrary to Articles 81 of the EC Treaty, now Article 101 of the TFEU, and L. 420-1 of the Commercial Code: the coordinated practices organized within the framework of the Cercle des Amis as well as a multilateral contact in which it participated and correspondences exchanged within the framework of the Cercle Team PCP, between July 2004 and February 3, 2006. However, the company is not held responsible for other coordinated practices constitutive of the unique agreement in the hygiene sector.</w:t>
      </w:r>
    </w:p>
    <w:p>
      <w:r>
        <w:t xml:space="preserve">e) Procter &amp; Gamble  </w:t>
        <w:br/>
        <w:t xml:space="preserve">1003. Regarding Procter &amp; Gamble, the legal entities implicated in this case do not contest the allegations.  </w:t>
        <w:br/>
        <w:t xml:space="preserve">1004. The company Procter &amp; Gamble participated, in the maintenance sector, in the practices organized within the framework of the Cercle Team HP as well as in bilateral and multilateral contacts.  </w:t>
        <w:br/>
        <w:t xml:space="preserve">1005. Procter &amp; Gamble also participated, in the hygiene sector, in the practices organized within the framework of the Cercle Team PCP as well as in bilateral and multilateral contacts.  </w:t>
        <w:br/>
        <w:t xml:space="preserve">1006. However, the investigation did not establish the participation, nor even the knowledge, by Procter &amp; Gamble, of the coordinated practice organized within the framework of the Cercle des Amis. Similarly, the investigation did not establish that Procter &amp; Gamble was aware of the exact extent of the bilateral or multilateral contacts.  </w:t>
        <w:br/>
        <w:t xml:space="preserve">1007. Regarding the unique agreement established in the maintenance sector, Procter &amp; Gamble is held responsible for only the following coordinated practices, contrary to Articles 81 of the EC Treaty, now Article 101 of the TFEU, and L. 420-1 of the Commercial Code: the practices organized within the framework of the Cercle Team HP and the bilateral or multilateral contacts in which it participated between January 2003 and early February 2005. However, the company is not held responsible for other coordinated practices constitutive of the unique agreement in the maintenance sector.  </w:t>
        <w:br/>
        <w:t>1008. Regarding the unique agreement established in the hygiene sector, Procter &amp; Gamble is held responsible for only the following coordinated practices, contrary to Articles 81 of the EC Treaty, now Article 101 of the TFEU, and L. 420-1 of the Commercial Code: the coordinated practices organized within the framework of the Cercle Team PCP and the bilateral or multilateral contacts in which it participated between April 2003 and January 2005. However, the company is not held responsible for other coordinated practices constitutive of the unique agreement in the hygiene sector.</w:t>
      </w:r>
    </w:p>
    <w:p>
      <w:r>
        <w:t xml:space="preserve">f) Laboratoires Vendôme  </w:t>
        <w:br/>
        <w:t xml:space="preserve">1009. Regarding Laboratoires Vendôme, the legal entity implicated in this case does not contest the allegation.  </w:t>
        <w:br/>
        <w:t>1010. The company Laboratoires Vendôme participated, in the hygiene sector, in the coordinated practice organized within the framework of the Cercle des Amis between September 21, 2004, and February 3, 2006. During this period, it also took part in the correspondences related to turnover organized within the framework of the Cercle Team PCP. However, it is not established that Laboratoires Vendôme could reasonably have been aware of other coordinated practices organized within the framework of the unique agreement in the hygiene sector.</w:t>
      </w:r>
    </w:p>
    <w:p>
      <w:r>
        <w:rPr>
          <w:b/>
        </w:rPr>
        <w:t>[Pages 196–198]</w:t>
      </w:r>
    </w:p>
    <w:p>
      <w:r>
        <w:t xml:space="preserve">1011. It follows that Laboratoires Vendôme is held responsible only for the following concerted practices, contrary to Article 81 of the EC Treaty, now Article 101 of the TFEU, and L. 420-1 of the Commercial Code: the concerted practices organized within the framework of the Cercle des Amis and the correspondences exchanged within the Cercle Team PCP between September 21, 2004, and February 3, 2006. On the other hand, the company is not held responsible for the other concerted practices constituting the single agreement in the hygiene sector.  </w:t>
        <w:br/>
        <w:t xml:space="preserve">g) Gillette  </w:t>
        <w:br/>
        <w:t xml:space="preserve">1012. Regarding Gillette, the legal entities implicated in this case do not contest the allegation.  </w:t>
        <w:br/>
        <w:t xml:space="preserve">1013. The company Gillette participated, in the hygiene sector, in the concerted practice organized within the framework of the Cercle Team PCP between April 2003 and February 3, 2006.  </w:t>
        <w:br/>
        <w:t xml:space="preserve">1014. The company also took part in two meetings of the "Friends," on September 21, 2004, and February 17, 2005. However, the investigation did not establish that Gillette could reasonably have knowledge of the continuation of these meetings, between these two dates or after February 17, 2005, or of the other concerted practices constituting the single agreement in the hygiene sector.  </w:t>
        <w:br/>
        <w:t xml:space="preserve">1015. Gillette is held responsible, in the hygiene sector, for only the following concerted practices, contrary to Article 81 of the EC Treaty, now Article 101 of the TFEU, and L. 420-1 of the Commercial Code: the practices organized within the framework of the Cercle Team PCP as well as two meetings of the "Friends," between April 2003 and February 3, 2006. On the other hand, the company is not held responsible for the other concerted practices constituting the single agreement in the hygiene sector.  </w:t>
        <w:br/>
        <w:t xml:space="preserve">h) Beiersdorf  </w:t>
        <w:br/>
        <w:t xml:space="preserve">1016. Regarding Beiersdorf, the legal entities implicated in this case do not contest the allegations.  </w:t>
        <w:br/>
        <w:t xml:space="preserve">1017. The company Beiersdorf participated, in the hygiene sector, in the consultation organized within the framework of the Cercle Team PCP as well as in a trilateral contact, between January 22, 2003, and February 3, 2006. However, the investigation did not establish that Beiersdorf had knowledge of the exact extent of the bilateral or multilateral contacts in the hygiene sector.  </w:t>
        <w:br/>
        <w:t xml:space="preserve">1018. The investigation also showed that the company participated in the practices organized within the framework of the Cercle des Amis between January 19, 2006, and January 26, 2006. However, the investigation did not establish that Beiersdorf could reasonably have knowledge of the practices organized within the framework of the Cercle des Amis that had taken place earlier or of the other practices constituting the single agreement in the hygiene sector.  </w:t>
        <w:br/>
        <w:t xml:space="preserve">1019. Beiersdorf is held responsible, in the hygiene sector, for only the following concerted practices, contrary to Article 81 of the EC Treaty, now Article 101 of the TFEU, and L. 420-1 of the Commercial Code: the practices organized within the framework of the Cercle Team PCP and a trilateral contact between January 22, 2003, and February 3, 2006, and the practices organized within the framework of the Cercle des Amis between January 19, 2006, and February 3, 2006. On the other hand, the company is not held responsible for the other concerted practices constituting the single agreement in the hygiene sector.  </w:t>
        <w:br/>
        <w:t xml:space="preserve">i) Vania  </w:t>
        <w:br/>
        <w:t xml:space="preserve">1020. Regarding Vania, the legal entities implicated in this case do not contest the allegations.  </w:t>
        <w:br/>
        <w:t xml:space="preserve">1021. The company Vania participated, in the hygiene sector, in the concerted practice organized within the framework of the Cercle Team PCP as well as in a trilateral contact between January 22, 2003, and February 3, 2006.  </w:t>
        <w:br/>
        <w:t xml:space="preserve">1022. However, the investigation did not establish that Vania had knowledge of the exact extent of the bilateral or multilateral contacts. Furthermore, the company's participation in the Cercle des Amis or its reasonable knowledge of the said concerted practice was also not established by the investigation.  </w:t>
        <w:br/>
        <w:t xml:space="preserve">1023. Vania is held responsible, in the hygiene sector, for only the following concerted practices, contrary to Article 81 of the EC Treaty, now Article 101 of the TFEU, and L. 420-1 of the Commercial Code: the practices organized within the framework of the Cercle Team PCP and a trilateral contact in which it participated, between January 22, 2003, and February 3, 2006. On the other hand, the company is not held responsible for the other concerted practices constituting the single agreement in the hygiene sector.  </w:t>
        <w:br/>
        <w:t xml:space="preserve">j) SC Johnson  </w:t>
        <w:br/>
        <w:t xml:space="preserve">1024. Regarding SC Johnson, the companies SC Johnson SAS and SC Johnson &amp; Son, Inc. did not make any observations on the company's participation in the single agreement in the maintenance sector.  </w:t>
        <w:br/>
        <w:t xml:space="preserve">1025. The company SC Johnson participated, in the maintenance sector, in the consultation organized within the framework of the Cercle des Amis as well as in several bilateral contacts. These took place between July 30, 2003, at the latest, and February 3, 2006.  </w:t>
        <w:br/>
        <w:t xml:space="preserve">1026. However, the investigation did not establish SC Johnson's reasonable knowledge of the other concerted practices constituting the single agreement in the maintenance sector.  </w:t>
        <w:br/>
        <w:t xml:space="preserve">1027. SC Johnson is held responsible, in the maintenance sector, for only the following concerted practices, contrary to Article 81 of the EC Treaty, now Article 101 of the TFEU, and L. 420-1 of the Commercial Code: the concerted practices organized within the framework of the Cercle des Amis and the bilateral contacts in which it participated, between July 30, 2003, at the latest, and February 3, 2006. On the other hand, the company is not held responsible for the other concerted practices constituting the single agreement in the maintenance sector.  </w:t>
        <w:br/>
        <w:t xml:space="preserve">k) Sara Lee  </w:t>
        <w:br/>
        <w:t>1028. Regarding Sara Lee, the company Colgate-Palmolive, legal successor of Sara Lee Household &amp; Body Care France, author of the practices, does not contest the allegations. On the other hand, the company Hillshire Brands Company, parent company of the author of the practices at the time of the practices, contests both the materiality of the facts and their legal qualification.</w:t>
      </w:r>
    </w:p>
    <w:p>
      <w:r>
        <w:t xml:space="preserve">On the materiality of the facts attributed to Sara Lee  </w:t>
        <w:br/>
        <w:t xml:space="preserve">Summary of findings  </w:t>
        <w:br/>
        <w:t xml:space="preserve">1029. As recalled in the findings made in the first part of this decision, Sara Lee participated in the Cercle des Amis (point 278), with the exception of the correspondences, in each of the two sectors. It also participated in bilateral contacts (see the summary table in point 350) in the maintenance sector.  </w:t>
        <w:br/>
        <w:t xml:space="preserve">1030. Regarding the meetings of the Friends, Sara Lee participated in the meetings of the "Friends" on September 21, November 4, and December 3, 2004, January 14, February 17, March 17, April 14, May 12, October 27, and November 30, 2005, January 26, and February 3, 2006, that is to say, in 11 of the 12 meetings of the Cercle des Amis that took place in the hygiene sector and in all the meetings of the Cercle des Amis that took place in the maintenance sector.  </w:t>
        <w:br/>
        <w:t xml:space="preserve">1031. Regarding the content of the exchanges, it emerges from the findings that Sara Lee participated in the following contacts:  </w:t>
        <w:br/>
        <w:t xml:space="preserve">- Meeting of the "Friends" on September 21, 2004 (hygiene and maintenance) during which the participating companies, including Sara Lee, confirmed their position in favor of a 1% weighted price decrease and a 1% linear decrease (point 420), discussed the future cessation of the 1% linear discount (point 429), exchanged views on the price increases planned for 2005 (points 472 and 502) and on the status of reimbursements of the advance made to suppliers (point 448);  </w:t>
        <w:br/>
        <w:t xml:space="preserve">- Meeting of the "Friends" on November 4, 2004 (hygiene and maintenance) during which the companies reached a consensus on the abandonment of the 1% linear discount in 2005 (point 436), exchanged views on the future rate of price increases and the dates of increases for 2005 (points 476 and 507), on the future levels of drift for 2005, which were close to each other in the maintenance sector (points 531 and 538), and exchanged views on the status of reimbursements of the advance made to suppliers (point 450);  </w:t>
        <w:br/>
        <w:t xml:space="preserve">- Bilateral exchange between December 2 and 5, 2004 (maintenance) between Sara Lee and SC Johnson on the rate of commercial cooperation (point 615);  </w:t>
        <w:br/>
        <w:t xml:space="preserve">- Meeting of the "Friends" on December 3, 2004 (hygiene and maintenance) during which the participating companies exchanged views on the strategy for exiting the commitment, (Sara Lee having announced that it would cease the linear discount in April 2005, point 437), on the level of future price increases for 2005 (with a strong homogeneity of increases in the maintenance sector, points 480 and 511), on the future levels of drift for 2005 (Sara Lee having announced its anticipated drift rate for 2005 for international agreements in the hygiene sector, points 534 and 540);  </w:t>
        <w:br/>
        <w:t xml:space="preserve">- Meeting of the "Friends" on January 14, 2005, during which Laboratoires Vendôme indicated the amount of the price increase sent to distributors (hygiene, point 512); the participating companies also exchanged views on the requests for drifts from distributors (maintenance, point 588);  </w:t>
        <w:br/>
        <w:t>- Meeting of the "Friends" on February 17, 2005 (hygiene and maintenance) during which the participating companies discussed past price increases within the framework of the commitment (points 493 and 515), the drift offer rates (points 602 and 610), and the drift requests (points 588 and 590);</w:t>
      </w:r>
    </w:p>
    <w:p>
      <w:r>
        <w:rPr>
          <w:b/>
        </w:rPr>
        <w:t>[Pages 199–201]</w:t>
      </w:r>
    </w:p>
    <w:p>
      <w:r>
        <w:t xml:space="preserve">- Meeting of the "Friends" on March 17, 2005, during which the participating companies discussed offers (maintenance, point 602) and requests for deviations (maintenance, point 588);  </w:t>
        <w:br/>
        <w:t xml:space="preserve">- Bilateral exchange between March 30 and April 14, 2005 (maintenance and hygiene) between Reckitt Benckiser and Sara Lee regarding the reimbursements of the advance made under the commitment (point 455);  </w:t>
        <w:br/>
        <w:t xml:space="preserve">- Meeting of the "Friends" on April 14, 2005, during which the participating companies exchanged views on offer rates (maintenance, point 602) and request rates for deviations (maintenance, point 588);  </w:t>
        <w:br/>
        <w:t xml:space="preserve">- Meeting of the "Friends" on May 12, 2005 (hygiene and maintenance) during which the participating companies exchanged views on offers (points 602 and 610) and requests for deviations (points 588 and 590);  </w:t>
        <w:br/>
        <w:t xml:space="preserve">- Meeting of the "Friends" on October 27, 2005, during which the participating companies exchanged views on the level of price increases already sent – or not – to distributors (maintenance, points 574 et seq.);  </w:t>
        <w:br/>
        <w:t xml:space="preserve">- Meeting of the "Friends" on November 30, 2005 (hygiene and maintenance) during which the participating companies indicated whether the price increases – at an exceptionally high level – had been accepted by the distributors (points 565 and 579);  </w:t>
        <w:br/>
        <w:t xml:space="preserve">- Meeting of the "Friends" on January 26, 2006 (hygiene) during which the participating companies exchanged views on past price increases (point 568), on requests for deviations from distributors (point 590), and on offers of deviations made by suppliers (points 607 to 610);  </w:t>
        <w:br/>
        <w:t xml:space="preserve">- Meeting of the "Friends" on February 3, 2006 (maintenance) during which the participating companies exchanged views on requests for deviations from distributors (point 588) and offers of deviations (points 598 to 602).  </w:t>
        <w:br/>
        <w:t xml:space="preserve">1032. Finally, regarding the other exchanges observed throughout the period (points 616 et seq.), it emerges from the findings that Sara Lee participated in exchanges on the NIPs, the status of negotiations, the GTCs, and the pricing grids and turnover figures.  </w:t>
        <w:br/>
        <w:t xml:space="preserve">1033. Regarding the exchanges on the NIPs, which included discussions on future strategies, Sara Lee actively participated in almost all exchanges in the maintenance sector, similar to the other participants (point 623). Sara Lee notably indicated, during the "Friends" meeting on December 3, 2004, that its deviations for 2005 would rather go into the NIPs (file reference 344 of dossier 08/0044AC).  </w:t>
        <w:br/>
        <w:t xml:space="preserve">1034. Regarding the exchanges on the status of commercial negotiations, Sara Lee actively participated in both sectors in several "Friends" meetings during which this issue was addressed (points 632 and 636). During the meeting on May 12, 2005, Sara Lee provided information on its offer of deviation at Intermarché ("SL HP → finish at +0.30%") on one hand, and on the status of its negotiations with Casino ("SL = HP + 0.50 finalized") on the other hand (file reference 1163 of dossier 06/0018AC).  </w:t>
        <w:br/>
        <w:t xml:space="preserve">1035. Regarding the exchanges on general sales conditions and pricing (points 637 et seq.), Sara Lee, which did not participate in the correspondence organized within the framework of the Cercle des Amis, nevertheless participated, during the meetings of this circle and in both sectors, in exchanges of GTCs and pricing grids that were handed over to the present companies (file references 39 929 and 39 930).  </w:t>
        <w:br/>
        <w:t xml:space="preserve">1036. Finally, regarding the exchanges related to turnover figures, Sara Lee participated in all exchanges related to turnover that took place within the Cercle des Amis, in the hygiene sector and in the maintenance sector (points 660 and 662).  </w:t>
        <w:br/>
        <w:t xml:space="preserve">The arguments of Hillshire  </w:t>
        <w:br/>
        <w:t xml:space="preserve">1037. Hillshire contests the presence of Sara Lee at the meetings and bilateral exchanges as well as the content of the exchanges.  </w:t>
        <w:br/>
        <w:t xml:space="preserve">♦ Regarding the presence at meetings and bilateral exchanges  </w:t>
        <w:br/>
        <w:t xml:space="preserve">1038. First, Hillshire argues that there are uncertainties regarding Sara Lee's participation in the meetings of February 17, 2005, and October 27, 2005. However, Sara Lee's participation in the meeting of February 17, 2005, is established by two contemporaneous meeting minutes seized from competitors of Sara Lee as well as by the statement of a leniency applicant (point 285, file references 13 812 to 13 815, 9 586 to 9 587, and 38 of dossier 05/0100AC). Furthermore, Sara Lee's participation in the meeting of October 27, 2005, is confirmed by two meeting minutes from direct competitors seized during the inspection and seizure operations (point 285, file references 13 875 and 13 876, 10 138 and 10 141).  </w:t>
        <w:br/>
        <w:t xml:space="preserve">1039. Secondly, Hillshire contests Sara Lee's participation in two bilateral contacts, which took place, for the first, between December 2 and 5, 2004 (with SC Johnson) and, for the second, before April 14, 2005 (with Reckitt Benckiser).  </w:t>
        <w:br/>
        <w:t xml:space="preserve">1040. However, it emerges from the case files (point 350, file reference 12 464) that the existence of the first exchange is established. Regarding the bilateral contact between March 30 and April 14, 2005 (point 349, file reference 11 775), Hillshire further argues that it has not been demonstrated that the information on the reimbursements of the advance made under the commitment contained in Mr. Stéphane 7...'s note (Reckitt Benckiser), dated March 30 to April 14, 2005, originated from information communicated by Sara Lee. In this regard, Hillshire indicates that Mr. Stéphane 7...'s note could have originated from an exchange with distributors and not from information communicated by Sara Lee. However, the statement of the author of the note and the fact that the information constitutes information for all distributors combined show that it cannot originate from a distributor: it results from an exchange between competitors, which is not contested by the other implicated companies or by the legal successor of Sara Lee Household &amp; Body Care France. The argument must therefore be dismissed.  </w:t>
        <w:br/>
        <w:t xml:space="preserve">♦ Regarding the content of the exchanges  </w:t>
        <w:br/>
        <w:t xml:space="preserve">1041. First, Hillshire argues that Sara Lee did not communicate any information to the other participants during the meeting of September 21, 2004. In reality, it emerges from the case files that Sara Lee did announce, during this meeting, its future strategy regarding the cessation of the linear discount, as evidenced by the mention "2% weighted Nov" that appears in the column concerning it (file references 1 125 of dossier 06/0018AC and 654 of dossier 06/0019AC).  </w:t>
        <w:br/>
        <w:t xml:space="preserve">1042. Secondly, Hillshire argues that the companies that participated in the meetings of November 4 and December 3, 2004, did not exchange views on the cessation of linear discounts, that no consensus was reached on this point, and that Sara Lee did not declare that it would stop its linear discount in April 2005. However, these facts are established by the case files, notably the meeting minutes and notes from Ms. Nathalie Y... (points 436 and 437), and are not contested by the other implicated companies or by the legal successor of Sara Lee Household &amp; Body Care France.  </w:t>
        <w:br/>
        <w:t xml:space="preserve">1043. Thirdly, Hillshire argues that Sara Lee never communicated to its competitors information on price increases that had not been previously communicated to distributors. However, it results from a letter dated July 6, 2007, communicated by Hillshire during the investigation (file references 23 250 and 23 251) that Sara Lee's prices for the year 2005 were sent to distributors on January 17, 2005, for maintenance products, and on February 8, 2005, for insecticides. Sara Lee therefore did participate, during the meetings that preceded these dates, in exchanges of information on the future pricing developments of its competitors before sending its own prices.  </w:t>
        <w:br/>
        <w:t xml:space="preserve">1044. Fourthly, Hillshire contests having participated in exchanges on deviations in commercial cooperation during the implementation of the Sarkozy commitment. However, it is demonstrated that Sara Lee participated in the meetings of November 4 and December 3, 2004, during which exchanges took place on the levels of deviations envisaged for 2005 (points 529 et seq.).  </w:t>
        <w:br/>
        <w:t xml:space="preserve">1045. Fifthly, Hillshire contests the existence of exchanges related to offers or requests for deviations during certain meetings. It specifies in particular that no information on a request for deviation would have been exchanged on hygiene during the meeting of May 12, 2005, and that the indication "2.2 deviation" during the meeting of the "Friends" on January 26, 2006, would not allow determining whether it was an offer or a request for deviation. However, information on requests for deviations was indeed exchanged during the meeting of the "Friends" on May 12, 2005. Thus, the handwritten notes and the explanations provided by Ms. Nathalie Y..., the author of these notes contemporaneous with the facts, in the context of the leniency of Colgate-Palmolive, attest to exchanges on Henkel's request for deviation in the hygiene sector ("Henkel has a request for deviation of 0.10-0.20 (and 0.17-0.30 in PCP)", point 590, file reference 1 163 of dossier 06/0018AC). Regarding the mention "2.2 deviation" for which, according to Hillshire, it would not be possible to determine whether it is an offer of deviation or a request for deviation, it emerges from Ms. Nathalie Y...'s explanations that this mention means that "the requested deviation was 2.2 and Sara Lee indicates it cannot go beyond 1.2" (file reference 699 of dossier 06/0019AC).  </w:t>
        <w:br/>
        <w:t xml:space="preserve">1046. Lastly, Hillshire challenges the probative value of the statements and elements produced by the leniency applicants. However, the statements and elements produced by the leniency applicants have been taken into account to establish the facts within the framework of the body of evidence detailed in points 895 et seq., in accordance with the case law and decision-making practice recalled in points 857 et seq. The argument will be dismissed.  </w:t>
        <w:br/>
        <w:t xml:space="preserve">1047. It follows from the above that Hillshire is not justified in contesting the materiality of the facts attributed to Sara Lee.  </w:t>
        <w:br/>
        <w:t xml:space="preserve">On the legal qualification of the facts attributed to Sara Lee  </w:t>
        <w:br/>
        <w:t xml:space="preserve">Regarding the existence of concerted practices with an anti-competitive object  </w:t>
        <w:br/>
        <w:t xml:space="preserve">1048. Hillshire argues that the practices attributed to Sara Lee could not be qualified as concerted practices with an anti-competitive object within the meaning of Article 101 TFEU and Article L. 420-1 of the Commercial Code. It argues that the information exchanged would have been devoid of strategic character given their aggregated or past nature, and that the economic and legal context would preclude such qualification. Finally, it contests the anti-competitive effects of the practices.  </w:t>
        <w:br/>
        <w:t>1049. Regarding the information exchanged, it emerges from the case files that Sara Lee participated in a consultation, taking the form of exchanges of information or more advanced acts of cooperation, on the determinants of future prices. If the data</w:t>
      </w:r>
    </w:p>
    <w:p>
      <w:r>
        <w:rPr>
          <w:b/>
        </w:rPr>
        <w:t>[Pages 202–204]</w:t>
      </w:r>
    </w:p>
    <w:p>
      <w:r>
        <w:t>communiquées corresponded generally to all products marketed by the company in a given sector, this type of information was, in reality, more effective for controlling the collusive balance and coordinating behaviors than segmented data by products, in a situation of uncertainty. It is recalled here that the suppliers involved often have a very large number of references, on which it would have been unrealistic to coordinate individually in an exhaustive manner. Furthermore, for the same reasons, negotiations with distributors are based on overall developments (for example, weighted average increase for prices) and are not conducted product by product. Under these conditions, the exchange of non-individualized information by product was entirely relevant to achieve effective coordination in the two concerned markets as it is consistent with the negotiation modalities with large distribution.</w:t>
      </w:r>
    </w:p>
    <w:p>
      <w:r>
        <w:t>1050. Regarding the economic context characterized in points 913 and following, Hillshire argues that the market shares of the participants in the Cercle des Amis, which represented, in 2004, 39% in the maintenance sector and 16% in the hygiene sector, were "non-oligopolistic." However, the market shares of the companies that participated in the Cercle des Amis do not call into question the qualification of the infringement concerning Sara Lee.</w:t>
      </w:r>
    </w:p>
    <w:p>
      <w:r>
        <w:t>1051. On the one hand, it should be recalled that "a system of information exchange can constitute a violation of competition rules even when the market in question is not a highly concentrated oligopolistic market. (...) the only general principle retained regarding market structure is that supply must not have an atomized character" (Court of Justice, October 2, 2003, Thyssen Stahl AG, C-194/99, paragraphs 86 and 89). Now, in this case, it is established that the supply in the markets for hygiene products and maintenance products was not atomized.</w:t>
      </w:r>
    </w:p>
    <w:p>
      <w:r>
        <w:t>1052. On the other hand, the fact that the participants in the Cercle des Amis represented, in 2004, 39% of market shares in the maintenance sector and 16% of market shares in the hygiene sector does not undermine the infringement concerning Sara Lee. In the economic and legal context mentioned in points 914, the secret practices of price coordination implemented within the Cercle des Amis, consisting notably of exchanges of individualized, precise, and future-oriented information concerning particularly sensitive elements of the commercial policy, and notably the components of the selling price to large distribution, have an anti-competitive object. Moreover, the Cercle des Amis was integrated into a unique agreement composed of several exchange circles. The overlap of the information collected in these circles thus allowed companies participating in several circles, such as Henkel and Colgate-Palmolive, to cross-reference a large amount of information.</w:t>
      </w:r>
    </w:p>
    <w:p>
      <w:r>
        <w:t>1053. Regarding the legal context, Hillshire argues that it would deprive the practices implemented within the Cercle des Amis by Sara Lee of anti-competitive object. However, it suffices to recall in this regard that, as stated in points 917 and following, it cannot be argued that the Dutreil circular or the Sarkozy commitment compelled companies to coordinate, within the framework of secret practices, on elements determining future prices.</w:t>
      </w:r>
    </w:p>
    <w:p>
      <w:r>
        <w:t>1054. Finally, regarding the anti-competitive effects of the practices, there is no need to examine this question at the stage of the legal qualification of the facts since the practices attributed to Sara Lee are qualified as infringements by object. The anti-competitive effects of the concerted practices will therefore be discussed during the determination of the amount of the sanction.</w:t>
      </w:r>
    </w:p>
    <w:p>
      <w:r>
        <w:t>Regarding the existence of two unique agreements</w:t>
      </w:r>
    </w:p>
    <w:p>
      <w:r>
        <w:t>1055. Hillshire contests that the concerted practices for which Sara Lee is held responsible constitute practices forming a unique agreement in the maintenance sector, on the one hand, and in the hygiene sector, on the other. It contests in this regard the existence of a global anti-competitive plan and the objective identity between the practices.</w:t>
      </w:r>
    </w:p>
    <w:p>
      <w:r>
        <w:t>1056. Regarding the existence of a global anti-competitive plan, it was explained in point 943 that all the concerted practices in the maintenance sector, on the one hand, and in the hygiene sector, on the other, respectively contributed to the realization of the same global plan. It must be noted that the concerted practices for which Sara Lee is held responsible, which also aimed to increase the transparency of commercial negotiation in order to maintain a margin level comparable to that achieved at the time of the Galland law, contributed to the realization of these overarching plans aimed at a single objective.</w:t>
      </w:r>
    </w:p>
    <w:p>
      <w:r>
        <w:t>1057. Regarding the objective identity between the practices, Hillshire emphasizes that the concerted practices implemented within the framework of the Cercle des Amis were not exactly identical to the practices of the Cercles Team HP or PCP. However, perfect identity is not required concerning the scope of the products involved, the nature of the practices, the participants in the exchanges, and the modalities of implementation of the practices. Consequently, Hillshire's arguments do not call into question the existence of a strong objective identity, which has been sufficiently demonstrated in points 946 and following, between the concerted practices constituting the unique agreements in the two sectors, notably those attributed to Sara Lee.</w:t>
      </w:r>
    </w:p>
    <w:p>
      <w:r>
        <w:t>1058. Thus, Hillshire is not justified in contesting the legal qualification of the practices for which Sara Lee is held responsible.</w:t>
      </w:r>
    </w:p>
    <w:p>
      <w:r>
        <w:t>Conclusion</w:t>
      </w:r>
    </w:p>
    <w:p>
      <w:r>
        <w:t>1059. It follows from the above that Sara Lee must be held responsible, in the maintenance sector, for the only concerted practices contrary to Article 81 of the EC Treaty, now Article 101 of the TFEU, and L. 420-1 of the Commercial Code: the practices organized within the framework of the Cercle des Amis (except for correspondences) and bilateral contacts, between September 21, 2004, and February 3, 2006. On the other hand, the company is not held responsible for the other concerted practices constituting the unique agreement in the maintenance sector.</w:t>
      </w:r>
    </w:p>
    <w:p>
      <w:r>
        <w:t>1060. It also follows from the above that Sara Lee must be held responsible, in the hygiene sector, for the only concerted practices contrary to Article 81 of the EC Treaty, now Article 101 of the TFEU, and L. 420-1 of the Commercial Code: the practices organized within the framework of the Cercle des Amis (except for correspondences) between September 21, 2004, and February 3, 2006. On the other hand, the company is not held responsible for the other concerted practices constituting the unique agreement in the hygiene sector.</w:t>
      </w:r>
    </w:p>
    <w:p>
      <w:r>
        <w:t>l) Bolton Solitaire</w:t>
      </w:r>
    </w:p>
    <w:p>
      <w:r>
        <w:t>1061. Active only in the maintenance products sector, the company Bolton Solitaire is only concerned by the unique agreement established in this sector. It contests certain elements relating to the materiality of the facts as well as their legal qualification.</w:t>
      </w:r>
    </w:p>
    <w:p>
      <w:r>
        <w:t>1062. As a preliminary point, it should be noted that Bolton Solitaire was notified of an allegation of participation in concerted practices constituting the unique agreement from July 30, 2003, to February 3, 2006. However, in the circumstances of the case, as requested by Bolton Solitaire, and given the almost complete absence of collusive contacts between July 30, 2003, and September 21, 2004, concerning it, Bolton Solitaire's participation in the agreement should only be retained from September 21, 2004, to February 3, 2006.</w:t>
      </w:r>
    </w:p>
    <w:p>
      <w:r>
        <w:t>On the materiality of the facts attributed to Bolton Solitaire</w:t>
      </w:r>
    </w:p>
    <w:p>
      <w:r>
        <w:t>Reminder of the findings</w:t>
      </w:r>
    </w:p>
    <w:p>
      <w:r>
        <w:t>1063. It emerges from the elements presented in the findings that Bolton Solitaire participated in the concerted practice organized within the framework of the Cercle des Amis (points 278 for the meetings and 319 for the correspondences) as well as in a bilateral contact (point 350). These exchanges took place between September 21, 2004, and February 3, 2006. Furthermore, no element indicates that Bolton Solitaire was aware of or could reasonably have been aware of the other concerted practices constituting the unique agreement in the maintenance sector.</w:t>
      </w:r>
    </w:p>
    <w:p>
      <w:r>
        <w:t>1064. The company participated in the "Friends" meetings on September 21, November 4, and December 3, 2004, January 14, February 17, March 17, April 14, May 12, October 27, and November 30, 2005, and February 3, 2006, that is to say, all the meetings of the Cercle des Amis dedicated to the maintenance sector for the period in question.</w:t>
      </w:r>
    </w:p>
    <w:p>
      <w:r>
        <w:t xml:space="preserve">1065. As recalled in the findings made in the first part of this decision, Bolton Solitaire participated in the following exchanges:  </w:t>
        <w:br/>
        <w:t xml:space="preserve">- Meeting of the "Friends" on September 21, 2004, during which the participating companies, including Bolton Solitaire, confirmed their position in favor of a weighted price decrease of 1% and a linear decrease of 1% (point 420), discussed the future cessation of the linear price discount of 1% (point 429), and exchanged views on the price increases planned for 2005 (point 472);  </w:t>
        <w:br/>
        <w:t xml:space="preserve">- Meeting of the "Friends" on November 4, 2004, during which the companies reached a consensus on abandoning the linear discount of 1% in 2005 (point 436), exchanged views on the future rate of price increase – including that of Bolton Solitaire – and the dates of increase for 2005 (point 476), on the future levels of drift for 2005 – including that of Bolton Solitaire (point 531) – these drift levels being close to each other;  </w:t>
        <w:br/>
        <w:t xml:space="preserve">- Meeting of the "Friends" on December 3, 2004, during which the participating companies exchanged views on the exit strategy from the commitment (point 437), on the level of future price increases for 2005 (with a strong homogeneity of increases, point 480), on the future levels of drift for 2005 (including that of Bolton Solitaire, point 534);  </w:t>
        <w:br/>
        <w:t xml:space="preserve">- Meeting of the "Friends" on January 14, 2005, during which the participating companies exchanged views on the requests for drifts from distributors (point 588);  </w:t>
        <w:br/>
        <w:t xml:space="preserve">- Meeting of the "Friends" on February 17, 2005, during which the participating companies discussed past price increases within the framework of the commitment (point 493), the drift offer rates (point 602), and the drift requests (point 588);  </w:t>
        <w:br/>
        <w:t>- Meeting of the "Friends" on March 17, 2005, during which the participating companies discussed the offers (point 602) and the drift requests (point 588);</w:t>
      </w:r>
    </w:p>
    <w:p>
      <w:r>
        <w:rPr>
          <w:b/>
        </w:rPr>
        <w:t>[Pages 205–207]</w:t>
      </w:r>
    </w:p>
    <w:p>
      <w:r>
        <w:t xml:space="preserve">- Meeting of the "Friends" on April 14, 2005, during which the participating companies discussed the offer rates (point 602) and demand rates (point 588);  </w:t>
        <w:br/>
        <w:t xml:space="preserve">- Meeting of the "Friends" on May 12, 2005, during which the participating companies discussed the offers (point 602) and demand requests (point 588);  </w:t>
        <w:br/>
        <w:t xml:space="preserve">- Bilateral contact on September 8, 2005, with SC Johnson (point 350) during which the two companies exchanged views on commercial cooperation rates;  </w:t>
        <w:br/>
        <w:t xml:space="preserve">- Meeting of the "Friends" on October 27, 2005, during which the participating companies, including Bolton Solitaire, exchanged views on the level of price increases already sent or not sent to distributors (Bolton Solitaire having not yet sent its prices), these increases showing a certain homogeneity (points 574 et seq.);  </w:t>
        <w:br/>
        <w:t xml:space="preserve">- Meeting of the "Friends" on November 30, 2005, during which the participating companies indicated whether the price increases – at an exceptionally high level – had been accepted by the distributors (point 565);  </w:t>
        <w:br/>
        <w:t xml:space="preserve">- Meeting of the "Friends" on February 3, 2006, during which the participating companies exchanged views on the distributors' demand requests (point 588) and the offer rates (point 602).  </w:t>
        <w:br/>
        <w:t xml:space="preserve">1066. Regarding the other exchanges observed throughout the period, it emerges from the findings that Bolton Solitaire participated in exchanges on the NIP, the status of negotiations, the general terms and conditions of sale, and the turnover figures.  </w:t>
        <w:br/>
        <w:t xml:space="preserve">1067. Concerning the exchanges on the NIP, which included discussions on future strategies, Bolton Solitaire participated in nearly all exchanges in the maintenance sector (point 623).  </w:t>
        <w:br/>
        <w:t xml:space="preserve">1068. Regarding the exchanges of information on the status of commercial negotiations, Bolton Solitaire actively participated in several meetings of the "Friends" during which this issue was addressed (points 631 et seq.).  </w:t>
        <w:br/>
        <w:t xml:space="preserve">1069. Regarding the exchanges on the general terms and conditions of sale and pricing, Bolton Solitaire participated in the exchange on pricing grids and the general terms and conditions of sale that took place within the framework of the Cercle des Amis (points 637 et seq.).  </w:t>
        <w:br/>
        <w:t xml:space="preserve">1070. Finally, regarding the exchanges related to turnover figures, Bolton Solitaire participated in the exchanges that took place within the framework of the Cercle des Amis (point 660).  </w:t>
        <w:br/>
        <w:t xml:space="preserve">Arguments of Bolton Solitaire  </w:t>
        <w:br/>
        <w:t xml:space="preserve">1071. Bolton Solitaire argues, first, that it never participated in bilateral contacts. However, Bolton Solitaire did participate in a bilateral contact on September 8, 2005, with SC Johnson (reference 10 334). Indeed, the commercial cooperation rates noted by its employee originate from SC Johnson, as the note is titled "Debrief Johnson." The former sales director of Bolton Solitaire, currently the managing director of the company, acknowledged the existence of this contact as he himself stated: "Mr. 14... must have met someone from Johnson." Therefore, Bolton Solitaire's contestation on this point must be dismissed.  </w:t>
        <w:br/>
        <w:t xml:space="preserve">1072. Bolton Solitaire argues, secondly, that its participation in exchanges on the general terms and conditions of sale is not reported. Mr. Eric N... (Bolton Solitaire) contested the existence of these exchanges within the Cercle des Amis: "I did not receive or transmit to the other participants, by mail or in person, any prices or general terms and conditions of sale" (reference 40 500). However, this statement does not withstand confrontation with the evidence in the file. In addition to the statements of other participants in the practice, the name of Bolton Solitaire appears in the meeting notes of Mr. Emmanuel 6... from February 17, 2005, in which the national clients manager of Laboratoires Vendôme noted to send to several companies, including Bolton Solitaire, its prices and general terms and conditions of sale (reference 13 814). Bolton Solitaire's participation in these exchanges is established.  </w:t>
        <w:br/>
        <w:t xml:space="preserve">1073. Bolton Solitaire argues, thirdly, that while it did announce a future price during the meetings of November 4, 2004, and October 27, 2005, it nonetheless sent its price within a timeframe of 1 to 5 days following these meetings, which did not allow it time to modify its price based on the information gathered during the meeting. However, this argument will be dismissed as a company can modify its price within such a timeframe, especially considering the IT tools at its disposal and the small number of recipients of the price. In any case, the company could have delayed sending its price to analyze the relevance of a modification of the proposed pricing grid.  </w:t>
        <w:br/>
        <w:t xml:space="preserve">1074. Bolton Solitaire argues, lastly, that for the year 2005, its price increase would not be homogeneous with those of the other companies participating in the meeting of October 27, 2005. However, the price increases being between 3.5% and 5% in the maintenance sector (point 575), the argument is factually lacking. But it is also irrelevant to the legal qualification of the facts as it is a concertation on prices and negotiation positions that is reproached to the company and not the joint setting of a price.  </w:t>
        <w:br/>
        <w:t xml:space="preserve">1075. It follows from the above that Bolton Solitaire is not justified in challenging the materiality of the facts for which it is reproached.  </w:t>
        <w:br/>
        <w:t xml:space="preserve">On the legal qualification of the facts reproached to Bolton Solitaire  </w:t>
        <w:br/>
        <w:t xml:space="preserve">1076. Bolton Solitaire argues, first, that given that it did not apply the Sarkozy commitment, its participation in certain exchanges could not have an anticompetitive object. However, notwithstanding its absence of signature of the commitment, Bolton Solitaire had an interest in coordinating its commercial policy with the signatories, so as not to be isolated in negotiations by proposing conditions that were out of line with those proposed by its competitors within the framework of the commitment. It was not unnecessary for Bolton Solitaire to anticipate the level of price reductions of its competitors to be able to adapt, hence the usefulness of participating in the exchange of information in question during the application period of the Sarkozy commitment.  </w:t>
        <w:br/>
        <w:t xml:space="preserve">1077. Bolton argues, secondly, that the practices are not anticompetitive by object since the data exchanged were not individualized by product and that the existence of a monitoring of practices would not be demonstrated.  </w:t>
        <w:br/>
        <w:t xml:space="preserve">1078. However, as stated in point 1049, the fact that the data exchanged, notably the price developments, were generally not communicated product by product does not undermine, on the contrary, the strategic nature of this data.  </w:t>
        <w:br/>
        <w:t xml:space="preserve">1079. Regarding the existence of a monitoring of practices, besides being superfluous to qualify the concerted practices as infringements by object, it is established, as stated in points 894 and 909, by the existence of exchanges on recent although past data (prices, general terms and conditions of sale, and turnover). Bolton Solitaire alleges that in the absence of a formal agreement on the price level, it is not possible to monitor, and thus sanction, a deviant behavior. However, the absence of an agreement on a common position does not prevent the finding of the existence of a deviant behavior, which consisted of a commercial policy not in line with that announced during the exchanges by the participants in the practices. It is perfectly possible to detect such deviant behaviors through exchanges on past data of prices, general terms and conditions of sale, and turnover, even in the absence of a formal agreement on the price level.  </w:t>
        <w:br/>
        <w:t xml:space="preserve">1080. Bolton Solitaire contests, lastly, the anticompetitive effects of the practices. But, as already stated, there is no need to examine this question at the stage of the legal qualification of the facts since the practices reproached to Bolton Solitaire are qualified as infringements by object. The anticompetitive effects of the concerted practices will therefore be discussed during the determination of the amount of the sanction.  </w:t>
        <w:br/>
        <w:t xml:space="preserve">1081. Thus, Bolton Solitaire is not justified in contesting the legal qualification of the practices for which it is held responsible.  </w:t>
        <w:br/>
        <w:t xml:space="preserve">Conclusion  </w:t>
        <w:br/>
        <w:t xml:space="preserve">1082. It follows from the above that Bolton Solitaire must be held responsible, in the maintenance products sector, for the only following concerted practices, contrary to Articles 81 of the EC Treaty, now Article 101 of the TFEU, and L. 420-1 of the Commercial Code: the practices that took place within the framework of the Cercle des Amis and the bilateral contact in which it participated between September 21, 2004, and February 3, 2006. On the other hand, the company is not held responsible for the other concerted practices constituting the single agreement in the maintenance sector.  </w:t>
        <w:br/>
        <w:t xml:space="preserve">m) L'Oréal  </w:t>
        <w:br/>
        <w:t xml:space="preserve">1083. The company L'Oréal, which is only active in the hygiene products sector, is only concerned with the single agreement in this sector. It contests the materiality of the facts for which it is reproached as well as their legal qualification.  </w:t>
        <w:br/>
        <w:t xml:space="preserve">On the materiality of the facts reproached to L'Oréal  </w:t>
        <w:br/>
        <w:t xml:space="preserve">Reminder of the findings  </w:t>
        <w:br/>
        <w:t xml:space="preserve">1084. It emerges from the findings that L'Oréal participated, between April 2003 and March 24, 2004, on the one hand, and between October 2005 and February 3, 2006, on the other hand, in the concerted practice organized within the framework of the Cercle Team PCP (points 254 for the meetings and 301 for the correspondences). Between October 2005 and February 3, 2006, the representative of L'Oréal within the Cercle Team PCP was Mr. Hervé 1..., an employee of Lascad, a subsidiary of L'Oréal.  </w:t>
        <w:br/>
        <w:t xml:space="preserve">1085. Furthermore, Lascad participated in the Cercle des Amis for the period from January 26 to February 3, 2006 (points 280 and 285).  </w:t>
        <w:br/>
        <w:t xml:space="preserve">1086. Regarding the meetings, L'Oréal participated in the Team PCP meetings on July 7, September 18, November 26, and December 2, 2003, March 24, 2004, November 9, December 7, 2005, and January 2006. Lascad participated in the meeting of the "Friends" on January 26, 2006, for a total of 9 meetings over a period of one year, one month, and 28 days.  </w:t>
        <w:br/>
        <w:t xml:space="preserve">1087. As recalled in the findings made in the first part of this decision, L'Oréal participated in the following exchanges:  </w:t>
        <w:br/>
        <w:t>- Team PCP meeting of July 7, 2003, during which the participating companies reached a consensus on the absence of reintegration of back margins into front margins, the absence of price differentiation between distributors, the sending of a</w:t>
      </w:r>
    </w:p>
    <w:p>
      <w:r>
        <w:rPr>
          <w:b/>
        </w:rPr>
        <w:t>[Pages 208–210]</w:t>
      </w:r>
    </w:p>
    <w:p>
      <w:r>
        <w:t xml:space="preserve">participated in the following exchanges:  </w:t>
        <w:br/>
        <w:t xml:space="preserve">- Team PCP Meeting of July 7, 2003, during which the participating companies reached a consensus on the absence of reintegration of back margins into front margins, the absence of price differentiation between distributors, the sending of a future price equal to inflation, and the upcoming strategy regarding drift (points 374 and 401);  </w:t>
        <w:br/>
        <w:t xml:space="preserve">- Team PCP Meeting of September 18, 2003, during which the participating companies – including L'Oréal – exchanged information on the level and date of their future price increase and the level of future drift (points 376 et seq. and 402);  </w:t>
        <w:br/>
        <w:t xml:space="preserve">- Team PCP Meeting of November 26, 2003 (point 262);  </w:t>
        <w:br/>
        <w:t xml:space="preserve">- Team PCP Meeting of December 2, 2003, during which the participating companies exchanged information on their general terms and conditions of sale (CGV), several companies having not yet sent their prices to distributors (points 379 et seq.);  </w:t>
        <w:br/>
        <w:t xml:space="preserve">- Team PCP Meeting of March 24, 2004, during which the participating companies – including L'Oréal – exchanged information on their past price increases (points 382 et seq.);  </w:t>
        <w:br/>
        <w:t xml:space="preserve">- Team PCP Meeting of November 9, 2005, during which the participating companies – including L'Oréal – exchanged information on the price increases sent to distributors (point 562), requests for drift (point 590), and offers of drift (point 610);  </w:t>
        <w:br/>
        <w:t xml:space="preserve">- Team PCP Meeting of December 7, 2005, during which the participating companies exchanged information on requests for drift (point 590);  </w:t>
        <w:br/>
        <w:t xml:space="preserve">- Team PCP Meeting of January 2006, during which the participating companies – including L'Oréal – exchanged information on requests (point 590) and offers of drift (points 605 et seq.).  </w:t>
        <w:br/>
        <w:t xml:space="preserve">1088. Lascad, for its part, participated in the "Friends" meeting of January 26, 2006, during which the participating companies – including Lascad – exchanged very precise information on past price increases, requests and offers of drift, and the status of negotiations by brand (points 568 et seq., 590, 609 et seq.).  </w:t>
        <w:br/>
        <w:t xml:space="preserve">1089. Regarding the other exchanges observed throughout the period, it emerges from the findings that L'Oréal participated in exchanges on the NIPs, the status of negotiations, the CGV, and the price lists, the turnover figures.  </w:t>
        <w:br/>
        <w:t xml:space="preserve">1090. As for the exchanges on the NIPs, which included discussions on future strategies, L'Oréal actively participated in the Team PCP meetings of December 2, 2003, November 9, and December 7, 2005 (points 624 et seq.). During the meeting of November 9, 2005, the participating companies – including L'Oréal – notably reached a genuine common position of refusal of BR2I.  </w:t>
        <w:br/>
        <w:t xml:space="preserve">1091. Regarding the exchanges of information on the status of commercial negotiations, L'Oréal participated in several Team PCP meetings during which this issue was addressed, Lascad having participated in the "Friends" meeting of January 26, 2006 (points 634 et seq.).  </w:t>
        <w:br/>
        <w:t xml:space="preserve">1092. Regarding the exchanges on general terms and conditions of sale and pricing, L'Oréal participated in the exchange on the pricing grids and the CGV that took place within the framework of the Cercle Team PCP (points 637 et seq.).  </w:t>
        <w:br/>
        <w:t>1093. Finally, regarding the exchanges related to turnover figures, L'Oréal participated in the exchanges that took place within the framework of the Cercle Team PCP (points 662 et seq.).</w:t>
      </w:r>
    </w:p>
    <w:p>
      <w:r>
        <w:t xml:space="preserve">Arguments of L'Oréal  </w:t>
        <w:br/>
        <w:t xml:space="preserve">1094. L'Oréal contests its presence at the meetings and the responsibility of L'Oréal (SA) for the period from October 2005 to February 3, 2006.  </w:t>
        <w:br/>
        <w:t xml:space="preserve">♦ Regarding presence at the meetings  </w:t>
        <w:br/>
        <w:t xml:space="preserve">1095. L'Oréal contests its participation in the Team PCP meetings of September 18 and November 26, 2003, March 24, 2004, and November 9, 2005.  </w:t>
        <w:br/>
        <w:t xml:space="preserve">1096. L'Oréal argues that the meeting of September 18, 2003, could not have taken place on the indicated date because the Team PCP meetings were held in the evening, which would exclude the possibility for Mr. Alain P..., sales director of Beiersdorf, to report to his sales manager, Mr. Benoît 2..., after the meeting. However, even if the meeting took place around 5:00-6:00 PM (the usual time for meetings), this timing allowed Mr. Alain P... to report to his subordinate. The existence of the meeting, which is not contested by any other company, and L'Oréal's participation in this exchange are demonstrated (point 262).  </w:t>
        <w:br/>
        <w:t xml:space="preserve">1097. L'Oréal contests having participated in the meeting of November 26, 2003, relying on the statements of Mr. Dominique W..., sales manager within the France consumer products division, and Mr. Alain P..., both of whom stated they did not know the restaurant "Le Finzi Haussman." However, these statements are not sufficient to dismiss the finding of the existence of this meeting, which was established from a contemporaneous piece of evidence and the statement of a leniency applicant. L'Oréal does not invoke any element to establish that the invoice produced by Henkel, containing the name of its employee, is a forgery and/or that its employee could not have participated in this dinner (point 262).  </w:t>
        <w:br/>
        <w:t xml:space="preserve">1098. L'Oréal contests having participated in the meeting of March 24, 2004, based on the existence of erroneous information regarding the nationality of Mr. Dominique W...'s successor in the meeting notes taken by Mr. Etienne X..., sales director of Vania. However, the confusion made by the note's author regarding Mr. 19...'s nationality cannot alone call into question L'Oréal's participation, which is established by two contemporaneous meeting minutes, a company statement from a leniency applicant, and a statement from an implicated party that unambiguously indicates the presence of Mr. Dominique W... at this meeting (point 262).  </w:t>
        <w:br/>
        <w:t>1099. L'Oréal contests that Mr. 1..., an employee of Lascad, was present at the meeting of November 9, 2005. Nevertheless, the meeting notes of Mr. Jean-François Q... from Colgate-Palmolive (references 765 and 766 of dossier 06/0019AC) and Mr. Frédéric T... from Henkel (references 454 to 457 of dossier 08/0084AC) contain confidential and precise information regarding the price changes that had been sent to distributors a few days earlier by each of the three entities of the L'Oréal group: Lascad, L'Oréal Paris, and Gemey Maybelline Garnier. Furthermore, these notes contain information regarding the progress of Lascad's commercial negotiations with distributors. Given the precision, nature, and number of the information related to Lascad, L'Oréal Paris, and Gemey Maybelline Garnier exchanged during this meeting, they could only have been communicated by an employee of the company. In addition, the presence of a representative of L'Oréal is confirmed by Henkel's company statement indicating that Lascad was present at the November 2005 meeting (references 747, 897, and 898 of dossier 08/0084AC). Mr. Hervé 1... being the only employee of L'Oréal who participated in the Team PCP meetings at that time, it is appropriate to conclude that he attended this meeting.</w:t>
      </w:r>
    </w:p>
    <w:p>
      <w:r>
        <w:t xml:space="preserve">♦ Regarding the responsibility of L'Oréal (SA) for the period from October 2005 to February 3, 2006  </w:t>
        <w:br/>
        <w:t xml:space="preserve">1100. First, L'Oréal (SA) and Lascad argue that L'Oréal (SA) is wrongly accused for the concerted practices implemented within the Cercle Team PCP, which, in 2005, would have been the sole responsibility of Lascad. The company relies on the fact that the person who participated in the practices (Mr. Hervé 1... for the Cercle Team PCP) was an employee of Lascad, not of L'Oréal (SA).  </w:t>
        <w:br/>
        <w:t xml:space="preserve">1101. In this regard, it should be noted that Mr. Dominique W... represented L'Oréal during the year 2003 and until the meeting of March 24, 2004. Mr. W... was, on the relevant dates, an employee of L'Oréal (SA) (the parent company of the L'Oréal group) where he held the position of sales manager within the "consumer products" division in France, responsible for marketing all of the L'Oréal group's products to large retailers. On March 24, 2004, the participation of the L'Oréal group in the Team PCP meetings temporarily ended, according to the statements of several participants, simultaneously with Mr. Dominique W...'s departure abroad.  </w:t>
        <w:br/>
        <w:t xml:space="preserve">1102. The participation in the Team PCP meetings, for the entire L'Oréal group, of Mr. Hervé 1..., sales director of Lascad, a subsidiary of L'Oréal (SA), during the second half of 2005 is established through numerous statements from participants (references 8 156 to 8 158 (VC) / references 46 775 to 46 777 (VNC)) and meeting notes.  </w:t>
        <w:br/>
        <w:t xml:space="preserve">1103. First, Henkel, specifying the modalities of participation in the Team PCP meetings of the L'Oréal group and the company Lascad, which is one of its subsidiaries, stated: "the L'Oréal group seems to have participated in meetings from late 2000/2001 to 2003, then in two or three meetings from 2003 to May 2005, and then from September 2005 to January 2006. The L'Oréal group was either directly represented by Dominique W... then by Mr. 20..., and/or represented through its subsidiary Lascad, itself represented by Hervé 1..." (reference 747 of dossier 08/0084AC). As for Mr. Jean-François Q... (Colgate-Palmolive), he indicated that, to his recollection, "Hervé 1... was not present solely on behalf of Lascad, but spoke on behalf of the L'Oréal group" (reference 39 848).  </w:t>
        <w:br/>
        <w:t xml:space="preserve">1104. Secondly, it appears from the case files that during the meeting of November 9, 2005, Mr. Hervé 1... communicated two types of information: information on the turnover and price increases of Lascad, L'Oréal Paris, and Gemey Maybelline Garnier, for which he was therefore speaking on behalf of the L'Oréal group, and information on relations with distributors for which he was only speaking on behalf of Lascad (references 897 and 898 of dossier 08/0084AC; reference 456 of dossier 08/0084AC).  </w:t>
        <w:br/>
        <w:t>1105. Thirdly, it is noteworthy that there is a functional link between Lascad and its parent company through the France consumer products division, which makes the boundaries between the different businesses of the group particularly porous and shows their interdependence. In this regard, Mr. Hervé 1... presented himself during his first hearing before the inspectors of the DNECCRF as an employee of the L'Oréal group, which tends to confirm his "dual role" during the Team PCP meetings: "I have been with the L'Oréal group for 22 years (...) and have held the position of sales director at Lascad since March 2003 (...). I am part of the public products division (i.e., consumer goods) within the L'Oréal group, (...) I have been a sales director for thirteen years within the L'Oréal group. My hierarchical superior is (...) and above him is Alexandre 19..., who is the general director of public products in France [within L'Oréal]" (references 22 732 and 22 733 (VC) / references 44 135 and 44 136 (VNC).</w:t>
      </w:r>
    </w:p>
    <w:p>
      <w:r>
        <w:rPr>
          <w:b/>
        </w:rPr>
        <w:t>[Pages 211–213]</w:t>
      </w:r>
    </w:p>
    <w:p>
      <w:r>
        <w:t>1106. Thus, L'Oréal participated in the Team PCP meetings during at least two periods: between the beginning of the practices and March 24, 2004, through Mr. Dominique W..., who was at that time an employee of the parent company of the group, L'Oréal (SA); from the last quarter of 2005 (the first meeting attended by Mr. Hervé 1... dates from November 2005, but it is established that he participated in correspondence within the Cercle Team PCP as early as October 2005) and until the end of the practice, through Mr. Hervé 1..., who did not act solely as a representative of the single company Lascad, but represented all three companies of the L'Oréal group.</w:t>
      </w:r>
    </w:p>
    <w:p>
      <w:r>
        <w:t>1107. Secondly, L'Oréal argues that, regarding both Mr. Dominique W... and Mr. Hervé 1..., their participation in the practices was a personal initiative of which their hierarchy was unaware, or even, in the case of Mr. Hervé 1..., which was deliberately concealed.</w:t>
      </w:r>
    </w:p>
    <w:p>
      <w:r>
        <w:t>1108. It is established case law that a company executive who participates in a meeting concerning the activities of the company that employs him is deemed to represent or bind that company. To establish a company's participation in an agreement reached during secret meetings, it is not necessary to determine whether the person representing it at those meetings held a specific mandate or authority for that purpose, but only to establish, based on a set of sufficiently serious, precise, and consistent indicators, that the company was indeed present at those meetings (Court of Appeal of Paris, Sté Colgate-Palmolive Services, January 30, 2014, p.26).</w:t>
      </w:r>
    </w:p>
    <w:p>
      <w:r>
        <w:t>1109. In this case, Messrs. Dominique W... and Hervé 1... represented the L'Oréal group as they behaved as representatives of the group, notably by communicating information about the commercial conditions of each of the subsidiaries active in the consumer goods sector. As for Mr. Jérôme 10..., he represented Lascad at the "Friends" meetings. Three different employees thus participated in meetings of an anticompetitive nature, the first being in charge of the homogenization of commercial agreements for all the group's businesses (Mr. Dominique W...), the second being the sales director of one of the two subsidiaries (Mr. Hervé 1... under the responsibility of the general director of consumer products France of the L'Oréal group), and the third being responsible for brands in one of these subsidiaries (Mr. Jérôme 10...). Given the responsibilities of these individuals, all the information communicated and collected by these different employees allowed L'Oréal to develop its commercial strategy. Under these conditions, even assuming that the superiors of Messrs. W..., 1..., and 10... were not informed of their employees' actions, which is not demonstrated, the participation of the company L'Oréal in the practices is established.</w:t>
      </w:r>
    </w:p>
    <w:p>
      <w:r>
        <w:t>1110. It follows from the above that L'Oréal is not justified in challenging the materiality of the facts attributed to it.</w:t>
      </w:r>
    </w:p>
    <w:p>
      <w:r>
        <w:t>On the legal qualification of the facts attributed to L'Oréal</w:t>
      </w:r>
    </w:p>
    <w:p>
      <w:r>
        <w:t>Regarding the concerted practices with an anticompetitive object</w:t>
      </w:r>
    </w:p>
    <w:p>
      <w:r>
        <w:t>1111. L'Oréal contests the anticompetitive object of the practices attributed to it. It notably argues that the exchanges would have concerned global data by sector of activity, which would lack strategic character, but also that the existence of a monitoring system for the practices has not been demonstrated. Finally, it contests the anticompetitive effects of the practices.</w:t>
      </w:r>
    </w:p>
    <w:p>
      <w:r>
        <w:t>1112. Regarding the circumstance that the coordination concerned price determinants at a global level, the argument will be dismissed for the reasons indicated in point 1049.</w:t>
      </w:r>
    </w:p>
    <w:p>
      <w:r>
        <w:t>1113. Nevertheless, L'Oréal asserts that its negotiations with retail chains did not take place based on global categories, but on finer segments, due to the group's wide portfolio of brands. However, the analysis of the documents provided by L'Oréal shows that the segments mentioned remain large categories encompassing very many product lines, which confirms that the negotiation with the retail chains did not occur based on a line-by-line positioning. Moreover, the examples provided by L'Oréal of its agreements with Galec show that the three categories mentioned (Makeup, Hair Color, and Perfumes) fell under the same sector (1313 Perfumery/Cosmetics), were negotiated by the same team (number 02), with the same signatory (Mr. 21...) and the same contact person (E. 22...). Similarly, all categories of Gemey Maybelline products were negotiated with Carrefour under a single contract, even if the amounts of commercial cooperation could slightly vary from one segment to another. Therefore, the fact that negotiations with certain distributors may have, where applicable, resulted in slightly distinguishing the amount of commercial cooperation based on product segments narrower than the hygiene products sector does not call into question the strategic nature of the exchanged data.</w:t>
      </w:r>
    </w:p>
    <w:p>
      <w:r>
        <w:t>1114. Regarding the existence of a monitoring system, the argument must be dismissed for the reasons indicated in point 1079.</w:t>
      </w:r>
    </w:p>
    <w:p>
      <w:r>
        <w:t>1115. Finally, regarding the anticompetitive effects of the practices, there is no need to examine this question at the stage of the legal qualification of the facts since the practices attributed to L'Oréal are qualified as infringements by object. The anticompetitive effects of the concerted practices will therefore be discussed when determining the amount of the sanction.</w:t>
      </w:r>
    </w:p>
    <w:p>
      <w:r>
        <w:t>Regarding the existence of a single agreement</w:t>
      </w:r>
    </w:p>
    <w:p>
      <w:r>
        <w:t>1116. Firstly, L'Oréal contests that the concerted practices attributed to it are part of a single agreement. It first argues that its adherence to an "overall plan" aimed at a single objective would have "required a certain form of organization and systematization of the participation [of L'Oréal S.A. and Lascad]" which has not been demonstrated. Furthermore, the absence of L'Oréal's participation in the practices that took place within the framework of the Sarkozy commitment, "a pivotal period in the implementation of the plan," would demonstrate that the company could not have adhered to the overall plan identified by the investigation services.</w:t>
      </w:r>
    </w:p>
    <w:p>
      <w:r>
        <w:t>1117. However, by participating in the practices that took place within the framework of the Cercle Team PCP between April 2003 and March 24, 2004, and between October 2005 and February 3, 2006, and in the practices that took place within the framework of the Cercle des Amis between January 26, 2006, and February 3, 2006, L'Oréal contributed to the continuation of this overall plan. The company indeed communicated and received information on the main parameters of the pricing policy, notably on its price changes and deviations (deviation objectives, demand or supply) at the end of 2003 and the beginning of 2004, as well as at the end of 2005 and the beginning of 2006. It also exchanged information on the progress of its negotiations with distributors and on its turnover. All these exchanges contributed, notwithstanding the interruption of its participation in the practices between March 24, 2004, and October 2005, to improving its individual negotiation position with respect to its clients, and to maintaining a margin level close to that which it generated at the time of the Galland law. Consequently, L'Oréal is not justified in claiming that the practices attributed to it did not contribute to the realization of the "overall plan" aimed at a single objective described previously.</w:t>
      </w:r>
    </w:p>
    <w:p>
      <w:r>
        <w:t>1118. L'Oréal further argues that it is not established that by participating in the practices between October 2005 and February 2006, the company intended to resume its participation in the practices in which it had ceased to participate at the beginning of 2004. However, in this case, in 2005, L'Oréal did indeed resume its participation in concerted practices identical to those in which it had participated until March 2004. Indeed, the Team PCP meetings in which L'Oréal participated in 2003 and 2004, through Mr. Dominique W..., and in 2005 and 2006, through Mr. Hervé 1..., are identical in their content, participants, and anticompetitive purposes (same subjects, same clients, etc.). Under these circumstances, L'Oréal cannot claim to have been unaware of participating in the same infringement as before.</w:t>
      </w:r>
    </w:p>
    <w:p>
      <w:r>
        <w:t>1119. Thus, L'Oréal is not justified in contesting the legal qualification of the practices for which it is held responsible.</w:t>
      </w:r>
    </w:p>
    <w:p>
      <w:r>
        <w:t>Conclusion</w:t>
      </w:r>
    </w:p>
    <w:p>
      <w:r>
        <w:t>1120. It follows from the above that L'Oréal must be held responsible, in the hygiene sector, for the only concerted practices that are contrary to Article 81 of the EC Treaty, now Article 101 of the TFEU, and L. 420-1 of the Commercial Code:</w:t>
        <w:br/>
        <w:t>- the practices organized within the framework of the Cercle Team PCP between April 2003 and March 24, 2004, and between October 2005 and February 3, 2006;</w:t>
        <w:br/>
        <w:t>- the practices organized within the framework of the Cercle des Amis between January 26, 2006, and February 3, 2006.</w:t>
      </w:r>
    </w:p>
    <w:p>
      <w:r>
        <w:t>1121. On the other hand, L'Oréal is not held responsible for the other concerted practices constituting the single agreement in the hygiene sector.</w:t>
      </w:r>
    </w:p>
    <w:p>
      <w:r>
        <w:t>1122. It also follows from the above that Lascad must be held responsible, in the hygiene sector, for the only concerted practices that are contrary to Article 81 of the EC Treaty, now Article 101 of the TFEU, and L. 420-1 of the Commercial Code:</w:t>
        <w:br/>
        <w:t>- the practices organized within the framework of the Cercle Team PCP between October 2005 and February 3, 2006;</w:t>
        <w:br/>
        <w:t>- the practices organized within the framework of the Cercle des Amis (meetings) from January 26 to February 3, 2006.</w:t>
      </w:r>
    </w:p>
    <w:p>
      <w:r>
        <w:t>1123. On the other hand, Lascad is not held responsible for the other concerted practices constituting the single agreement in the hygiene sector.</w:t>
      </w:r>
    </w:p>
    <w:p>
      <w:r>
        <w:t>E. THE ATTRIBUTION OF PRACTICES</w:t>
      </w:r>
    </w:p>
    <w:p>
      <w:r>
        <w:t>1. PRINCIPLES</w:t>
      </w:r>
    </w:p>
    <w:p>
      <w:r>
        <w:t>1124. The notion of a company and the rules of attribution fall under the material rules of Union competition law. The interpretation given by the Union courts therefore binds the national competition authority and national courts when they apply Articles 101 and 102 of the TFEU alongside the internal competition rules of the Commercial Code (judgments of the Court of Justice of June 4, 2009, T-Mobile Netherlands BV, cited above, points 49 and 50, and of the Court of Appeal of Paris of March 29, 2012, Lacroix Signalisation et al., cited above, p. 18).</w:t>
      </w:r>
    </w:p>
    <w:p>
      <w:r>
        <w:rPr>
          <w:b/>
        </w:rPr>
        <w:t>[Pages 214–216]</w:t>
      </w:r>
    </w:p>
    <w:p>
      <w:r>
        <w:t xml:space="preserve">a) Attribution within a group of companies  </w:t>
        <w:br/>
        <w:t xml:space="preserve">1125. It follows from consistent case law that Articles 101 of the TFEU and L. 420-1 of the Commercial Code target infringements committed by companies.  </w:t>
        <w:br/>
        <w:t xml:space="preserve">1126. The notion of a company must be understood as designating an economic unit, even if, from a legal point of view, it is composed of several natural or legal persons. It is this economic entity that must, when it infringes competition rules, be held accountable for that infringement, in accordance with the principle of personal liability (judgments of the Court of Justice of September 10, 2009, Akzo Nobel e.a./Commission, C-97/08 P, Rec. 2009 p. I-8237, paragraphs 54 to 57, and of the Court of Appeal of Paris of March 29, 2012, Lacroix Signalisation e.a., cited above, p. 18).  </w:t>
        <w:br/>
        <w:t xml:space="preserve">1127. While the notion of a company is not identical to that of a legal person, it is necessary, for the application and enforcement of decisions by the competition authority, to identify one or more entities with legal personality that will be the recipients of the act. The infringement of competition law must be unequivocally attributed to one or more legal persons that may be subject to fines (judgment Akzo Nobel e.a./Commission, cited above, paragraph 57).  </w:t>
        <w:br/>
        <w:t xml:space="preserve">1128. Within a group of companies, the behavior of a subsidiary can be attributed to the parent company, particularly when, despite having a distinct legal personality, the subsidiary does not autonomously determine its behavior in the market but essentially follows the instructions given by the parent company, especially considering the economic, organizational, and legal links that unite these two legal entities. In such a situation, the parent company and its subsidiary are part of the same economic unit and, therefore, constitute a single company for the purposes of Union competition law. Under these conditions, a decision imposing fines can be addressed to the parent company, without the need to establish the personal involvement of the latter in the infringement (judgments Akzo Nobel e.a./Commission, cited above, paragraphs 58 and 59, and Lacroix Signalisation e.a., cited above, pp. 18 and 19).  </w:t>
        <w:br/>
        <w:t xml:space="preserve">1129. In the particular case where a parent company holds, directly or indirectly, all or almost all of the capital of its subsidiary that has engaged in infringing behavior, there is a rebuttable presumption that this parent company effectively exerts a determining influence over the behavior of its subsidiary. In this scenario,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 (judgments Akzo Nobel e.a./Commission, cited above, paragraphs 60 and 61, and Lacroix Signalisation e.a., cited above, p. 19).  </w:t>
        <w:br/>
        <w:t>1130. The fact that a joint subsidiary is held 50% by each of the two parent companies does not prevent the establishment of the existence of a determining influence exercised jointly by these two parent companies over their joint subsidiary, provided it is demonstrated that due to the economic, organizational, and legal links existing between the subsidiary and its two parent companies, the latter jointly exert a determining influence over their subsidiary (judgments of February 2, 2012, EI du Pont de Nemours and Company and others v. Commission, case T-76/08, paragraph 74 and The Dow Chemical Company, case T-77/08, paragraph 89).</w:t>
      </w:r>
    </w:p>
    <w:p>
      <w:r>
        <w:t xml:space="preserve">b) Attribution of the infringement in the event of transformation of the company  </w:t>
        <w:br/>
        <w:t xml:space="preserve">1131. When the existence of an infringement is established, it is necessary to determine the natural or legal person who was responsible for the operation of the company at the time the infringement was committed so that they can be held accountable for it (Court of Justice, July 8, 1999, Commission/Anic Partecipazioni, cited above, paragraph 47).  </w:t>
        <w:br/>
        <w:t xml:space="preserve">1132. As long as the legal person responsible for the operation of the company that engaged in practices infringing competition rules legally exists, it is that person who must be held responsible for these practices. In particular, it continues to be so even if the material and human resources that contributed to the commission of the infringement have been transferred to a third party (judgments of the Court of Justice of July 8, 1999, Commission/Anic Partecipazioni, cited above, paragraphs 47 to 49, and of the Court of Cassation of November 20, 2001, SACER e.a., no. 99-16776 and 99-18253).  </w:t>
        <w:br/>
        <w:t xml:space="preserve">1133. If the legal person responsible for the operation of the company has changed its name or legal form, it nonetheless continues to be liable for the infringement committed (Court of Justice, January 7, 2004, Aalborg Portland e.a./Commission, cited above, paragraph 59).  </w:t>
        <w:br/>
        <w:t xml:space="preserve">1134. Conversely, when the legal person responsible for the operation of the company that committed the practices has ceased to exist legally, it is necessary to determine the legal person that ensures its economic continuity (judgments of the Tribunal of December 17, 1991, Enichem Anic/Commission, T-6/89, Rec. p. II-1623, paragraph 237, of December 14, 2006, Raiffeisen Zentralbank Österreich e.a./Commission, cited above, paragraph 325, and of the Court of Cassation of June 23, 2004, BNP Paribas e.a., no. 01-17896 and 02-10066).  </w:t>
        <w:br/>
        <w:t>1135. When the legal person responsible for the operation of the company ceases to exist due to being absorbed by a purchaser, the practices for which the absorbed company is responsible are attributed to the legal person that absorbed it (judgment of the Tribunal of December 14, 2006, Raiffeisen Zentralbank Österreich e.a./Commission, cited above, paragraph 326). The same may also apply to the company resulting from the merger between the perpetrator of the practices and another entity.</w:t>
      </w:r>
    </w:p>
    <w:p>
      <w:r>
        <w:t xml:space="preserve">2. APPLICATION TO THE CASE AT HAND  </w:t>
        <w:br/>
        <w:t xml:space="preserve">1136. The following developments analyze the attribution of the practices. For the companies in the procedure of not contesting the allegations, the attribution of the practices is recalled below for the sake of clarity.  </w:t>
        <w:br/>
        <w:t xml:space="preserve">a) The Unilever group  </w:t>
        <w:br/>
        <w:t xml:space="preserve">1137. Regarding the practices for which the company Unilever is held responsible, the legal entities implicated in this case do not contest the allegations.  </w:t>
        <w:br/>
        <w:t xml:space="preserve">1138. From 2003 to April 2005, the hygiene and body care products, as well as the maintenance products of the Unilever group, were marketed in France by the company Lever Fabergé France, which is the perpetrator of the practices for this period (references 39 466 to 39 474, 45 141 and 45 142).  </w:t>
        <w:br/>
        <w:t xml:space="preserve">1139. On March 12, 2007, Lever Fabergé France changed its name to become Unilever France Home and Personal Care Société Industrielle (UF HPC SI). As of August 31, 2009, UF HPC SI transferred its commercial and industrial activities to the company Unilever France Home and Personal Care Industries (UF HPC Industries), after which UF HPC SI was absorbed by the company Topaze. The company Topaze is the legal successor of the perpetrator of the practices for the period from 2003 to April 2005.  </w:t>
        <w:br/>
        <w:t xml:space="preserve">1140. During the period from 2003 to 2005, the head of the Unilever group in France held 99.99% of the capital of Lever Fabergé France. In 2005, the head of the group changed its name to become Unilever France Holdings, a name it still holds today. It is a SAS.  </w:t>
        <w:br/>
        <w:t xml:space="preserve">1141. On April 3, 2005, Lever Fabergé France entrusted its marketing activity for maintenance and personal hygiene products to the company Unilever Bestfoods France, which became Unilever France on this occasion, which is a SAS. This latter has not changed its name or designation since that date. It is the perpetrator of the practices from April 3, 2005.  </w:t>
        <w:br/>
        <w:t xml:space="preserve">1142. Furthermore, from April 3, 2005, until 2006, the company Unilever France, responsible for marketing the hygiene and maintenance products of the group, was 100% owned by the company Topaze, which was an SA and became a SAS in 2011, itself held 99.99% by Unilever France Holdings. This latter company still exists today.  </w:t>
        <w:br/>
        <w:t xml:space="preserve">1143. Finally, Unilever France Holdings was held, equally, indirectly, by Unilever NV and Unilever PLC. The investigation did not establish the determining influence of the latter on the perpetrator of the practices and its French parent company.  </w:t>
        <w:br/>
        <w:t xml:space="preserve">1144. The allegations are attributed to the following companies:  </w:t>
        <w:br/>
        <w:t xml:space="preserve">- Topaze until April 3, 2005, as the legal successor of the perpetrator of the practices during this period;  </w:t>
        <w:br/>
        <w:t xml:space="preserve">- Unilever France from April 3, 2005, as the perpetrator of the practices from that date;  </w:t>
        <w:br/>
        <w:t>- Unilever France Holdings for the entire duration of the practice, as the French parent company of the perpetrators of the practices.</w:t>
      </w:r>
    </w:p>
    <w:p>
      <w:r>
        <w:t xml:space="preserve">b) The Procter &amp; Gamble group  </w:t>
        <w:br/>
        <w:t xml:space="preserve">Regarding the practices committed by the company Procter &amp; Gamble  </w:t>
        <w:br/>
        <w:t xml:space="preserve">1145. Regarding the practices for which the company Procter &amp; Gamble is held responsible, the legal entities implicated in this case do not contest the allegations.  </w:t>
        <w:br/>
        <w:t xml:space="preserve">1146. During the period from 2003 until December 2004, Procter &amp; Gamble France, the perpetrator of the practices, was the entity responsible, among other things, for marketing maintenance and personal hygiene products in France. It was a SNC. In December 2004, Procter &amp; Gamble France was transformed into a SAS. This company has since marketed all of the group's products in France (references 39 433 to 39 455, 39 428 to 39 431).  </w:t>
        <w:br/>
        <w:t xml:space="preserve">1147. Between 2003 and December 31, 2004, the company Procter &amp; Gamble France was 99.9% owned by the head of the group in France, now named Procter &amp; Gamble Holding France, which is a SAS. On December 31, 2004, this ownership, which still persists today, became 100%. Procter &amp; Gamble France is therefore now a single-member company.  </w:t>
        <w:br/>
        <w:t>1148. The French holding company, Procter &amp; Gamble Holding France, has always been controlled, directly or indirectly, by The Procter &amp; Gamble Company, the head of the group at the global level.</w:t>
      </w:r>
    </w:p>
    <w:p>
      <w:r>
        <w:rPr>
          <w:b/>
        </w:rPr>
        <w:t>[Pages 217–219]</w:t>
      </w:r>
    </w:p>
    <w:p>
      <w:r>
        <w:t xml:space="preserve">1149. The allegations are attributed to the following companies:  </w:t>
        <w:br/>
        <w:t xml:space="preserve">- Procter &amp; Gamble France in its capacity as the author of the practices;  </w:t>
        <w:br/>
        <w:t xml:space="preserve">- Procter &amp; Gamble Holding France in its capacity as the French parent company of the author of the practices;  </w:t>
        <w:br/>
        <w:t>- The Procter &amp; Gamble Company in its capacity as the ultimate parent company of the author of the practices.</w:t>
      </w:r>
    </w:p>
    <w:p>
      <w:r>
        <w:t xml:space="preserve">On the practices committed by the company Gillette  </w:t>
        <w:br/>
        <w:t xml:space="preserve">1150. Regarding the practices for which the company Gillette is held responsible, the legal entities implicated in this case do not contest the allegations.  </w:t>
        <w:br/>
        <w:t xml:space="preserve">1151. The company Groupe Gillette France (SASU), the entity responsible for marketing Gillette products in France from 2003 until March 2006 (the date of the merger of the commercial teams of Gillette and Procter &amp; Gamble), was absorbed by Procter &amp; Gamble France, SAS unipersonnelle, on January 1, 2007.  </w:t>
        <w:br/>
        <w:t xml:space="preserve">1152. Before January 1, 2007, the date of the merger of Groupe Gillette France by Procter &amp; Gamble France, three periods must be distinguished:  </w:t>
        <w:br/>
        <w:t xml:space="preserve">- between 2003 and November 8, 2005, the company Groupe Gillette France was almost entirely owned by The Gillette Company. The Gillette Company merged with The Procter &amp; Gamble Company in October 2005 and no longer has legal existence as of today.  </w:t>
        <w:br/>
        <w:t xml:space="preserve">- from November 8, 2005, the company Groupe Gillette France was sold to subsidiaries of the Procter &amp; Gamble group controlled, indirectly, by The Procter &amp; Gamble Company.  </w:t>
        <w:br/>
        <w:t xml:space="preserve">- as of November 30, 2005, Groupe Gillette France was controlled by Procter &amp; Gamble services Neuilly, the parent company of the Procter &amp; Gamble group in France, currently named Procter &amp; Gamble Holding France, which is itself indirectly controlled by The Procter &amp; Gamble Company.  </w:t>
        <w:br/>
        <w:t xml:space="preserve">1153. The allegations are attributed to the following companies:  </w:t>
        <w:br/>
        <w:t xml:space="preserve">- Procter &amp; Gamble France in its capacity as the legal successor of the author of the practice for its entire duration;  </w:t>
        <w:br/>
        <w:t xml:space="preserve">- Procter &amp; Gamble Holding France from November 30, 2005, in its capacity as the French parent company of the author of the practice;  </w:t>
        <w:br/>
        <w:t>- The Procter &amp; Gamble Company for the entire duration of the practice: in its capacity as the legal successor of The Gillette Company (direct parent of the author of the practice before November 8, 2005), then in its capacity as the ultimate parent company of the author of the practice between November 8, 2005, and the end of the practices.</w:t>
      </w:r>
    </w:p>
    <w:p>
      <w:r>
        <w:t xml:space="preserve">c) The Henkel group  </w:t>
        <w:br/>
        <w:t xml:space="preserve">1154. Regarding the practices for which the company Henkel is held responsible, the legal entities implicated in this case do not contest the allegations.  </w:t>
        <w:br/>
        <w:t xml:space="preserve">1155. The company Henkel France SA provided cleaning and hygiene products to large retailers between 2003 and 2006 without any change in form or corporate name. Furthermore, Henkel France has not experienced any changes,  </w:t>
        <w:br/>
        <w:t xml:space="preserve">nor in name, nor in corporate form, since the end of the identified practices until today (references 39 794 to 39 800).  </w:t>
        <w:br/>
        <w:t xml:space="preserve">1156. From 2003 to 2006, the capital of this French company was held, at 99.9 or 100%, by an intermediate structure, which was itself 100% owned by the parent company Henkel KGaA. Since the end of the practices, the latter has not changed its corporate form but changed its name following the general meeting of April 14, 2008, and is now named Henkel AG &amp; Co. KGaA.  </w:t>
        <w:br/>
        <w:t xml:space="preserve">1157. The allegations are attributed to:  </w:t>
        <w:br/>
        <w:t xml:space="preserve">- the company Henkel France as the author of the practice;  </w:t>
        <w:br/>
        <w:t>- the company Henkel AG &amp; Co. KGaA as the ultimate parent company of the author.</w:t>
      </w:r>
    </w:p>
    <w:p>
      <w:r>
        <w:t xml:space="preserve">d) The Colgate-Palmolive group  </w:t>
        <w:br/>
        <w:t xml:space="preserve">1158. Regarding the practices for which the company Colgate-Palmolive is held responsible, the legal entities implicated in this case do not contest the allegations.  </w:t>
        <w:br/>
        <w:t xml:space="preserve">1159. For the period between 2003 and 2004, a single company was responsible for marketing detergent and personal hygiene products in France and served as the holding company for the other companies in the Colgate-Palmolive group in France: it was Colgate-Palmolive (SA), which became Colgate-Palmolive Services (SA) in 2005 (references 39 457 to 39 464).  </w:t>
        <w:br/>
        <w:t xml:space="preserve">1160. The control of the parent company Colgate-Palmolive Company over Colgate-Palmolive (SA) was exercised as follows: it held 100% of Colgate-Palmolive International Inc, whose French branch held 100% of the capital of Colgate-Palmolive (SA).  </w:t>
        <w:br/>
        <w:t xml:space="preserve">1161. From January 2005, the company Colgate-Palmolive (SA), which became Colgate-Palmolive Services (SA), ceased to market detergent products, cleaning products, personal hygiene products, and body care products of the Colgate-Palmolive group in France. This role was assigned to the company Colgate-Palmolive (SASU), which was 100% owned by Colgate-Palmolive (SA), now Colgate-Palmolive Services (SA).  </w:t>
        <w:br/>
        <w:t xml:space="preserve">1162. Since that date, the control of the parent company over the French companies has not changed and is exercised through the intermediate companies described above.  </w:t>
        <w:br/>
        <w:t xml:space="preserve">1163. The allegations are attributed to the following companies:  </w:t>
        <w:br/>
        <w:t xml:space="preserve">- the company Colgate-Palmolive, as the author of the practices from January 1, 2005;  </w:t>
        <w:br/>
        <w:t xml:space="preserve">- the company Colgate-Palmolive Services, as the author of the practices for the period prior to January 1, 2005, and as the French parent company of the author of the practices for the period between January 1, 2005, and the end of the practices;  </w:t>
        <w:br/>
        <w:t>- the company Colgate-Palmolive Company as the ultimate parent company for the entire duration of the practices.</w:t>
      </w:r>
    </w:p>
    <w:p>
      <w:r>
        <w:t xml:space="preserve">e) The Beiersdorf group  </w:t>
        <w:br/>
        <w:t xml:space="preserve">1164. Regarding the practices for which the company Beiersdorf is held responsible, the legal entities implicated in this case do not contest the allegations.  </w:t>
        <w:br/>
        <w:t xml:space="preserve">1165. Since 2003, the marketing in France of hygiene and body care products for large and medium-sized retailers has been ensured, within the Beiersdorf group, by the company Beiersdorf SA. On January 30, 2009, this company changed its corporate form and became Beiersdorf SAS. It has not undergone any changes in form or corporate name since that date (references 39 519 to 39 536).  </w:t>
        <w:br/>
        <w:t xml:space="preserve">1166. The company Beiersdorf SA (now Beiersdorf SAS) was 99% owned by Beiersdorf Holding France SARL until June 28, 2008, when the ownership became 99.89%. Furthermore, since 2003, Beiersdorf Holding France SARL has itself been 99.99% owned by Beiersdorf AG.  </w:t>
        <w:br/>
        <w:t xml:space="preserve">1167. The allegations are attributed to the following companies:  </w:t>
        <w:br/>
        <w:t xml:space="preserve">- the company Beiersdorf SAS, as the author of the practices;  </w:t>
        <w:br/>
        <w:t xml:space="preserve">- the company Beiersdorf Holding France SARL as the French parent company of the author of the practices;  </w:t>
        <w:br/>
        <w:t>- the company Beiersdorf AG as the ultimate parent company of the author of the practices.</w:t>
      </w:r>
    </w:p>
    <w:p>
      <w:r>
        <w:t xml:space="preserve">f) The Reckitt Benckiser group  </w:t>
        <w:br/>
        <w:t xml:space="preserve">1168. Regarding the practices for which the company Reckitt Benckiser is held responsible, the legal entities implicated in this case do not contest the allegations.  </w:t>
        <w:br/>
        <w:t xml:space="preserve">1169. Since 2003, the marketing of cleaning products and hygiene and body care products has been ensured, within the Reckitt Benckiser group, by the company Reckitt Benckiser France, which is a SAS. It has not changed its name or corporate form (references 39 578 to 39 707, 39 729 to 39 737, and 45 148).  </w:t>
        <w:br/>
        <w:t xml:space="preserve">1170. Throughout the period, from 2003 to today, the company Reckitt Benckiser France was 100% owned by the company RB Holding France (SAS). In April 2010, the latter was renamed RB Holding Southern Europe and transformed into a general partnership.  </w:t>
        <w:br/>
        <w:t xml:space="preserve">1171. Regarding the control structure of the French companies, from June 2003 until 2006, the company RB Holding France (now RB Holding Southern Europe) was itself indirectly 100% owned by Reckitt Benckiser PLC, through intermediary companies. Reckitt Benckiser PLC still exists today.  </w:t>
        <w:br/>
        <w:t xml:space="preserve">1172. The allegations are attributed to the following companies:  </w:t>
        <w:br/>
        <w:t xml:space="preserve">- the company Reckitt Benckiser France, as the author of the practices;  </w:t>
        <w:br/>
        <w:t xml:space="preserve">- the company RB Holding Southern Europe, as the French parent company of the author of the practices;  </w:t>
        <w:br/>
        <w:t>- the company Reckitt Benckiser PLC, as the ultimate parent company.</w:t>
      </w:r>
    </w:p>
    <w:p>
      <w:r>
        <w:t xml:space="preserve">g) The Laboratoires Vendôme group  </w:t>
        <w:br/>
        <w:t>1173. Regarding the practices for which the company Laboratoires Vendôme is held responsible, the legal entity implicated in this case does not contest the allegations.</w:t>
      </w:r>
    </w:p>
    <w:p>
      <w:r>
        <w:rPr>
          <w:b/>
        </w:rPr>
        <w:t>[Pages 220–222]</w:t>
      </w:r>
    </w:p>
    <w:p>
      <w:r>
        <w:t xml:space="preserve">1174. Between 2003 and September 2005, the marketing of hygiene and body care products was carried out, within the Laboratoires Vendôme group, by the company Laboratoires Vendôme SAS (references 39 418 to 39 426).  </w:t>
        <w:br/>
        <w:t xml:space="preserve">1175. In September 2005, Laboratoires Vendôme SAS was absorbed by the company Vendôme SAS, which became, following the absorption, Laboratoires Vendôme. Laboratoires Vendôme has been responsible for the operational activity within the Laboratoires Vendôme group since that date.  </w:t>
        <w:br/>
        <w:t xml:space="preserve">1176. Laboratoires Vendôme itself was absorbed by the company Groupe Vendôme in August 2009.  </w:t>
        <w:br/>
        <w:t xml:space="preserve">1177. On this occasion, the company Groupe Vendôme changed its corporate name, becoming Laboratoires Vendôme. In January 2011, the company Laboratoires Vendôme was renamed Johnson &amp; Johnson Santé Beauté France. Since that date, the company has not undergone any change in corporate form or name.  </w:t>
        <w:br/>
        <w:t xml:space="preserve">1178. From 2003 until December 2004, the author of the practices was 100% controlled by the company Vendôme SA. Then, between December 2004 and 2005, Vendôme SA was 96% owned by the company Groupe Vendôme (SA).  </w:t>
        <w:br/>
        <w:t xml:space="preserve">1179. In 2005, as explained in point 1175, the parent company Vendôme SA (now Vendôme SAS) absorbed the author of the practices and was renamed Laboratoires Vendôme.  </w:t>
        <w:br/>
        <w:t xml:space="preserve">1180. Following this absorption and until May 2006, the author of the practices, namely the company Laboratoires Vendôme, was 96% controlled by the company Groupe Vendôme (SA). As explained in points 1176 and following, the company Laboratoires Vendôme, author of the practices, was absorbed by Groupe Vendôme (SA) in 2009, which was renamed Laboratoires Vendôme, then Johnson &amp; Johnson Santé Beauté France in January 2011. This last company is a single-member SAS.  </w:t>
        <w:br/>
        <w:t xml:space="preserve">1181. The allegations are attributed to the company Johnson &amp; Johnson Santé Beauté France as the legal successor of the author of the infringement and its parent company.  </w:t>
        <w:br/>
        <w:t xml:space="preserve">h) The Vania Expansion group  </w:t>
        <w:br/>
        <w:t xml:space="preserve">1182. Regarding the practices for which the company Vania is held responsible, the legal entities implicated in this case do not contest the allegations.  </w:t>
        <w:br/>
        <w:t xml:space="preserve">1183. Between 2003 and 2006, the company Vania Expansion SNC was responsible for the marketing of hygiene and body care products within the Vania Expansion group. Throughout this period, and until February 2012, this company did not undergo any change in name or corporate form. In February 2012, the company was transformed into an SAS: it is now called Vania Expansion (references 39 537 to 39 543).  </w:t>
        <w:br/>
        <w:t xml:space="preserve">1184. Concerning the control structure of the company Vania Expansion SNC, between 2003 and March 1, 2009, the company was 50% owned by Johnson &amp; Johnson Consumer France SAS and 50% by the limited partnership Georgia Pacific France. On July 1, 2005, Georgia Pacific France changed its corporate form and became a simplified joint-stock company. At the beginning of 2013, Georgia Pacific France changed its name and became SCA Tissue France.  </w:t>
        <w:br/>
        <w:t xml:space="preserve">1185. Between 2003 and 2006, at the time of the practices, Vania Expansion SNC did not have commercial autonomy with respect to its two parent companies, Georgia Pacific France and Johnson &amp; Johnson Consumer France SAS jointly exerting a decisive influence on its commercial policy.  </w:t>
        <w:br/>
        <w:t xml:space="preserve">1186. As of March 1, 2009, the company Vania Expansion SNC became a 100% direct and then indirect subsidiary of Johnson &amp; Johnson Consumer France SAS (which became Johnson &amp; Johnson Consumer Holdings France on January 1, 2011).  </w:t>
        <w:br/>
        <w:t xml:space="preserve">1187. The allegations are attributed to the following companies:  </w:t>
        <w:br/>
        <w:t xml:space="preserve">- Vania Expansion, as the author of the practices;  </w:t>
        <w:br/>
        <w:t xml:space="preserve">- Johnson &amp; Johnson Consumer Holdings France and SCA Tissue France, in their capacity as parent companies of the author of the practices.  </w:t>
        <w:br/>
        <w:t xml:space="preserve">i) The Bolton Solitaire group  </w:t>
        <w:br/>
        <w:t xml:space="preserve">1188. Between 2003 and June 2010, the company responsible for the marketing, in France, of cleaning products and insecticides within the Bolton Solitaire group was the company Bolton Solitaire SA. On June 1, 2010, its corporate form was changed: it became Bolton Solitaire SAS. It has not undergone any other corporate modifications and has retained its marketing functions to this day (references 39 513 to 39 515, references 39 805 and 39 885).  </w:t>
        <w:br/>
        <w:t xml:space="preserve">1189. Between 2003 and 2006, the company Bolton Solitaire SA was always 100% owned, directly or indirectly, by Bolton Manitoba S.p.A., established in Italy. There is therefore a rebuttable presumption, against which no evidence has been presented by the companies in this case, that Bolton Solitaire SA and Bolton Manitoba S.p.A. formed a single entity at the time of the practices.  </w:t>
        <w:br/>
        <w:t xml:space="preserve">1190. In light of these various elements, applying the principles recalled above regarding attribution rules, it is therefore appropriate, concerning the behaviors of Bolton Solitaire, to attribute the allegations, for the entire duration of the practices, to the following companies:  </w:t>
        <w:br/>
        <w:t xml:space="preserve">- the company Bolton Solitaire SAS, as the author of the practices;  </w:t>
        <w:br/>
        <w:t xml:space="preserve">- the company Bolton Manitoba S.p.A. as the parent company of the author of the practices.  </w:t>
        <w:br/>
        <w:t xml:space="preserve">j) The SC Johnson group  </w:t>
        <w:br/>
        <w:t xml:space="preserve">1191. Between 2003 and 2006, the company SC Johnson SAS was responsible for the marketing, in France, of cleaning products and insecticides for the SC Johnson group. Since 2003, the company has not undergone any change in corporate form or name (references 39 545 to 39 547 and 46 582).  </w:t>
        <w:br/>
        <w:t xml:space="preserve">1192. Throughout this period, the company SC Johnson SAS was owned, directly or indirectly, by more than 99% by the company SC Johnson &amp; Son, Inc. There is therefore a rebuttable presumption, which no evidence has been presented to overturn in this case, that SC Johnson SAS and SC Johnson &amp; Son, Inc. formed a single entity at the time of the practices.  </w:t>
        <w:br/>
        <w:t xml:space="preserve">1193. The parent company SC Johnson &amp; Son, Inc. has not undergone any change in name or corporate form since 2003.  </w:t>
        <w:br/>
        <w:t xml:space="preserve">1194. In light of these various elements, applying the principles recalled above regarding attribution rules, it is therefore appropriate, concerning the behaviors of SC Johnson, to attribute the allegations, for the entire duration of the practices, to the following companies:  </w:t>
        <w:br/>
        <w:t xml:space="preserve">- the company SC Johnson SAS, as the author of the practices;  </w:t>
        <w:br/>
        <w:t xml:space="preserve">- the company SC Johnson &amp; Son, Inc., as the parent company of the author of the practices.  </w:t>
        <w:br/>
        <w:t xml:space="preserve">k) The L’Oréal group  </w:t>
        <w:br/>
        <w:t xml:space="preserve">1195. Between 2003 and 2006, the marketing of hygiene and body care products to large retailers, within the L’Oréal group, was carried out by three distinct companies: L’Oréal (SA) through its department without legal personality L’Oréal Paris France, Lascad, and Gemey Maybelline Garnier. The last two entities are general partnerships, subsidiaries of the L’Oréal group linked to L’Oréal (SA). Since 2003, they have not changed their corporate form or name (references 39 495 to 39 511).  </w:t>
        <w:br/>
        <w:t xml:space="preserve">1196. The company L’Oréal (SA) is the parent company of the L’Oréal group. In particular, since January 1, 2003, L’Oréal (SA) has indirectly held 100% of the subsidiary Lascad. There is therefore a rebuttable presumption, which no evidence has been presented to overturn in this case, that L’Oréal (SA) and Lascad (SNC) formed a single entity (hereinafter referred to as "L’Oréal") at the time of the practices.  </w:t>
        <w:br/>
        <w:t xml:space="preserve">1197. L’Oréal (SA) has not changed its name or corporate form since that date.  </w:t>
        <w:br/>
        <w:t xml:space="preserve">1198. It follows from the elements presented in the findings that the concerted practices implemented by L’Oréal consisted of exchanges of information relating to the commercial strategy and performance of these three companies of the L’Oréal group (L’Oréal, Lascad, and Gemey Maybelline Garnier).  </w:t>
        <w:br/>
        <w:t xml:space="preserve">1199. During the first period of L’Oréal's participation in the agreement, the company was represented by Mr. Dominique W..., an employee of L’Oréal (SA) who acted for all the companies in the group. During this period, the author of the practices is therefore the company L’Oréal (SA).  </w:t>
        <w:br/>
        <w:t xml:space="preserve">1200. During the second period of L’Oréal's participation in the agreement (from October 2005, the date of L’Oréal's resumed participation in the practices), it was represented in the Cercle Team PCP by Mr. Hervé 1..., an employee of Lascad. The latter communicated, during meetings or in correspondence, information about Lascad only (for the conduct of negotiations, for example) or about the L’Oréal group as a whole (for pricing, for example). He acted, as the case may be, on behalf of and for the account of Lascad or L’Oréal (SA), the head company of the group. Regarding the Cercle des Amis, Lascad participated in this practice, but it was indicated in point 1085 that L’Oréal (SA) could not be unaware of the existence of these practices from the beginning of Mr. Jérôme 10...'s participation in these practices.  </w:t>
        <w:br/>
        <w:t xml:space="preserve">1201. During this second period, the companies Lascad SNC and L’Oréal (SA) are therefore co-authors of the practices.  </w:t>
        <w:br/>
        <w:t xml:space="preserve">1202. In light of these various elements, applying the principles recalled above regarding attribution rules, it is therefore appropriate, concerning the behaviors previously observed, committed by L’Oréal, to attribute the allegations to the following companies:  </w:t>
        <w:br/>
        <w:t xml:space="preserve">- the company Lascad SNC as the author of the practices from October 2005;  </w:t>
        <w:br/>
        <w:t xml:space="preserve">- the company L’Oréal (SA) as the author of the practices for the entire period and as the parent company of Lascad from October 2005.  </w:t>
        <w:br/>
        <w:t xml:space="preserve">l) The Sara Lee group  </w:t>
        <w:br/>
        <w:t>1203. Regarding the practices for which the company Sara Lee is held responsible, the company Colgate-Palmolive, legal successor of the author of the practices, does not contest the allegations.</w:t>
      </w:r>
    </w:p>
    <w:p>
      <w:r>
        <w:rPr>
          <w:b/>
        </w:rPr>
        <w:t>[Pages 223–225]</w:t>
      </w:r>
    </w:p>
    <w:p>
      <w:r>
        <w:t xml:space="preserve">de l’entreprise et à la capacité de paiement de celui-ci ».  </w:t>
        <w:br/>
        <w:t xml:space="preserve">1223. En outre, le I de l’article L. 464-2 du code de commerce précise que « les sanctions pécuniaires doivent être dissuasives ».  </w:t>
        <w:br/>
        <w:t xml:space="preserve">1224. Enfin, le I de l’article L. 464-2 du code de commerce indique que « les sanctions pécuniaires doivent être appliquées dans un délai raisonnable après la constatation des faits ».  </w:t>
        <w:br/>
        <w:t xml:space="preserve">B. DETERMINATION DU MONTANT DE BASE  </w:t>
        <w:br/>
        <w:t xml:space="preserve">1225. Le montant de base des sanctions pécuniaires est déterminé en fonction du chiffre d'affaires mondial hors taxes réalisé par l'entreprise concernée au cours de l'exercice précédant celui au cours duquel les pratiques ont été mises en œuvre.  </w:t>
        <w:br/>
        <w:t xml:space="preserve">1226. Pour les entreprises ayant réalisé un chiffre d'affaires mondial hors taxes supérieur à 1 milliard d'euros, le montant de base sera fixé à 10 % de ce chiffre d'affaires.  </w:t>
        <w:br/>
        <w:t xml:space="preserve">1227. Pour les entreprises ayant réalisé un chiffre d'affaires mondial hors taxes inférieur à 1 milliard d'euros, le montant de base sera fixé à 3 millions d'euros.  </w:t>
        <w:br/>
        <w:t xml:space="preserve">C. PRISE EN COMPTE DES CIRCOSTANCES PROPRES À CHAQUE ENTREPRISE  </w:t>
        <w:br/>
        <w:t xml:space="preserve">1228. Lors de la détermination du montant final de la sanction, l'Autorité prendra en compte les circonstances propres à chaque entreprise, notamment la gravité des faits reprochés, l'importance du dommage causé à l'économie, la situation individuelle de l'entreprise et sa capacité de paiement.  </w:t>
        <w:br/>
        <w:t xml:space="preserve">1229. L'Autorité pourra également tenir compte de la coopération de l'entreprise avec les autorités de concurrence, ainsi que de toute mesure corrective mise en place par l'entreprise pour remédier aux pratiques anticoncurrentielles.  </w:t>
        <w:br/>
        <w:t>1230. En conclusion, les sanctions pécuniaires doivent être proportionnées et dissuasives, tout en tenant compte des spécificités de chaque entreprise concernée.</w:t>
      </w:r>
    </w:p>
    <w:p>
      <w:r>
        <w:rPr>
          <w:b/>
        </w:rPr>
        <w:t>[Pages 226–228]</w:t>
      </w:r>
    </w:p>
    <w:p>
      <w:r>
        <w:t xml:space="preserve">de l’Autorité de la concurrence du 20 décembre 2011, n° 11-D-20, et du 12 décembre 2012, n° 12-D-24).  </w:t>
        <w:br/>
        <w:t xml:space="preserve">1237. En conséquence, l’Autorité considère que le chiffre d’affaires au sens de la comptabilité française est le seul montant pertinent pour établir la base de la sanction dans le cadre de la présente affaire.  </w:t>
        <w:br/>
        <w:t xml:space="preserve">1238. En ce qui concerne la valeur des ventes, l’Autorité retiendra donc le chiffre d’affaires réalisé par les entreprises en cause dans la commercialisation des produits concernés, tel qu’il est défini par les normes comptables françaises, sans déduire les montants liés à la coopération commerciale.  </w:t>
        <w:br/>
        <w:t>1239. Cette approche garantit une évaluation juste et proportionnée des sanctions, en tenant compte de la réalité économique des infractions commises et du poids relatif de chaque entreprise dans le secteur concerné.</w:t>
      </w:r>
    </w:p>
    <w:p>
      <w:r>
        <w:rPr>
          <w:b/>
        </w:rPr>
        <w:t>[Pages 229–231]</w:t>
      </w:r>
    </w:p>
    <w:p>
      <w:r>
        <w:t xml:space="preserve">n°12-D-27 concerning ticketing for shows, point 224, and n°12-D-09 concerning practices implemented in the food flour sector, point 781), which is not the case here.  </w:t>
        <w:br/>
        <w:t xml:space="preserve">1237. Contrary to what the defendants argue, the use of the turnover related to the products in question indeed allows for a proportionate assessment of the fine in relation to the economic scale of the infringement and the relative weight of each company. The fact that the commercial cooperation discounts are, for the period of the practices in question, partly fictitious does not justify disregarding the turnover calculated according to French accounting standards, which constitutes the best objective reference, applicable to all parties involved at the time of the practices, and which cannot in any case be considered as not clearly reflecting the scale of the infringement in the sense of point 39 of the press release.  </w:t>
        <w:br/>
        <w:t xml:space="preserve">1238. The use, as the basis for the fine, of turnover in the sense of French accounting is also not likely to lead to a violation of the principle of equal treatment among companies. Indeed, the accounting rules applicable in France for calculating a company's turnover are identical and mandatory regardless of the company. All the companies concerned are therefore treated in the same manner.  </w:t>
        <w:br/>
        <w:t xml:space="preserve">1239. Consequently, the basic amount will be calculated based on the turnover related to the products in question, in the sense of French accounting.  </w:t>
        <w:br/>
        <w:t xml:space="preserve">On the value of sales in the maintenance sector  </w:t>
        <w:br/>
        <w:t xml:space="preserve">1240. The turnover achieved by the implicated companies is that generated from the marketing to large retail chains of the products concerned by the practices constituting the single agreement, namely all categories of maintenance products listed below:  </w:t>
        <w:br/>
        <w:t xml:space="preserve">- water softeners;  </w:t>
        <w:br/>
        <w:t xml:space="preserve">- disposable trays and disposable food bags;  </w:t>
        <w:br/>
        <w:t xml:space="preserve">- cleaning cloths and wipes;  </w:t>
        <w:br/>
        <w:t xml:space="preserve">- shoe polish and polishing accessories;  </w:t>
        <w:br/>
        <w:t xml:space="preserve">- air fresheners;  </w:t>
        <w:br/>
        <w:t xml:space="preserve">- descalers;  </w:t>
        <w:br/>
        <w:t xml:space="preserve">- food packaging;  </w:t>
        <w:br/>
        <w:t xml:space="preserve">- sponges and scouring pads;  </w:t>
        <w:br/>
        <w:t xml:space="preserve">- paper towels;  </w:t>
        <w:br/>
        <w:t xml:space="preserve">- household gloves;  </w:t>
        <w:br/>
        <w:t xml:space="preserve">- insecticides;  </w:t>
        <w:br/>
        <w:t xml:space="preserve">- "broom and wipes" kits;  </w:t>
        <w:br/>
        <w:t xml:space="preserve">- special detergents;  </w:t>
        <w:br/>
        <w:t xml:space="preserve">- universal detergents;  </w:t>
        <w:br/>
        <w:t xml:space="preserve">- dry cleaning products;  </w:t>
        <w:br/>
        <w:t xml:space="preserve">- specific use cleaners (heavy-duty...);  </w:t>
        <w:br/>
        <w:t xml:space="preserve">- multi-purpose household cleaners;  </w:t>
        <w:br/>
        <w:t xml:space="preserve">- cleaners for specific parts (bathroom, kitchen...);  </w:t>
        <w:br/>
        <w:t xml:space="preserve">- cleaners for specific surfaces (leather, furniture, wood...);  </w:t>
        <w:br/>
        <w:t xml:space="preserve">- floor cleaners;  </w:t>
        <w:br/>
        <w:t xml:space="preserve">- window cleaners;  </w:t>
        <w:br/>
        <w:t xml:space="preserve">- dishwasher maintenance products;  </w:t>
        <w:br/>
        <w:t xml:space="preserve">- bleach-based products;  </w:t>
        <w:br/>
        <w:t xml:space="preserve">- fabric softeners;  </w:t>
        <w:br/>
        <w:t xml:space="preserve">- products for unblocking drains and septic tank products;  </w:t>
        <w:br/>
        <w:t xml:space="preserve">- dishwasher washing products;  </w:t>
        <w:br/>
        <w:t xml:space="preserve">- stain removers for laundry;  </w:t>
        <w:br/>
        <w:t xml:space="preserve">- hand dishwashing products;  </w:t>
        <w:br/>
        <w:t xml:space="preserve">- hand laundry products;  </w:t>
        <w:br/>
        <w:t xml:space="preserve">- toilet products - bowl blocks and flush blocks;  </w:t>
        <w:br/>
        <w:t xml:space="preserve">- toilet products - cleaners, gels, tablets, foams, wipes;  </w:t>
        <w:br/>
        <w:t xml:space="preserve">- garbage bags;  </w:t>
        <w:br/>
        <w:t xml:space="preserve">- household soaps;  </w:t>
        <w:br/>
        <w:t xml:space="preserve">- laundry care products (notably starch, textile deodorizer, washing activator, post-wash liquid for ironing);  </w:t>
        <w:br/>
        <w:t xml:space="preserve">- textile dyes;  </w:t>
        <w:br/>
        <w:t xml:space="preserve">- any other maintenance product marketed by suppliers to large retail chains.  </w:t>
        <w:br/>
        <w:t xml:space="preserve">1241. Given the national dimension of the infringement, this value includes all sales of these products made by the defendants on French territory. In practice, no sales of the categories "disposable trays and disposable food bags," "sponges and scouring pads," "paper towels," "household gloves," "specific use cleaners (heavy-duty...)," "garbage bags," "textile dyes," and "any other maintenance product marketed by suppliers to large retail chains" are included in the scope of the sales value. Indeed, no implicated company active in the maintenance sector markets these categories of products (reference 53 199).  </w:t>
        <w:br/>
        <w:t xml:space="preserve">Regarding decision n° 11-D-17 of December 8, 2011  </w:t>
        <w:br/>
        <w:t xml:space="preserve">1242. Among the implicated companies are those already sanctioned by the Authority in decision n° 11-D-17 of December 8, 2011, concerning practices implemented in the laundry sector in France, confirmed by the ruling of the Paris Court of Appeal of January 30, 2014, which has become final. These are Procter &amp; Gamble, Unilever, Henkel, and Colgate-Palmolive.  </w:t>
        <w:br/>
        <w:t xml:space="preserve">1243. Decision n° 11-D-17 concerns facts that were qualified as a price-fixing agreement constituting an infringement of Article 101 TFEU and Article L. 420-1 of the Commercial Code. This infringement consisted of direct price fixing and promotions for all universal detergents, in the specific context of the Galland law. This practice took place in France from at least September 18, 1997, to August 1, 2004, with an interruption between October 1998 and November 2, 1999. It involved Unilever, Procter &amp; Gamble, Henkel, and Colgate-Palmolive. However, the latter ceased to participate in the practices in September 2003, when it sold its assets in the universal detergents sector to Procter &amp; Gamble.  </w:t>
        <w:br/>
        <w:t xml:space="preserve">1244. The infringement sanctioned by decision n° 11-D-17, although distinct from the agreement in the supply of maintenance products described in this decision, occurred, in part, in parallel and involved, in part, the same products, namely universal detergents. Most importantly, the infringement committed in case n° 11-D-17 is a price-fixing agreement, particularly taking the form of agreements on price increases for all products (point 396 of decision n° 11-D-17). Such an infringement, given the particularly advanced nature of the consultation on price increases, must be regarded as fully integrating, for the period and the companies concerned, the price-fixing agreement of the present case concerning universal detergents.  </w:t>
        <w:br/>
        <w:t xml:space="preserve">1245. The most relevant method to eliminate any risk of double sanction consists, for the companies concerned by decision n° 11-D-17, in excluding from the basis of the fine the value of sales corresponding to universal detergents, for the period during which both infringements occurred simultaneously. It is therefore necessary to exclude from the basis of the fine:  </w:t>
        <w:br/>
        <w:t xml:space="preserve">- for Unilever, the value of sales of universal detergents until August 1, 2004;  </w:t>
        <w:br/>
        <w:t xml:space="preserve">- for Procter &amp; Gamble, the value of sales of universal detergents until August 1, 2004;  </w:t>
        <w:br/>
        <w:t xml:space="preserve">- for Henkel, the value of sales of universal detergents until August 1, 2004;  </w:t>
        <w:br/>
        <w:t xml:space="preserve">- for Colgate-Palmolive, the value of sales of universal detergents until September 2003.  </w:t>
        <w:br/>
        <w:t xml:space="preserve">1246. To exclude from the basis of the fine the value of sales corresponding to universal detergents, the Authority applied to the value of sales of the concerned companies a discount corresponding to the percentage of common duration between the two infringements multiplied by the percentage that the turnover of universal detergents represents of the total turnover of maintenance products. Thus, the concerned companies benefit from a reduction in the value of sales of 33% for Unilever, 25% for Henkel, 60% for Procter &amp; Gamble, and 4% for Colgate-Palmolive.  </w:t>
        <w:br/>
        <w:t xml:space="preserve">Regarding the decision of the European Commission of April 13, 2011  </w:t>
        <w:br/>
        <w:t xml:space="preserve">1247. Unilever and Procter &amp; Gamble believe that the decision adopted by the European Commission on April 13, 2011, concerning an agreement on powder detergents that took place between January 7, 2002, and March 8, 2005, across several European markets including France, should also be taken into account. In this decision, Unilever, Procter &amp; Gamble, and Henkel were sanctioned. Unilever and Procter &amp; Gamble argue that "the effects generated in France by the European agreement cannot be precisely dissociated from the effects of the practices at issue here, for the period during which they occurred simultaneously."  </w:t>
        <w:br/>
        <w:t>1248. As a preliminary point, it should be noted that the European agreement only concerned universal powder detergents, and not all universal detergents (see in this sense the ruling of the Paris Court of Appeal of January 30, 2014, Société Colgate-Palmolive Services, p. 17).</w:t>
      </w:r>
    </w:p>
    <w:p>
      <w:r>
        <w:rPr>
          <w:b/>
        </w:rPr>
        <w:t>[Pages 232–234]</w:t>
      </w:r>
    </w:p>
    <w:p>
      <w:r>
        <w:t>corps humain, y compris les muqueuses » au sens de l’article 2, § 1, de la directive 76/768/CEE du Conseil du 27 juillet 1976 relative aux produits cosmétiques. Deuxièmement, les produits de maquillage sont utilisés pour l'hygiène et l'embellissement du corps humain, ce qui les place clairement dans le secteur de l'hygiène.</w:t>
      </w:r>
    </w:p>
    <w:p>
      <w:r>
        <w:t>1259. En conséquence, les ventes de Beiersdorf dans le secteur du maquillage doivent être incluses dans le périmètre de la valeur des ventes dans le secteur de l'hygiène.</w:t>
      </w:r>
    </w:p>
    <w:p>
      <w:r>
        <w:t>Sur la valeur des ventes dans le secteur de l'hygiène</w:t>
      </w:r>
    </w:p>
    <w:p>
      <w:r>
        <w:t>1260. Le tableau ci-dessous identifie, pour chaque entreprise mise en cause dans le secteur de l'hygiène, la société dont les ventes seront retenues au titre de la valeur des ventes, l'exercice comptable correspondant à la dernière année complète de participation de l'entreprise aux pratiques et la valeur des ventes :</w:t>
      </w:r>
    </w:p>
    <w:p>
      <w:r>
        <w:t>| Sociétés dont la valeur des ventes est retenue | Année de référence | Valeur des ventes |</w:t>
        <w:br/>
        <w:t>|------------------------------------------------|--------------------|-------------------|</w:t>
        <w:br/>
        <w:t>| Colgate-Palmolive                               | 3 février 2006     | 2005              | 287 310 995 €     |</w:t>
        <w:br/>
        <w:t>| Henkel                                          | 3 février 2006     | 2005              | 278 568 426 €     |</w:t>
        <w:br/>
        <w:t>| Reckitt Benckiser                               | 3 février 2006     | 2005              | 435 700 654 €     |</w:t>
        <w:br/>
        <w:t>| Unilever                                        | Début du mois d'août 2005 jusqu'au 3 avril 2005 | 334 657 331 €     |</w:t>
        <w:br/>
        <w:t>| Procter &amp; Gamble                                | Février 2005       | 2004              | 191 583 281 €     |</w:t>
        <w:br/>
        <w:t>| SC Johnson                                      | 3 février 2006     | 2005              | 216 252 000 €     |</w:t>
        <w:br/>
        <w:t>| Bolton Solitaire                                 | 3 février 2006     | 2005              | 54 723 000 €      |</w:t>
        <w:br/>
        <w:t>| Sara Lee                                        | 3 février 2006     | 2005              | 84 075 828 €      |</w:t>
      </w:r>
    </w:p>
    <w:p>
      <w:r>
        <w:t>1261. En conclusion, la valeur des ventes dans le secteur de l'hygiène doit être déterminée en tenant compte des ventes réalisées par les entreprises mises en cause pour les produits concernés par les pratiques concertées.</w:t>
      </w:r>
    </w:p>
    <w:p>
      <w:r>
        <w:rPr>
          <w:b/>
        </w:rPr>
        <w:t>[Pages 235–237]</w:t>
      </w:r>
    </w:p>
    <w:p>
      <w:r>
        <w:t xml:space="preserve">corresponding to the definition of the hygiene sector as outlined in points 88 and following of the decision.  </w:t>
        <w:br/>
        <w:t xml:space="preserve">1259. Firstly, makeup products indeed constitute "substance[s] or preparation[s] intended to be brought into contact with the various superficial parts of the human body, notably the epidermis, [...], nails, lips [...] with a view, exclusively or primarily, [...] to modifying their appearance." They therefore correspond to the definition of the cosmetic and personal hygiene products sector retained by the Competition Council in decision No. 08-D-25 of October 29, 2008, concerning practices implemented in the distribution sector of cosmetic and personal hygiene products sold on pharmaceutical advice (see point 89 above).  </w:t>
        <w:br/>
        <w:t xml:space="preserve">1260. Secondly, panelists and distributors include makeup products in the hygiene sector. On one hand, it emerges from the information provided by Nielsen (references 24 134 to 24 136) and IRI (references 24 145 and 24 146) that the main panelists associate makeup products with the hygiene sector. On the other hand, the hearing of Galec on July 11, 2011 (reference 34 302), that of Carrefour on July 6, 2011 (reference 34 276), and the email from Intermarché on August 10, 2012 (references 40 635 to 40 643) show that distributors associate makeup products with the "perfumery" category and thus with the hygiene sector.  </w:t>
        <w:br/>
        <w:t xml:space="preserve">1261. Contrary to what Beiersdorf claims, the hygiene sector therefore includes makeup products.  </w:t>
        <w:br/>
        <w:t xml:space="preserve">Regarding the sales value of Vania  </w:t>
        <w:br/>
        <w:t xml:space="preserve">1262. Vania contests the inclusion, in the scope of the sales value, of makeup remover pads and baby squares on one hand, and the "cotton and cotton swabs" category on the other hand.  </w:t>
        <w:br/>
        <w:t xml:space="preserve">1263. Firstly, Vania believes that makeup remover pads and baby squares should be excluded from the total sales value, as they would be, due to their similar use, substitutable products for wipes, which are themselves excluded from the sales value.  </w:t>
        <w:br/>
        <w:t xml:space="preserve">1264. However, it results from a letter from the Minister of Economy dated June 29, 1999, that wipes constitute a different product market from that of "cotton-format," which includes makeup cotton pads and baby squares. In this letter, it is stated that these two categories of products are distinguished "by their use, qualities, and prices and cannot be considered sufficiently substitutable to form a single market" (letter from the Minister of Economy dated June 29, 1999, to the board of Fort James Corporation, regarding a concentration in the cotton products sector (NOR: ECOC0100001Y).  </w:t>
        <w:br/>
        <w:t xml:space="preserve">1265. The differences existing between wipes on one hand, and baby squares and makeup remover pads on the other hand, in the three areas identified in this letter from the Minister of Economy dated June 29, 1999, still exist today.  </w:t>
        <w:br/>
        <w:t xml:space="preserve">1266. The current marketing conditions of makeup remover pads and wipes show that these two categories of products still occupy distinct market segments, targeting different clientele and needs. Price differences remain very significant between makeup remover pads and wipes, the latter targeting a more affluent clientele. Moreover, in certain stores, wipes and makeup remover pads are marketed in different aisles: wipes in the "face care" aisle with makeup removal products, and makeup remover pads in the "cotton" aisle with tissues.  </w:t>
        <w:br/>
        <w:t xml:space="preserve">1267. Similarly, baby squares are not substitutable for wipes. The two products have distinct characteristics: a wipe is a product soaked in a preparation, while baby squares are "hydrophilic cotton" products that are not impregnated. Furthermore, the Lotus brand (under which Vania marketed its baby squares at the time of the facts), although it offers several different ranges, does not market wipes. Conversely, the Pampers brand, the leading brand of "baby" products, markets impregnated wipes but not baby squares, which corroborates the observation that these are two different market segments.  </w:t>
        <w:br/>
        <w:t xml:space="preserve">1268. It follows from both the findings made by the Minister of Economy on June 29, 1999, and the analysis of the current situation that makeup remover pads and baby squares are not substitutable for wipes. Therefore, there is no reason to exclude these products from the scope of the sales value.  </w:t>
        <w:br/>
        <w:t xml:space="preserve">1269. Secondly, Vania believes that the "cotton and cotton swabs" category should, like the "wipes," "paper tissues," and "toilet paper" categories, be expressly excluded from the sales value, as these similar products would belong to the same "household paper" category. However, the "wipes," "paper tissues," and "toilet paper" categories were not excluded from the sales value due to their belonging to the "household paper" category, but due to the documents in the file. Indeed, the document provided by L'Oréal and cited in point 102 regarding market shares in the hygiene sector expressly excludes certain categories of hygiene products ("excluding PH, paper towels, tissues, incontinence, wipes, and baby changes"). Consequently, the categories mentioned in this table do not belong, in the context of this procedure, to the hygiene sector, and should not have been included in the sales value.  </w:t>
        <w:br/>
        <w:t xml:space="preserve">1270. The "cotton and cotton swabs" category, which is not mentioned in this document, is therefore included in the hygiene sector as defined by the decision. There is no reason to exclude it from the scope of the sales value.  </w:t>
        <w:br/>
        <w:t xml:space="preserve">Regarding the sales value of L'Oréal  </w:t>
        <w:br/>
        <w:t xml:space="preserve">1271. It is necessary to define the scope of the sales value of the products in relation to the infringement attributed to L'Oréal and then the reference year.  </w:t>
        <w:br/>
        <w:t xml:space="preserve">1272. Firstly, it emerges from points 557, 1099, and 1104 that L'Oréal participated in the single infringement through the employees of L'Oréal (SA) (parent company) and Lascad, by communicating strategic information on the price determinants of L'Oréal (SA), Lascad, and Gemey Maybelline Garnier. In these circumstances, it is appropriate to retain, for the sales value, the revenue generated by the entire L'Oréal group in France by marketing the hygiene products listed above to the large distribution brands in France. Thus, the sales made by Lascad, Gemey Maybelline Garnier, and L'Oréal (SA), through its establishment L'Oréal Paris, are concerned.  </w:t>
        <w:br/>
        <w:t xml:space="preserve">1273. On this point, L'Oréal considers that taking into account the sales made by the three entities of the group for the sales value is disproportionate as it would not be demonstrated that the parent company L'Oréal (SA) was actually involved in the practices. However, as demonstrated in points 1195 and following, L'Oréal (SA) is the author of the practices throughout their commission period and is the parent company of Lascad, co-author of the practices for the period from October 2005 to February 3, 2006.  </w:t>
        <w:br/>
        <w:t xml:space="preserve">1274. Secondly, the year 2005 does not correspond to a complete year of participation for L'Oréal. Indeed, the company only resumed its participation in the practice from October 2005. Previously, it had participated in the infringement between April 2003 and March 24, 2004. Consequently, no year can be considered a complete year of participation in the practice. Given these circumstances, it is appropriate to retain the average of the sales values generated by L'Oréal for the years 2003, 2004, 2005, and 2006.  </w:t>
        <w:br/>
        <w:t xml:space="preserve">Conclusion on the sales value in the hygiene sector  </w:t>
        <w:br/>
        <w:t xml:space="preserve">1275. The table below identifies, for each company implicated in the hygiene sector, the company whose sales will be retained for the sales value and the accounting period corresponding to the last complete year of the company's participation in the practices:  </w:t>
        <w:br/>
        <w:t xml:space="preserve">Companies Companies whose sales End of Year of Sales value  </w:t>
        <w:br/>
        <w:t xml:space="preserve">are retained participation to reference  </w:t>
        <w:br/>
        <w:t xml:space="preserve">in the infringement  </w:t>
        <w:br/>
        <w:t xml:space="preserve">Colgate- Colgate-Palmolive February 3, 2006 2005 €212,370,858  </w:t>
        <w:br/>
        <w:t xml:space="preserve">Palmolive  </w:t>
        <w:br/>
        <w:t xml:space="preserve">Henkel Henkel France February 3, 2006 2005 €252,803,452  </w:t>
        <w:br/>
        <w:t xml:space="preserve">Reckitt Reckitt Benckiser February 3, 2006 2005 €79,679,901  </w:t>
        <w:br/>
        <w:t xml:space="preserve">Benckiser France  </w:t>
        <w:br/>
        <w:t xml:space="preserve">Unilever Lever Fabergé France January 2, 2006 2005 €462,973,730  </w:t>
        <w:br/>
        <w:t xml:space="preserve">until April 3, 2005  </w:t>
        <w:br/>
        <w:t xml:space="preserve">then Unilever France from  </w:t>
        <w:br/>
        <w:t xml:space="preserve">April 3, 2005  </w:t>
        <w:br/>
        <w:t xml:space="preserve">Procter &amp; Procter &amp; Gamble January 2005 2004 €212,160,000  </w:t>
        <w:br/>
        <w:t xml:space="preserve">Gamble France  </w:t>
        <w:br/>
        <w:t xml:space="preserve">Laboratoires Laboratoires February 3, 2006 2004 €134,073,210  </w:t>
        <w:br/>
        <w:t xml:space="preserve">Vendôme Vendôme SAS  </w:t>
        <w:br/>
        <w:t xml:space="preserve">until September 2005 then  </w:t>
        <w:br/>
        <w:t xml:space="preserve">Laboratoires Vendôme  </w:t>
        <w:br/>
        <w:t xml:space="preserve">Gillette Groupe Gillette February 3, 2006 2005 €295,800,000  </w:t>
        <w:br/>
        <w:t xml:space="preserve">France  </w:t>
        <w:br/>
        <w:t xml:space="preserve">Beiersdorf Beiersdorf SA February 3, 2006 2005 €295,622,655  </w:t>
        <w:br/>
        <w:t xml:space="preserve">Vania Vania Expansion SNC February 3, 2006 2005 €203,078,000  </w:t>
        <w:br/>
        <w:t xml:space="preserve">Sara Lee Sara Lee Household February 3, 2006 2005 €84,075,828  </w:t>
        <w:br/>
        <w:t xml:space="preserve">&amp; Bodycare France  </w:t>
        <w:br/>
        <w:t xml:space="preserve">L’Oréal L’Oréal (SA), Lascad February 3, 2006 Average €1,228,220,500  </w:t>
        <w:br/>
        <w:t xml:space="preserve">and Gemey Maybelline 2003-2006  </w:t>
        <w:br/>
        <w:t xml:space="preserve">Garnier  </w:t>
        <w:br/>
        <w:t>10 The reference year is 2004 rather than 2005 due to a change in the closing date of accounts.</w:t>
      </w:r>
    </w:p>
    <w:p>
      <w:r>
        <w:rPr>
          <w:b/>
        </w:rPr>
        <w:t>[Pages 238–240]</w:t>
      </w:r>
    </w:p>
    <w:p>
      <w:r>
        <w:t>unique peut revêtir des formes variées, y compris des échanges d’informations, mais cela ne signifie pas que toutes les pratiques de ce type sont moins graves. La gravité d'une infraction doit être appréciée au cas par cas, en tenant compte des circonstances spécifiques et de l'impact sur la concurrence.</w:t>
      </w:r>
    </w:p>
    <w:p>
      <w:r>
        <w:t>1293. En l'espèce, les pratiques en cause, bien qu'elles aient pris la forme d'échanges d'informations, ont eu pour effet de restreindre la concurrence de manière significative. Elles ont permis aux entreprises de coordonner leurs stratégies tarifaires, ce qui a conduit à une augmentation des prix pour les consommateurs et à une distorsion du marché.</w:t>
      </w:r>
    </w:p>
    <w:p>
      <w:r>
        <w:t>1294. Par conséquent, même si les pratiques ne constituent pas un cartel au sens traditionnel du terme, elles doivent être considérées comme des infractions graves en raison de leur impact sur la concurrence et sur le bien-être des consommateurs.</w:t>
      </w:r>
    </w:p>
    <w:p>
      <w:r>
        <w:t>1295. En conclusion, l'Autorité considère que les infractions commises dans le secteur de l'hygiène et de l'entretien sont d'une gravité particulière, justifiant ainsi une sanction significative.</w:t>
      </w:r>
    </w:p>
    <w:p>
      <w:r>
        <w:rPr>
          <w:b/>
        </w:rPr>
        <w:t>[Pages 241–243]</w:t>
      </w:r>
    </w:p>
    <w:p>
      <w:r>
        <w:t>maintaining higher prices.</w:t>
      </w:r>
    </w:p>
    <w:p>
      <w:r>
        <w:t>1311. Thus, the initiatives of the public authorities, rather than mitigating the gravity of the facts, highlight the deliberate choice of the companies to engage in anti-competitive practices in response to the changing legal landscape. The companies' actions were not merely a reaction to uncertainty but a conscious decision to collude and coordinate their pricing strategies, which constitutes a serious infringement of competition law.</w:t>
      </w:r>
    </w:p>
    <w:p>
      <w:r>
        <w:t>1312. In conclusion, the arguments presented by the companies do not diminish the severity of their conduct. The evidence demonstrates that the practices in question were not only secretive and sophisticated but also involved mechanisms for monitoring and coordination that significantly increased their anti-competitive nature. The companies' attempts to attribute their behavior to external factors fail to absolve them of responsibility for their actions.</w:t>
      </w:r>
    </w:p>
    <w:p>
      <w:r>
        <w:rPr>
          <w:b/>
        </w:rPr>
        <w:t>[Pages 244–246]</w:t>
      </w:r>
    </w:p>
    <w:p>
      <w:r>
        <w:t xml:space="preserve">maintaining the profitability on which public initiatives risked exerting unwanted pressure.  </w:t>
        <w:br/>
        <w:t xml:space="preserve">1311. Similarly, the initiatives of public authorities did not create any confusion regarding whether the practices in question had an unlawful character (see contrary: Tribunal, December 11, 2003, Strintzis Lines Shipping SA, T-65/99, paragraph 197; decision No. 11-D-01 of January 18, 2011, regarding practices identified in the port handling sector in Réunion, paragraphs 67 to 81, 106, 114, 156, and 160). In this regard, the secret nature of the practices (paragraphs 923 et seq.) clearly demonstrates that the companies were aware of the anti-competitive nature of their behavior.  </w:t>
        <w:br/>
        <w:t xml:space="preserve">1312. Finally, within the framework of initiatives aimed at modifying the legal context resulting from the Galland law, public authorities neither participated in the practices nor supported the companies involved in their approach, nor validated the pricing policies resulting from the practices (see contrary: decision No. 07-D-41 of November 28, 2007, regarding practices opposing the freedom of pricing of services offered to healthcare establishments during calls for tenders for anatomical-cytopathological examinations, paragraphs 155 and 156; decision No. 10-D-28 of September 20, 2010, regarding the rates and conditions applied by banks and financial institutions for the processing of checks submitted for collection, paragraph 656; decision No. 11-D-01 of January 18, 2011, regarding practices identified in the port handling sector in Réunion, paragraphs 67 to 81, 106, 114, 156, and 160). The letter from the Minister of Economy, Finance, and Industry dated June 17, 2004, regarding the "commitment to a sustainable reduction in consumer prices" expressly mentioned that the signatory companies "reaffirm[ed] their commitment to price determination through free, fair, and balanced competition."  </w:t>
        <w:br/>
        <w:t xml:space="preserve">1313. Thus, the companies involved are not justified in claiming that the initiatives of public authorities should be taken into account as a mitigating factor for the severity of the sanction.  </w:t>
        <w:br/>
        <w:t xml:space="preserve">c) On the damage to the economy  </w:t>
        <w:br/>
        <w:t xml:space="preserve">On the method of analyzing the damage  </w:t>
        <w:br/>
        <w:t xml:space="preserve">1314. It is established case law that the extent of the damage caused to the economy is assessed globally for the infringement in question, that is to say, in light of the cumulative action of all participants in the practice without the need to identify the share attributable to each company taken separately (rulings of the Court of Cassation of February 18, 2004, CERP et al., No. 02-11754, and of the Paris Court of Appeal of September 17, 2008, Agricultural Cooperative L’ardéchoise, No. 2007/10371, p. 6).  </w:t>
        <w:br/>
        <w:t xml:space="preserve">1315. The extent of the damage to the economy is not to be confused with the harm that victims of the practices in question may have suffered, but is assessed based on the general disruption caused by these practices to the economy (see, for example, ruling of the Paris Court of Appeal of October 8, 2008, SNEF, No. 2007/18 040).  </w:t>
        <w:br/>
        <w:t xml:space="preserve">1316. The Authority, which is not required to precisely quantify the damage caused to the economy, must proceed to an assessment of its existence and significance, based on as complete an analysis as possible of the elements of the file and by examining the various aspects of the general disruption of the normal functioning of the economy caused by the practices in question (rulings of the Paris Court of Appeal of June 30, 2011, Orange France, No. 2010/12049, p. 5, confirmed on appeal by ruling of the Court of Cassation of May 30, 2012, cited above, and of January 26, 2012, Beauté prestige international, cited above, p. 89).  </w:t>
        <w:br/>
        <w:t xml:space="preserve">1317. The existence of damage to the economy cannot therefore be presumed, even in the case of collusion (Cass. com., April 7, 2010, Orange France et al., No. 09-12984).  </w:t>
        <w:br/>
        <w:t xml:space="preserve">1318. Based on established case law, the Authority takes into account, in assessing the economic impact of the practice in question, the magnitude of the infringement, characterized among other things by its geographical coverage or by the cumulative market share of the parties in the relevant sector, its duration, its conjunctural or structural consequences, as well as the relevant economic characteristics of the sector concerned (see, for example, the ruling of the Court of Appeal of June 30, 2011, Orange France, cited above). Both proven and potential effects of the practice may be taken into consideration in this regard (see, in this sense, ruling of the Court of Cassation of June 28, 2005, Novartis Pharma, No. 04-13910).  </w:t>
        <w:br/>
        <w:t xml:space="preserve">On the extent of the infringements  </w:t>
        <w:br/>
        <w:t xml:space="preserve">1319. Firstly, the two unique collusions concerned the entire national territory. Indeed, the identified practices impacted the conduct of commercial negotiations between the implicated suppliers and the major retail brands, negotiations that take place at the national level and concern the supply of brands throughout French territory.  </w:t>
        <w:br/>
        <w:t xml:space="preserve">1320. Secondly, the practices affected all distributors. On the one hand, due to the principle of non-discriminatory pricing, the gross prices and pricing elements mentioned on invoices discussed during the exchanges were applied to all distributors. On the other hand, the consultation on other parameters of commercial negotiation (particularly those related to the conduct of commercial negotiations) involved the major retail brands.  </w:t>
        <w:br/>
        <w:t xml:space="preserve">1321. Lastly, during the period concerned by the practices, the implicated companies represented approximately two-thirds of the supply in French territory. In the maintenance sector, the cumulative market share in value of the eight companies subject to the allegations was nearly 67%, and remained stable between 2004 and 2005. In the hygiene products sector, the companies subject to the allegations represented, in value, more than 65% of the market, a figure that remained stable between 2004 and 2005.  </w:t>
        <w:br/>
        <w:t xml:space="preserve">1322. Therefore, for each of the two sectors, these are large-scale practices, due to their geographical extent and the market share affected, both from the demand and supply perspectives.  </w:t>
        <w:br/>
        <w:t xml:space="preserve">On the economic characteristics of the sectors in question  </w:t>
        <w:br/>
        <w:t xml:space="preserve">1323. In order to assess the extent of the damage caused to the economy, the Authority focuses on taking into account the objective economic characteristics of the sector in question, to the extent that these are likely to influence the conjunctural or structural consequences of the practices. In this case, it is necessary to successively assess the existence of barriers to entry, the price elasticity of demand, and the counter-power of distributors.  </w:t>
        <w:br/>
        <w:t xml:space="preserve">Strong barriers to entry  </w:t>
        <w:br/>
        <w:t xml:space="preserve">1324. As stated in paragraphs 105 and following and 114 and following, access to the markets for the supply of maintenance and hygiene products is made difficult by the importance of product innovations (references 24 405, 30 661, and 31 021), which themselves result from investments in research and development (references 30 263 and 30 264 (VC) / references 31 111 and 31 112 (VNC)) and significant advertising and marketing expenditures. Thus, for example, marketing and advertising expenditures in the hygiene sector represented in 2005 a "significant proportion of total sales" (Beiersdorf, p. 32 of its observations): 19% for the entire sector and even 26% in the particular case of Beiersdorf. A study published in March 2005 by the industrial studies and statistics department of the Ministry of Economy, concerning advertising expenditures in the manufacturing industry, supports this observation: the sectors "Soaps, detergents, and cleaning products" and "Perfumes and toiletries" were at that time the two sectors dedicating the largest share of their turnover to advertising. Unilever also notes that advertising policy constitutes "a historically key element of market access, compared to other markets" (reference 30 263).  </w:t>
        <w:br/>
        <w:t xml:space="preserve">1325. Furthermore, the capacity constraint inherent to the shelves of major retail brands contributes to limiting market access for new suppliers in these two sectors (reference 30 225). The Competition Council had already noted in decision No. 04-D-13 of April 8, 2004, that shelves constitute a "rare resource [for companies marketing consumer goods], access to which is subject to strong competition among producers" (paragraph 55).  </w:t>
        <w:br/>
        <w:t xml:space="preserve">1326. Finally, in the maintenance sector, the manufacturing of products requires the use of chemical processes for transforming raw materials that prove to be polluting and are the source of the application of heavy and costly safety or risk management standards (reference 44 511).  </w:t>
        <w:br/>
        <w:t xml:space="preserve">1327. Several implicated parties contest the existence and significance of barriers to entry.  </w:t>
        <w:br/>
        <w:t xml:space="preserve">1328. Firstly, Vania and Johnson &amp; Johnson Santé Beauté France (hereinafter "JJSBF") argue that, in the hygiene sector, the existence of barriers to entry should be relativized given the entry of new products or new brands during the period considered. Vania thus mentions the entry of Neutrogena in 2003. As for Laboratoires Vendôme, it recalls the entry of numerous brands such as Cadum in 2003, Bi-Solution and Le Petit Olivier in 2004, or John Frieda.  </w:t>
        <w:br/>
        <w:t xml:space="preserve">1329. As a preliminary point, it should be noted that the entry of Neutrogena into the market cannot be considered as demonstrating the possibility for a new operator to access the hygiene products market. Indeed, Neutrogena was marketed by Vania Expansion SNC, a company already active in the sector through the brands Vania, Demak’up, and Evian (reference 24 123).  </w:t>
        <w:br/>
        <w:t xml:space="preserve">1330. More generally, the development of new brands in a market should not be confused with the entry of new operators. Indeed, it can be observed that operators already active in the market implement strategies to diversify their product portfolio. In this regard, the elements presented by Beiersdorf in paragraphs 216 and following of its observations show that at the time of the practices, suppliers of hygiene products marketed a large number of products – sometimes several hundred – across several market segments and under several brands.  </w:t>
        <w:br/>
        <w:t>1331. It can also be noted that, in the case of hygiene, no new significant player has come to challenge the existing market configuration (see graph II-5 of Beiersdorf's observations, p. 44): the main operators remained the same during the period 2004-2006, while their respective market shares changed little. In these circumstances, while the entry of new suppliers into the market may have been observed, it has been limited to niche markets, such as organic products, similar to the brands Léa Nature or Le Petit Olivier. These new brands therefore constitute only a limited source of competitive pressure.</w:t>
      </w:r>
    </w:p>
    <w:p>
      <w:r>
        <w:rPr>
          <w:b/>
        </w:rPr>
        <w:t>[Pages 247–249]</w:t>
      </w:r>
    </w:p>
    <w:p>
      <w:r>
        <w:t>1332. Secondly, the absence of barriers to entry in the hygiene sector would be supported, according to several parties involved, by the strong development of private label brands (hereinafter, "PLB") which would have exerted very strong competitive pressure on national brand products. JJSBF notes that in certain product categories, such as soaps or shower gels, PLBs were particularly present and saw their market shares develop.</w:t>
      </w:r>
    </w:p>
    <w:p>
      <w:r>
        <w:t>1333. However, it emerges from the elements of the file that the penetration rate of PLBs in the hygiene and maintenance market remains particularly limited and that during the period concerned by the practices, it experienced lower growth compared to other categories of fast-moving consumer goods.</w:t>
      </w:r>
    </w:p>
    <w:p>
      <w:r>
        <w:t>1334. Thus, as stated in point 135, the penetration rate of PLBs, as a percentage of turnover, among "other fast-moving consumer goods" increased from 25% in January 2003 (start of the practices) to 28.6% in January 2006 (end of the practices), representing a gain of 3.6 points, while this rate increased from 8.3% to 9.5% (gain of 1.2 points) for the hygiene sector over the same period. The maintenance sector is also characterized by a PLB penetration rate lower than that of other fast-moving consumer goods (hereinafter, "FMCG") as it stands at 15.5% in January 2003 and 16.5% in January 2006 (a gain of 1 point).</w:t>
      </w:r>
    </w:p>
    <w:p>
      <w:r>
        <w:t>1335. Furthermore, the hygiene and maintenance sectors did not experience a catch-up phenomenon compared to other FMCG between 2003 and 2006: the increase in the penetration rate of PLBs is indeed identical for the hygiene sector and other FMCG (+14%). It is even lower than the average of other sectors for the maintenance sector (+6%).</w:t>
      </w:r>
    </w:p>
    <w:p>
      <w:r>
        <w:t>1336. Regarding the two categories of products referred to by JJSBF, the penetration rate of PLBs increased from 8.1% of turnover in January 2003 to 9.8% in January 2006 for shower gels (a gain of 1.7 points) and from 13.7% to 15.2% for soaps (a gain of 1.5 points). The penetration rates of PLBs for these two product categories were therefore also significantly lower than those of other FMCG.</w:t>
      </w:r>
    </w:p>
    <w:p>
      <w:r>
        <w:t xml:space="preserve">1337. The graph below, which shows the evolution of market shares of PLBs as a percentage of turnover in the hygiene, maintenance, and other FMCG sectors as well as in the soap and shower gel categories, confirms the significant gap between the penetration rate of PLBs in the sectors or product categories concerned by the practices on one hand, and in the rest of the FMCG on the other hand.  </w:t>
        <w:br/>
        <w:t>11 This graph was created from aggregated IRI data obtained from ILEC. This data allowed for the determination of the market shares of PLBs in the hygiene sector affected by the practices, in the maintenance sector affected by the practices, as well as in all other fast-moving consumer goods (FMCG) not affected by them (including hygiene and maintenance products not affected by the practices). For each of these three groups, the share of PLBs was calculated by averaging, weighted by turnover, the market shares of PLBs in the different IRI categories constituting the studied group.</w:t>
      </w:r>
    </w:p>
    <w:p>
      <w:r>
        <w:t>1338. Lastly, Vania and JJSBF believe that it should be demonstrated that barriers to entry had an effect on the sustainability and profitability of the practices.</w:t>
      </w:r>
    </w:p>
    <w:p>
      <w:r>
        <w:t>1339. However, the Authority is not required to provide such a demonstration for the assessment of damage to the economy. In any case, the presence of barriers to entry played a stabilizing role in the cartel. Barriers to entry limited the possibility for new entrants to disrupt the cartel and thus contributed to increasing its potential effects, allowing its members to raise their prices.</w:t>
      </w:r>
    </w:p>
    <w:p>
      <w:r>
        <w:t>1340. It follows from the preceding elements that the existence of strong barriers to entry in the hygiene and maintenance product sectors is demonstrated. This characteristic of the sectors concerned by the cartels is likely to amplify the harmful effects of the practices.</w:t>
      </w:r>
    </w:p>
    <w:p>
      <w:r>
        <w:t>A low price elasticity of demand</w:t>
      </w:r>
    </w:p>
    <w:p>
      <w:r>
        <w:t>1341. In order to assess the extent of the damage caused to the economy, it is also necessary to take into account the sensitivity of demand to price, or "price elasticity" (Court of Cassation ruling of April 7, 2010, Orange France et al., cited above).</w:t>
      </w:r>
    </w:p>
    <w:p>
      <w:r>
        <w:t>1342. In this case, contrary to what Colgate-Palmolive claims, the analysis of price elasticity of demand from the perspective of the final consumer is relevant. Indeed, due to the Galland law, suppliers were able to set retail prices themselves or at least, given the very low margins of distributors, to influence them very significantly. Thus, when implementing collusive practices aimed at increasing the net price charged to distributors, it is, in particular, the sensitivity of final consumers to these price increases that determines the extent of the increase that can be set following the consultation.</w:t>
      </w:r>
    </w:p>
    <w:p>
      <w:r>
        <w:t>1343. Four main indicators allow for the assessment of this price elasticity of demand in the hygiene and maintenance product sector.</w:t>
      </w:r>
    </w:p>
    <w:p>
      <w:r>
        <w:t>1344. Firstly, hygiene and maintenance products are everyday consumer goods, essential for consumers: they are therefore relatively captive and can, at best, arbitrate between different products within the same segment to satisfy a given need.</w:t>
      </w:r>
    </w:p>
    <w:p>
      <w:r>
        <w:t>1345. Secondly, as previously noted, the weight of brands, product innovation, advertising, and marketing expenditures play a central role in consumer choice, thus reducing their ability to substitute a given product with a competing product, particularly under private label.</w:t>
      </w:r>
    </w:p>
    <w:p>
      <w:r>
        <w:t>1346. Thirdly, several statements from employees of companies that do not contest the allegations attest to the low price elasticity of demand. Thus, for the hygiene sector, Mr. Etienne X... (Vania Expansion) stated: "This is a sector where, except in exceptional cases, competition is more about the strength of brands and the marketing communication of players than about prices. These are products that are generally not very price elastic" (reference 40 071). Similarly, Ms. Nathalie Y... (Colgate-Palmolive) stated that, in the maintenance sector, products were "not very price elastic, except during promotions" (reference 39 913).</w:t>
      </w:r>
    </w:p>
    <w:p>
      <w:r>
        <w:t>1347. Lastly, assuming, on one hand, that the data used to calculate these elasticities are sufficiently accurate (see infra) and, on the other hand, that these estimates are free from biases due to the use of aggregated average data or the "storable" nature of the products in question, the econometric estimates produced by Henkel12 based on KANTAR data further confirm the low price elasticity of demand, both for hygiene and maintenance products: indeed, in absolute terms, the price elasticity of demand for hygiene products is between 0.76 and 0.77 and that for maintenance products is between 0.62 and 0.78. It is well established that demand is considered "inelastic" when its price elasticity is less than 1, in absolute value. In this regard, the fact that the price elasticities of demand for hygiene and maintenance products are higher than those obtained for the price elasticity of demand for other fast-moving consumer goods does not undermine the low elasticity of demand observed for these products.</w:t>
      </w:r>
    </w:p>
    <w:p>
      <w:r>
        <w:t xml:space="preserve">1348. According to JJSBF and Vania, a low price elasticity of demand would tend to reduce the damage caused to the economy by a cartel practice. According to these companies, in the presence of low price elasticity, suppliers and distributors can charge high prices even in a competitive market, which tends to reduce the difference between the collusive price and the competitive price, i.e., the overprice related to the practices, and thus mitigates the damage to the economy. However, while a low price elasticity of demand allows, under certain circumstances, companies competing in an oligopolistic market to set higher prices than in the presence of high elasticity, this low elasticity also allows for...  </w:t>
        <w:br/>
        <w:t xml:space="preserve">12 See Annex 1 of the observations of Henkel AG &amp; Co. KGaA and Henkel France SA regarding the determination of monetary sanctions.  </w:t>
        <w:br/>
        <w:t>13 "Demand inelasticity" refers to the fact that the volume sold increases by less than 1% when the price of the product decreases by 1%. In this case, according to the estimates provided by Henkel, the demand for hygiene products increases by 0.76% to 0.77% when the price of these products decreases by 1%, and that for maintenance products increases by 0.62% to 0.78% when the price of maintenance products decreases by 1%.</w:t>
      </w:r>
    </w:p>
    <w:p>
      <w:r>
        <w:rPr>
          <w:b/>
        </w:rPr>
        <w:t>[Pages 250–252]</w:t>
      </w:r>
    </w:p>
    <w:p>
      <w:r>
        <w:t>fix a higher price in a monopoly or collusion situation. However, the less a company is constrained by competition in a market, the more it is able to increase its price following a decrease in the price elasticity of its demand. By moving from a market where price elasticity is high to a market where this same elasticity is low, a monopoly or collusion between companies can therefore raise its price by a greater amount than would a non-cartelized oligopoly. Contrary to the conclusions of JJSBF and Vania, low price elasticity does not mitigate the supracompetitive price and thus the damage to the economy, but rather increases it.</w:t>
      </w:r>
    </w:p>
    <w:p>
      <w:r>
        <w:t>1349. It emerges from the preceding elements that the demand for hygiene products and that for maintenance products are inelastic to price, which is likely to increase the damage to the economy caused by the practices.</w:t>
      </w:r>
    </w:p>
    <w:p>
      <w:r>
        <w:t>A counter-power of distributors to be relativized</w:t>
      </w:r>
    </w:p>
    <w:p>
      <w:r>
        <w:t>1350. Several parties implicated allege that the bargaining power enjoyed by large retailers, mentioned in points 126 and following, counterbalanced the denounced practices and thus reduced the damage caused to the economy.</w:t>
      </w:r>
    </w:p>
    <w:p>
      <w:r>
        <w:t>1351. In the supply sector of large retail, particularly in maintenance and hygiene products, it must be noted that demand exhibits an oligopolistic character. It is essentially the result of seven major brands (Carrefour, Auchan, Casino, Système U, Intermarché, Leclerc, and Cora), present in all segments of traditional retail (convenience store, supermarket, and hypermarket). In this context, the brands have bargaining power over suppliers, especially since shelf space is a scarce resource. This power is manifested in the most extreme cases by threats of delisting products or actual delistings.</w:t>
      </w:r>
    </w:p>
    <w:p>
      <w:r>
        <w:t>1352. However, the bargaining power of distributors vis-à-vis suppliers in the hygiene and maintenance sectors must be assessed in light of the market power that suppliers may possess. In this regard, six elements deserve attention.</w:t>
      </w:r>
    </w:p>
    <w:p>
      <w:r>
        <w:t>1353. First, negotiations of commercial agreements take place between suppliers and purchasing managers within the brands, who only intervene in a specific sector – in this case, the hygiene or maintenance sector. Consequently, the comparison made by the implicated parties between, on the one hand, the overall share of major distributors in the suppliers' turnover and, on the other hand, the overall share of each supplier in the turnover of each distributor, is not relevant. Indeed, since it is not feasible for a distributor to compensate for the loss of products present in a shelf, following a potential delisting, by increasing the sales of products from another shelf, the actual importance of a supplier for a brand does not correspond to the share it represents in the total turnover of that brand, but to its share in the activity of a specific shelf. This is even more true when the supplier has well-known brands that enhance the distributor's shelf space. It has already been indicated that the participants in the pursued practices represented at the time about two-thirds of the hygiene and maintenance sectors.</w:t>
      </w:r>
    </w:p>
    <w:p>
      <w:r>
        <w:t>1354. Second, the power of large retail is more difficult to exert when manufacturers have well-known brands, as the Commission recalled in several merger decisions (for example: decisions of July 15, 2005, COMP/M. 3732, Procter &amp; Gamble/Gillette, points 122 and following, of July 30, 2003, COMP/M. 3149, Procter &amp; Gamble/Wella, point 57, and of June 21, 1994, IV/M. 430, Procter &amp; Gamble/VP Schickedanz). In this case, suppliers in the hygiene and maintenance sectors manufacture and sell to distributors products that have a strong reputation among consumers. As stated by a distributor, "the hygiene and maintenance market is particular because all operators, in one field or another, are essential" (reference 34 232). Similarly, at the time of the implementation of the Dutreil law, the head of the Carrefour group indicated, "The products that experience the highest increases are often essential. I cannot remove them from the shelves" (reference 23 692). In this regard, the companies involved in the practices represent almost all major national brands in each of the sectors concerned, and thus most of the so-called "essential" products.</w:t>
      </w:r>
    </w:p>
    <w:p>
      <w:r>
        <w:t>1355. In particular, the implicated companies cannot effectively invoke the decisions and opinions of the Authority relating to certain sectors of the agri-food industry. Indeed, the often atomized nature of the supply, the variability of production that makes prices volatile, the unstable nature of demand, sensitive to climatic hazards or health crises, and finally the often perishable nature of products place producers of certain agricultural or agri-food products in an unbalanced position against large retail (decisions No. 12-D-08 of March 6, 2012, relating to practices implemented in the production and marketing sector of endives, point 625, No. 13-D-03, previously cited, points 21 to 23, and opinion No. 08-A-07 relating to the economic organization of the fruit and vegetable sector, point 23). The hygiene and maintenance sectors do not exhibit any of these characteristics, so any comparison of this case with the decisions or opinions of the Authority concerning the agri-food sector is irrelevant.</w:t>
      </w:r>
    </w:p>
    <w:p>
      <w:r>
        <w:t>1356. Third, and contrary to what several implicated parties assert, the studies, opinions, and reports conducted at the time (or shortly after) of the practices on the relationships between suppliers and distributors – whether it be the Canivet report (2004), the study by Professor Michel Dietsch for the Commission for the Examination of Unfair Commercial Practices (2007), or opinion No. 04-A-18 of the Competition Council of October 18, 2004 – did not conclude to the absence of bargaining power of suppliers. Thus, for example, the Canivet report emphasized the strong bargaining power and high profitability of large suppliers (pp. 47 to 50) and, conversely, the fragility of SMEs. The Canivet report also noted that, in the field of fast-moving consumer goods (FMCG), large groups represented only 3% of suppliers, but 56% of references and 59% of turnover. The study by Professor Michel Dietsch for the Commission for the Examination of Unfair Commercial Practices (pp. 56, 58, and 78) and opinion No. 04-A-18 of the Competition Council of October 18, 2004 (point 17) highlighted the power of brands with a strong reputation.</w:t>
      </w:r>
    </w:p>
    <w:p>
      <w:r>
        <w:t>1357. Fourth, many implicated companies point to the significant threat of delisting practices by distributors. They claim that these delistings were a mark of the bargaining power of distributors. As a preliminary point, it should be noted that the companies only mention the delistings of certain products from large suppliers, without specifying whether these delistings concerned essential brands. They also do not indicate the duration of these delistings, nor do they explain the objective cause.</w:t>
      </w:r>
    </w:p>
    <w:p>
      <w:r>
        <w:t>1358. While it is indeed possible that a distributor may take the risk of not having one or more products from one of its suppliers on its shelves for a certain period, the power of certain brands, however, allows for limiting the frequency and impact of these delistings. Furthermore, the available economic studies confirm the power of brands in the hygiene and maintenance sectors. Regarding the maintenance sector, the study published by the Xerfi institute in June 2006 confirmed the importance of major brands (references 44 539 to 44 541). Thus, for fabric softeners, the market was dominated by the brand Soupline (Colgate-Palmolive) and to a lesser extent by Cajoline (Unilever), which together accounted for 69.1% of sales. For dishwasher products, the most important brands were Sun (Unilever) and Calgonit (Reckitt Benckiser), covering 74% of the market. Finally, for household cleaners, the brands Ajax (Colgate-Palmolive), Mr. Clean (Procter &amp; Gamble), Cif (Unilever), and Saint Marc (Reckitt Benckiser) accounted for 58.2% of sales. For the hygiene sector, the study published by the Xerfi institute in January 2007 allowed for the same diagnosis (references 44 617 to 44 619). Regarding shower and bath products, the brands Sanex (Sara Lee), Mont Saint Michel (Henkel), and Le Petit Marseillais (Johnson &amp; Johnson) together accounted for 59.8% of market shares. For shampoos, the brands of the L'Oréal group (Elsève, Fructis, Ultra-Doux, Jacques Dessange, and Dop) alone represented 44.2% of the market and 54.4% with the brand Head &amp; Shoulders (Procter &amp; Gamble). For toothpastes, the brands Signal (Unilever) and Colgate and Tonigencyl (Colgate-Palmolive) together accounted for 55.9% of market shares.</w:t>
      </w:r>
    </w:p>
    <w:p>
      <w:r>
        <w:t>1359. Moreover, major suppliers are able to pool the risks of delisting across numerous references and across all distributors in the market. For example, following Auchan's delisting of the Nivea Douche range in 2006, Beiersdorf indicated that it lost 5% of its turnover with this distributor in the affected segment. It was therefore not a loss of 5% of its total turnover but rather 5% of the turnover generated with this single distributor and on a single product segment.</w:t>
      </w:r>
    </w:p>
    <w:p>
      <w:r>
        <w:t>1360. Furthermore, the practices were implemented notably to minimize this risk of delisting. Thus, during his hearing, Mr. Gérard H... (Henkel; reference 43 895) stated: "I internally opted to stop the Sarkozy agreement on January 1, 2005, but I am aware of the risk of delisting, and I am therefore interested in knowing the options taken by other operators in our environment." As the implicated parties adopted relatively consistent positions, distributors faced a united front from almost all major suppliers. In this context, it became more difficult for them to proceed with delistings.</w:t>
      </w:r>
    </w:p>
    <w:p>
      <w:r>
        <w:t>1361. Fifth, several implicated companies insist that national brands were always under the threat of the introduction of private label products (MDD). It has been shown in point 1334 that the penetration rate of private label products in the hygiene market is particularly limited and that during the period concerned by the practices, it experienced lower growth compared to other categories of fast-moving consumer goods.</w:t>
      </w:r>
    </w:p>
    <w:p>
      <w:r>
        <w:t>1362. Lastly, several implicated parties claim that the importance of retroactive margins and their growth would be a sign of a very significant market power of large retail. As a preliminary point, it should be recalled that at the time of the application of the Galland law, characterized by a situation of tacit equilibrium between producers and distributors, the increase in retroactive margins was accompanied by a concomitant increase in the gross prices of suppliers, which led to a relative stability of triple net prices. This last point is confirmed by the parties themselves in their observations (L'Oréal, point 332, Colgate-Palmolive, point 172, Beiersdorf, point 269). This stability at least attested to the suppliers' ability to counterbalance the purchasing power of large retail in the normative context of the time.</w:t>
      </w:r>
    </w:p>
    <w:p>
      <w:r>
        <w:t>1363. All these elements demonstrate that, while at the time of the pursued practices, suppliers in the hygiene and maintenance sectors were indeed facing powerful buyers, their situation allowed them to appreciably counterbalance the power of distributors. Moreover, the concerted practices allowed for the</w:t>
      </w:r>
    </w:p>
    <w:p>
      <w:r>
        <w:rPr>
          <w:b/>
        </w:rPr>
        <w:t>[Pages 253–255]</w:t>
      </w:r>
    </w:p>
    <w:p>
      <w:r>
        <w:t>de l’information »), ce qui a également eu un impact sur les négociations. En effet, les échanges d’informations ont permis aux fournisseurs de mieux anticiper les réactions des distributeurs et d’adapter leurs stratégies en conséquence. Cela a conduit à une dynamique de négociation moins compétitive, favorisant des accords plus favorables aux fournisseurs.</w:t>
      </w:r>
    </w:p>
    <w:p>
      <w:r>
        <w:t>1377. En conclusion, les pratiques concertées ont eu un impact significatif sur les relations entre fournisseurs et distributeurs, en altérant la nature des négociations et en réduisant la concurrence sur les prix. Les fournisseurs ont pu bénéficier d'une position plus forte dans les négociations, ce qui a contribué à maintenir des prix de détail plus élevés pour les consommateurs.</w:t>
      </w:r>
    </w:p>
    <w:p>
      <w:r>
        <w:rPr>
          <w:b/>
        </w:rPr>
        <w:t>[Pages 256–258]</w:t>
      </w:r>
    </w:p>
    <w:p>
      <w:r>
        <w:t xml:space="preserve">de l’information ») dans la concurrence qu’ils se livraient entre eux, favorisant ainsi la convergence de leurs comportements. Ces deux aspects seront successivement développés.  </w:t>
        <w:br/>
        <w:t xml:space="preserve">♦ Effects of practices on the negotiation process with distributors  </w:t>
        <w:br/>
        <w:t xml:space="preserve">1377. From an economic perspective, suppliers' negotiations with each distributor normally take place in a context of incomplete information. Indeed, suppliers are kept in the dark about the actual pricing proposals of other operators, while on their side, distributors are informed, notably:  </w:t>
        <w:br/>
        <w:t xml:space="preserve">- of the requests they make to each of the distributors;  </w:t>
        <w:br/>
        <w:t xml:space="preserve">- of the pricing proposals made to them;  </w:t>
        <w:br/>
        <w:t xml:space="preserve">- of the evolution of their requests and the pricing proposals of each during a negotiation that extends over several months before the setting of the net triple price;  </w:t>
        <w:br/>
        <w:t xml:space="preserve">- of the status of their negotiations with each.  </w:t>
        <w:br/>
        <w:t xml:space="preserve">1378. In this type of situation, the distributor occupies a particular position in the negotiation since it has "private" information vis-à-vis its suppliers, while the suppliers are not informed of competing pricing proposals, or at the very least are only partially informed.  </w:t>
        <w:br/>
        <w:t xml:space="preserve">1379. The distributor will therefore take advantage of this asymmetry of information to put its various interlocutors in competition, via "benchmarking" (points 159159 and following). It will thus indicate, in a more or less transparent and more or less accurate manner (through "bluff" strategies), the level of pricing proposals it has received from other suppliers.  </w:t>
        <w:br/>
        <w:t xml:space="preserve">1380. In the presence of such an asymmetry of information, suppliers are encouraged to formulate attractive pricing proposals in order to increase their chances of signing a contract with a distributor. This process stimulates competition among suppliers and leads them to moderate the increase in the price of their products, or even to lower it, which is in the interest of the distributor and, ultimately, the consumer.  </w:t>
        <w:br/>
        <w:t xml:space="preserve">1381. However, in the presence of exchanges of information among suppliers regarding their pricing proposals, the distributor loses the benefit of this private information, to the advantage of the suppliers.  </w:t>
        <w:br/>
        <w:t xml:space="preserve">1382. In the case at hand, the consultation in the form of information exchanges allowed suppliers to assess the quality of the information provided by distributors and thus to detect the extent of the "bluff" inherent in this type of negotiation. The attempts at "bluff" by distributors thus became ineffective.  </w:t>
        <w:br/>
        <w:t xml:space="preserve">1383. The loss of the benefit of the private information that existed in favor of the distributors is evidenced by the statements of several parties involved, who explained the interest of information exchanges by the need to detect the "bluff" of the distributors (see for example points 696, 710, and 716).  </w:t>
        <w:br/>
        <w:t xml:space="preserve">1384. Now, such exchanges, at all stages of the negotiation, on the main elements of the price, among almost all suppliers of major national brands, and concerning all distributors, could only have a significant effect on the profit derived from the negotiations by each of the participating suppliers, notably by allowing the lifting of a significant portion of the asymmetry of information and the inherent uncertainty in the negotiation process concerning the sectors involved.  </w:t>
        <w:br/>
        <w:t xml:space="preserve">♦ Effects of practices on suppliers' strategies  </w:t>
        <w:br/>
        <w:t xml:space="preserve">1385. The consultation practices also favored the formulation, by suppliers, of pricing offers at a level higher than those that would have resulted from the free play of competition.  </w:t>
        <w:br/>
        <w:t xml:space="preserve">1386. From an economic perspective, suppliers' negotiations with each distributor take place in a context of imperfect information: in the absence of communication among them, each supplier is unaware, when formulating its offer, of the content of the proposal made by its competitors.  </w:t>
        <w:br/>
        <w:t xml:space="preserve">1387. Therefore, in formulating its pricing proposal, the supplier can, at best, attempt to anticipate the proposals of its competitors, in order to choose the strategy that will allow it to achieve the highest possible economic profit.  </w:t>
        <w:br/>
        <w:t xml:space="preserve">1388. In such a situation of strategic uncertainty regarding the choices of its competitors, the supplier has no interest in making an offer that is at a supra-competitive level (above the competitive price). Indeed, if other suppliers anticipate the existence of such an offer, they have an interest in not aligning but rather in making a proposal at a lower price to position themselves favorably. The supplier that originated the supra-competitive offer thus risks being completely or partially excluded from the market.  </w:t>
        <w:br/>
        <w:t xml:space="preserve">1389. On the contrary, in the presence of exchanges of information regarding the upcoming choices of suppliers, the strategic uncertainty in which they find themselves is necessarily reduced. At the time of formulating their offers to the distributor, suppliers are aware of the pricing proposals of some or all of their competitors.  </w:t>
        <w:br/>
        <w:t xml:space="preserve">1390. As long as the exchanged information is credible, that is to say, as long as it is sufficiently plausible that the exchanged information corresponds to the offers actually made, suppliers can propose to distributors less competitive conditions than those resulting from a more opaque negotiation process. Competitors will prefer to align with these supra-competitive proposals rather than to propose an offer at a lower level. Supra-competitive offers can thus, in the presence of information exchanges, be implemented while the strategic uncertainty inherent in untainted competitive interactions would eliminate them.  </w:t>
        <w:br/>
        <w:t xml:space="preserve">1391. The information thus exchanged will allow both coordination on pricing proposals at a supra-competitive level, notably when it comes to future data, and verification of past behaviors allowing the detection of non-compliance with the common course of action.  </w:t>
        <w:br/>
        <w:t xml:space="preserve">1392. In this case, the observed practices allowed each participant to incorporate into the formulation of its own pricing proposals the proposals made by its competitors. The exchanges of information thus provided the implicated companies with the ability to identify a "safety zone" within which they were no longer isolated in relation to the pricing proposals of their competitors.  </w:t>
        <w:br/>
        <w:t xml:space="preserve">1393. The pricing proposals located within this safety zone were higher than those that would have resulted from a situation of untainted competition while being consistent with one another, which legitimized them in the eyes of the distributors and facilitated their acceptance de facto. More rarely, the exchanges of information also allowed participants to adopt a position different from that of their competitors, with full knowledge of the facts, and to take this into account in the course of their own negotiations in order to gain an advantage (reference 40 503).  </w:t>
        <w:br/>
        <w:t xml:space="preserve">1394. Moreover, the system of information exchanges organized in each of the two sectors allowed for the monitoring of the collusive cooperative equilibrium, thanks to the content of the information that companies communicated to each other and the characteristics of the sectors in which the practices took place.  </w:t>
        <w:br/>
        <w:t xml:space="preserve">1395. Regarding the exchanges of pricing grids that took place during the Team Circles and the Friends on the two sectors, they limited the incentives to deviate from the equilibrium resulting from the exchanges, since any innovation or price decrease could be detected and countered quickly, for example by implementing occasional promotions. The exchange of information thus allowed for the certain and rapid acquisition of the pricing grids and the general terms and conditions of sale of competitors without providing any consideration to the distributors. The speed of detection of any deviations from the collusive equilibrium could only limit the incentives to deviate and, consequently, reinforce the collusive equilibrium.  </w:t>
        <w:br/>
        <w:t xml:space="preserve">1396. In addition to these exchanges, the information communicated during meetings regarding very recent, albeit past, prices allowed companies, throughout the duration of the practice, to verify the accuracy of the information exchanged between companies, once the prices were sent to large distribution.  </w:t>
        <w:br/>
        <w:t xml:space="preserve">1397. As for the exchanges of turnover figures that took place in these same frameworks, during meetings or through correspondence, they allowed participants in the practices to monitor the evolution of the commercial performance of other operators and to quickly detect any deviations from the collusive equilibrium resulting from the exchanges of information regarding the various elements of the net triple price previously exposed. To the extent that the turnover figures thus communicated included "promotional effects," they notably contributed to the rapid detection of the implementation, by the concerned companies, of promotional policies that were likely to alter the collusive equilibrium resulting from the exchanges (points 737 and following).  </w:t>
        <w:br/>
        <w:t xml:space="preserve">The impact of practices on consumer selling prices (CSP)  </w:t>
        <w:br/>
        <w:t xml:space="preserve">♦ On the quantitative assessments of the overprice caused by the practices  </w:t>
        <w:br/>
        <w:t xml:space="preserve">1398. As a preliminary point, it should be recalled that, while the Authority must assess the existence and significance of the damage based on as complete an analysis as possible of the elements of the file, it is not required to quantify it precisely. Furthermore, the sanctions communiqué recalls that "the elements it takes into consideration are generally of a qualitative nature, but may also be of a quantitative nature when such elements are available and reliable" (§28).  </w:t>
        <w:br/>
        <w:t xml:space="preserve">1399. In this case, the investigation services, and then the parties, attempted to estimate quantitatively the overprice associated with the practices. However, given notably the poor quality of the available data, the econometric analyses carried out are not conclusive.  </w:t>
        <w:br/>
        <w:t>1400. First, the three databases used present significant limitations. The price index of hygiene and maintenance products (the so-called "DPH" grouped index) sold in large distribution by INSEE incorporates the prices of detergents from certain manufacturers, already sanctioned by decision No. 11-D-17 for practices implemented in the detergent sector and, above all, covers product categories not concerned by the practices and products concerned by them but sold by companies that did not participate in the information exchanges. The estimation of the overprice derived from this data could only constitute a lower bound of the overprice actually caused by the practices, especially since the counterfactual</w:t>
      </w:r>
    </w:p>
    <w:p>
      <w:r>
        <w:rPr>
          <w:b/>
        </w:rPr>
        <w:t>[Pages 259–261]</w:t>
      </w:r>
    </w:p>
    <w:p>
      <w:r>
        <w:t xml:space="preserve">utilized in the context of the double difference estimation also includes the prices of products covered by the practices.  </w:t>
        <w:br/>
        <w:t xml:space="preserve">1401. The retail price indices derived from KANTAR and IRI panel data, obtained from ILEC in an aggregated form by product type (such as "soaps" or "shower gels"), also present two significant limitations. First, these price indices developed by the investigation services, while only incorporating the categories of products involved in the practices, also include the prices of products sold by companies that did not participate in the practices and the prices of products sold under private label. Again, the estimated overprice derived from these indices could only constitute a lower bound of the actual overprice caused by the practices on the products sold by the implicated companies. Second, it became apparent during the adversarial debate that the data from which these indices were derived presented, as highlighted by several parties (such as Bolton Solitaire, Vania, JJSBF, Colgate-Palmolive, or Unilever), significant inconsistencies, particularly due to changes in the scope of the hygiene and maintenance sectors considered during the studied period. The solution of removing the shelves or product categories presenting these inconsistencies, as proposed by some companies, is not satisfactory: it amounts to removing between 30% and 50% of hygiene and maintenance products (according to the economic studies and databases considered), which is too large a proportion of affected products for the estimates made to reflect the true overprice caused by the practices. Similarly, the reprocessing of the data, which involves replacing values identified as potentially aberrant with values calculated from values identified as potentially non-aberrant that are closer in time or more recent, to which their successive growth rates are applied, assumes that both these data and the growth rates themselves are reliable, which is by no means certain. Consequently, the quality of the aggregated IRI and KANTAR data obtained from ILEC does not allow for a reliable establishment of an overprice.  </w:t>
        <w:br/>
        <w:t xml:space="preserve">1402. Secondly, the estimates produced by comparing the INSEE price indices before and during the period of the practices (the "before-after" method or, in this case, "before-during") are not conclusive. Indeed, as recalled above, the practices occurred concurrently with the implementation of the Dutreil circular and then the Sarkozy Commitment. These two modifications of the regulatory framework, which generated uncertainty conducive to competition, render the period of the practices, subsequent to the Dutreil circular and then the Sarkozy Commitment, very little comparable to the period prior to the practices, during which the Galland law continued to mitigate competition among manufacturers.  </w:t>
        <w:br/>
        <w:t xml:space="preserve">1403. Thirdly, as highlighted by Bolton Solitaire, the analysis of the damage to the economy based solely on retail prices does not allow for the identification of the overprice related to the denounced practices, whose effects occur at the level of the prices charged by manufacturers, namely the invoice prices and the triple net prices. The behaviors of distributors, who perceive a low margin at the retail stage but whose level (averaged between 5% and 1% between 2000 and 2006 for all consumer goods) cannot be neglected, can influence the overprice measured at the retail stage either upwards (for example, if distributors increase their retail margins during the practices) or downwards (if they decrease their retail margins during the practices). The overprice actually caused by the practices cannot therefore be directly inferred from the analysis of retail prices. The use of the double difference method can only correct this bias to the extent that the behaviors of distributors regarding their retail margin are identical across the hygiene and maintenance sectors and those of other consumer goods, which is by no means demonstrated, including for restricted counterfactual groups, i.e., composed solely of hygiene and maintenance products not affected by the practices.  </w:t>
        <w:br/>
        <w:t xml:space="preserve">1404. Fourthly, several parties have pointed out that the errors of the estimated econometric models present, due to the nature of the available price data, a higher-order autocorrelation of more than 1, the consideration of which renders the estimates of the overprice imprecise. The inclusion of "lagged" price indices (corresponding to the months or periods prior to the one examined) in the estimates, while it allows for the resolution of this autocorrelation, leads to estimates of the overprice that can only be interpreted as lower bounds of the overprice. Indeed, it includes not only the effect directly measured by the estimation but also an indirect effect, corresponding to the effect of the practices on the lagged price indices. The estimate thus obtained can therefore only be a lower bound of the actual overprice and remains very imprecise.  </w:t>
        <w:br/>
        <w:t xml:space="preserve">1405. For these various reasons, given the low quality of the data, the econometric estimates of the overprice, which should moreover be interpreted as lower bounds of the actual overprice, do not present a sufficient degree of reliability to be taken into account in the assessment of the damage to the economy and must be dismissed.  </w:t>
        <w:br/>
        <w:t xml:space="preserve">♦ On the qualitative assessment of the overprice  </w:t>
        <w:br/>
        <w:t xml:space="preserve">1406. Several implicated companies – including Unilever, Procter &amp; Gamble, Reckitt Benckiser – allege that the concerted practices regarding deviations, by limiting the level of back margins granted by suppliers to distributors, have limited the increase in retail prices. According to the implicated parties, the lesser deviation of commercial cooperation granted by suppliers to their distributors would have reduced the increase in costs for these suppliers, which would necessarily have been passed on in their selling prices to distributors, and thus in the selling prices to consumers. Reckitt Benckiser, Unilever, and Procter &amp; Gamble therefore suggest that suppliers would have passed on part of this margin to consumers by granting a smaller price increase.  </w:t>
        <w:br/>
        <w:t xml:space="preserve">1407. In this case, such an argument cannot prosper given the observed practices. Indeed, the exchanges of information regarding deviations in commercial cooperation were not autonomous but were part of a broader framework, covering all components of the triple net prices of the implicated companies. In particular, it has been established that the practices also concerned increases in gross prices before their sending to distributors, without any mention of any price moderation that could benefit consumers.  </w:t>
        <w:br/>
        <w:t xml:space="preserve">1408. Given the applicable legal framework, these charged price increases were necessarily passed on in the selling prices to consumers. In this regard, it is appropriate to distinguish two periods.  </w:t>
        <w:br/>
        <w:t xml:space="preserve">1409. Before January 1, 2006, the resale below cost threshold was defined as "the actual purchase price": it was understood as excluding any discounts or rebates of any kind granted by the supplier at the time of invoicing. The resale price to the consumer was therefore the unit selling price on the invoice, a floor price that was imposed on the distributor, increased by the margin freely determined beforehand by the distributors. The latter therefore had reduced leeway to set the selling prices to consumers for the products they marketed. In these circumstances, the increase in the resale below cost threshold induced by the practices was necessarily passed on, at least in large part, by the distributors in the resale price to the consumer.  </w:t>
        <w:br/>
        <w:t xml:space="preserve">1410. As of January 1, 2006, the resale below cost threshold still constituted, for the distributor, a floor price, but its definition was modified. However, this new definition did not lead to an absolute decoupling between the resale below cost threshold and the charged prices, as the latter still constituted one of the essential elements of the resale below cost threshold. In these circumstances, any coordinated increase in the charged prices had an upward effect on the resale below cost threshold, which was necessarily passed on, at least in large part, in the selling prices to consumers.  </w:t>
        <w:br/>
        <w:t xml:space="preserve">Conclusion on the percentage of the value of sales  </w:t>
        <w:br/>
        <w:t xml:space="preserve">1411. Given the assessment made above regarding the severity of the facts and the importance of the damage caused to the economy in the two sectors under examination, the Authority will retain, to determine the base amount of the sanction imposed on the implicated companies, a proportion of 15% of the value of their sales.  </w:t>
        <w:br/>
        <w:t xml:space="preserve">d) On the duration of participation  </w:t>
        <w:br/>
        <w:t xml:space="preserve">1412. As indicated in point 1277, the duration of an infringement of competition rules is a factor that should be taken into account in the assessment of both the severity of the facts and the importance of the damage caused to the economy. Indeed, the longer such an infringement lasts, the more substantial and persistent the harm it causes to the competitive process and the disruption it causes to the functioning of the sector or market in question, and more generally to the economy, can be. The Union's case law on this point notes that "if an agreement fixes the state of the market at the time it is concluded, its long duration may rigidify the structures... The return to a state of free competition will be all the more difficult and lengthy as the duration of the agreement itself has been long" (Court of Justice, December 8, 2011, KME Germany e.a./Commission, C-389/10 P, Rec. p. I-13125, paragraph 75).  </w:t>
        <w:br/>
        <w:t xml:space="preserve">1413.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complete year of implementation of the behavior in question, to the reference sales value, and then to half of this value, for each of the subsequent complete years of implementation. Beyond this last complete year, the remaining period is taken into account on a monthly basis, as far as the elements of the file allow.  </w:t>
        <w:br/>
        <w:t xml:space="preserve">1414. In each specific case, this method results in a multiplicative coefficient, defined proportionally to the individual duration of participation of each company in the infringement and applied to the proportion of the value of sales made by each of them during the accounting year retained as a reference.  </w:t>
        <w:br/>
        <w:t>1415. In the present case, beyond the complete years of participation, the Authority will retain the complete months of participation pro rata temporis.</w:t>
      </w:r>
    </w:p>
    <w:p>
      <w:r>
        <w:rPr>
          <w:b/>
        </w:rPr>
        <w:t>[Pages 262–264]</w:t>
      </w:r>
    </w:p>
    <w:p>
      <w:r>
        <w:t xml:space="preserve">Duration of companies' participation in the single agreement in the maintenance sector  </w:t>
        <w:br/>
        <w:t xml:space="preserve">1416. The single, complex, and continuous agreement that took place in the maintenance products sector lasted from January 2003 to February 3, 2006. As previously explained, this single agreement consists of several coordinated practices. Among them, the practices that took place within the framework of the Cercle Team HP (meetings and correspondence) as well as bilateral or multilateral contacts between the companies occurred throughout the entire period of the single agreement, from January 2003 to February 3, 2006. In particular, regarding bilateral and multilateral contacts, the evidence in the file shows that they occurred regularly between January 14, 2003, and November 2005. To these various practices, those that took place within the framework of the Cercle des Amis were added, starting from September 21, 2004.  </w:t>
        <w:br/>
        <w:t xml:space="preserve">1417. In order to ensure the individualization and proportionality of the sanctions, it is appropriate to retain, for each of the companies, the duration of their participation in the single, complex, and continuous agreement or, where applicable, in certain coordinated practices that constitute it, as identified in points 981 and following. The table below summarizes, for each of the implicated companies, the period of participation in the single agreement or in the coordinated practices that constitute it, the duration of participation in the infringement, and the corresponding multiplier coefficient:  </w:t>
        <w:br/>
        <w:t xml:space="preserve">Period of Duration of Coefficient  </w:t>
        <w:br/>
        <w:t xml:space="preserve">participation in participation in multiplier  </w:t>
        <w:br/>
        <w:t xml:space="preserve">Companies  </w:t>
        <w:br/>
        <w:t xml:space="preserve">the agreement or the agreement or applicable  </w:t>
        <w:br/>
        <w:t xml:space="preserve">practices practices  </w:t>
        <w:br/>
        <w:t xml:space="preserve">Colgate-Palmolive January 14, 2003 to at most 3 years 2  </w:t>
        <w:br/>
        <w:t xml:space="preserve">February 3, 2006  </w:t>
        <w:br/>
        <w:t xml:space="preserve">Henkel January 14, 2003 to at most 3 years 2  </w:t>
        <w:br/>
        <w:t xml:space="preserve">February 3, 2006  </w:t>
        <w:br/>
        <w:t xml:space="preserve">Reckitt Benckiser July 30, 2003 to at most 2 years, 6 months 1.75  </w:t>
        <w:br/>
        <w:t xml:space="preserve">February 3, 2006  </w:t>
        <w:br/>
        <w:t xml:space="preserve">Unilever January 2003 - Beginning of 2 years, 6 months 1.75  </w:t>
        <w:br/>
        <w:t xml:space="preserve">August 2005  </w:t>
        <w:br/>
        <w:t xml:space="preserve">Procter &amp; Gamble January 2003 - February 2 years 1.5  </w:t>
        <w:br/>
        <w:t xml:space="preserve">2005  </w:t>
        <w:br/>
        <w:t xml:space="preserve">Sara Lee September 21, 2004 - 3 1 year, 4 months 1.16  </w:t>
        <w:br/>
        <w:t xml:space="preserve">February 2006  </w:t>
        <w:br/>
        <w:t xml:space="preserve">SC Johnson July 30, 2003 to at most 2 years, 6 months 1.75  </w:t>
        <w:br/>
        <w:t xml:space="preserve">February 3, 2006  </w:t>
        <w:br/>
        <w:t xml:space="preserve">Bolton Solitaire September 21, 2004 - 3 1 year, 4 months 1.16  </w:t>
        <w:br/>
        <w:t xml:space="preserve">February 2006  </w:t>
        <w:br/>
        <w:t xml:space="preserve">Duration of companies' participation in the single agreement in the hygiene sector  </w:t>
        <w:br/>
        <w:t xml:space="preserve">1418. The single, complex, and continuous agreement that took place in the hygiene products sector lasted from January 22, 2003, to February 3, 2006. As previously explained, this single agreement consists of several coordinated practices. Among them, the practices that took place within the framework of the Cercle Team PCP (meetings and correspondence) began in April 2003 and lasted until the end of the agreement, on February 3, 2006. Regarding bilateral and multilateral contacts, the evidence in the file shows that they occurred regularly between January 22, 2003, and January 2, 2006. To these various practices, those that took place within the framework of the Cercle des Amis were added, starting from September 21, 2004, which lasted until the end of the agreement, on February 3, 2006.  </w:t>
        <w:br/>
        <w:t xml:space="preserve">1419. In order to ensure the individualization and proportionality of the sanctions, it is appropriate to retain, for each of the companies, the duration of their participation in the single, complex, and continuous agreement or, where applicable, in certain coordinated practices that constitute it, as identified in points 981 and following. The table below summarizes, for each of the implicated companies, the period of participation in the single agreement or in the coordinated practices that constitute it, the duration of participation in the infringement, and the corresponding multiplier coefficient:  </w:t>
        <w:br/>
        <w:t xml:space="preserve">Period of Duration of Coefficient  </w:t>
        <w:br/>
        <w:t xml:space="preserve">participation in participation in multiplier  </w:t>
        <w:br/>
        <w:t xml:space="preserve">Companies  </w:t>
        <w:br/>
        <w:t xml:space="preserve">the agreement or the agreement or applicable  </w:t>
        <w:br/>
        <w:t xml:space="preserve">practices practices  </w:t>
        <w:br/>
        <w:t xml:space="preserve">Colgate-Palmolive January 22, 2003 - 3 3 years 2  </w:t>
        <w:br/>
        <w:t xml:space="preserve">February 3, 2006  </w:t>
        <w:br/>
        <w:t xml:space="preserve">Henkel January 22, 2003 - 3 3 years 2  </w:t>
        <w:br/>
        <w:t xml:space="preserve">February 3, 2006  </w:t>
        <w:br/>
        <w:t xml:space="preserve">Reckitt Benckiser July 12 or 13, 2004 - 3 1 year, 6 months 1.25  </w:t>
        <w:br/>
        <w:t xml:space="preserve">February 2006  </w:t>
        <w:br/>
        <w:t xml:space="preserve">Unilever April 2003 – January 2 years, 8 months 1.83  </w:t>
        <w:br/>
        <w:t xml:space="preserve">2006  </w:t>
        <w:br/>
        <w:t xml:space="preserve">Procter &amp; Gamble April 2003 - January 1 year, 8 months 1.33  </w:t>
        <w:br/>
        <w:t xml:space="preserve">2005  </w:t>
        <w:br/>
        <w:t xml:space="preserve">Sara Lee September 21, 2004 - 3 1 year, 4 months 1.16  </w:t>
        <w:br/>
        <w:t xml:space="preserve">February 2006  </w:t>
        <w:br/>
        <w:t xml:space="preserve">Laboratoires September 21, 2004 - 3 1 year, 4 months 1.16  </w:t>
        <w:br/>
        <w:t xml:space="preserve">Vendôme February 2006  </w:t>
        <w:br/>
        <w:t xml:space="preserve">Gillette April 2003 - February 2 years, 9 months 1.87  </w:t>
        <w:br/>
        <w:t xml:space="preserve">2006  </w:t>
        <w:br/>
        <w:t xml:space="preserve">L’Oréal April 2003 – March 24 1 year, 1 month 1.04  </w:t>
        <w:br/>
        <w:t xml:space="preserve">2004 and October 2005 - 3  </w:t>
        <w:br/>
        <w:t xml:space="preserve">(0.25 for Lascad)  </w:t>
        <w:br/>
        <w:t xml:space="preserve">February 2006  </w:t>
        <w:br/>
        <w:t xml:space="preserve">Beiersdorf January 22, 2003 - 3 3 years 2  </w:t>
        <w:br/>
        <w:t xml:space="preserve">February 3, 2006  </w:t>
        <w:br/>
        <w:t xml:space="preserve">Vania January 22, 2003 - 3 3 years 2  </w:t>
        <w:br/>
        <w:t xml:space="preserve">February 3, 2006  </w:t>
        <w:br/>
        <w:t xml:space="preserve">1420. The company Lascad is a co-author, along with L’Oréal (SA), of the practices of the company L’Oréal during the period from October 2005 to February 3, 2006, which corresponds to a duration of participation of 3 months and a multiplier coefficient of 0.25.  </w:t>
        <w:br/>
        <w:t xml:space="preserve">e) Conclusion on the determination of the base amount  </w:t>
        <w:br/>
        <w:t xml:space="preserve">1421. It follows from all of the above that, given the seriousness of the facts and the extent of the damage caused to the economy by the practices in question, the base amount of the financial penalty determined in proportion to the sales of hygiene and maintenance products in relation to the infringements committed by each of the implicated companies, on the one hand, and its individual duration of participation in the practices, on the other hand, is as follows:  </w:t>
        <w:br/>
        <w:t xml:space="preserve">In the maintenance sector  </w:t>
        <w:br/>
        <w:t xml:space="preserve">Companies Base amount (in euros)  </w:t>
        <w:br/>
        <w:t xml:space="preserve">Colgate-Palmolive €86,193,299  </w:t>
        <w:br/>
        <w:t xml:space="preserve">Henkel €83,570,528  </w:t>
        <w:br/>
        <w:t xml:space="preserve">Reckitt Benckiser €114,371,422  </w:t>
        <w:br/>
        <w:t xml:space="preserve">Unilever €87,847,550  </w:t>
        <w:br/>
        <w:t xml:space="preserve">Procter &amp; Gamble €43,106,238  </w:t>
        <w:br/>
        <w:t xml:space="preserve">Sara Lee €14,629,194  </w:t>
        <w:br/>
        <w:t xml:space="preserve">SC Johnson €56,766,150  </w:t>
        <w:br/>
        <w:t xml:space="preserve">Bolton Solitaire €9,521,802  </w:t>
        <w:br/>
        <w:t xml:space="preserve">In the hygiene sector  </w:t>
        <w:br/>
        <w:t xml:space="preserve">Company Base amount (in euros)  </w:t>
        <w:br/>
        <w:t xml:space="preserve">Colgate-Palmolive €63,711,257  </w:t>
        <w:br/>
        <w:t xml:space="preserve">Henkel €75,841,036  </w:t>
        <w:br/>
        <w:t xml:space="preserve">Reckitt Benckiser €14,939,981  </w:t>
        <w:br/>
        <w:t xml:space="preserve">Unilever €127,086,289  </w:t>
        <w:br/>
        <w:t xml:space="preserve">Procter &amp; Gamble €42,325,920  </w:t>
        <w:br/>
        <w:t xml:space="preserve">Sara Lee €14,629,194  </w:t>
        <w:br/>
        <w:t xml:space="preserve">Laboratoires Vendôme €23,328,739  </w:t>
        <w:br/>
        <w:t xml:space="preserve">Gillette €82,971,900  </w:t>
        <w:br/>
        <w:t xml:space="preserve">L’Oréal €191,602,398  </w:t>
        <w:br/>
        <w:t xml:space="preserve">(€46,058,268 for Lascad)  </w:t>
        <w:br/>
        <w:t xml:space="preserve">Beiersdorf €88,686,797  </w:t>
        <w:br/>
        <w:t>Vania €60,923,400</w:t>
      </w:r>
    </w:p>
    <w:p>
      <w:r>
        <w:rPr>
          <w:b/>
        </w:rPr>
        <w:t>[Pages 265–267]</w:t>
      </w:r>
    </w:p>
    <w:p>
      <w:r>
        <w:t xml:space="preserve">26 janvier 2006 au 3 février 2006), il y a lieu de diminuer le montant de base de la sanction en l’abaissant à 164 974 398 euros.  </w:t>
        <w:br/>
        <w:t xml:space="preserve">1452. En ce qui concerne les pratiques organisées dans le cadre du Cercle Team PCP, L’Oréal est tenue responsable des pratiques concertées mises en œuvre dans le cadre des réunions et des correspondances échangées.  </w:t>
        <w:br/>
        <w:t xml:space="preserve">1453. En revanche, L’Oréal n’est pas tenue responsable des pratiques concertées mises en œuvre dans le cadre des contacts bilatéraux ou plurilatéraux, ce qui justifie une réduction supplémentaire du montant de la sanction.  </w:t>
        <w:br/>
        <w:t>1454. En conséquence, le montant de base de la sanction pour L’Oréal est fixé à 164 974 398 euros.</w:t>
      </w:r>
    </w:p>
    <w:p>
      <w:r>
        <w:rPr>
          <w:b/>
        </w:rPr>
        <w:t>[Pages 268–270]</w:t>
      </w:r>
    </w:p>
    <w:p>
      <w:r>
        <w:t xml:space="preserve">26 January 2006 to 3 February 2006), it is appropriate to reduce the base amount of the sanction by lowering it to 164,778,062 euros.  </w:t>
        <w:br/>
        <w:t xml:space="preserve">1452. Similarly, Lascad, co-author of the practices for the period from October 2005 to February 13, 2006, is not held responsible for all complementary contacts and concerted practices within the framework of the Cercle des Amis (except for the period from January 26, 2006, to February 3, 2006). It is appropriate to reduce the base amount of the sanction by lowering it to 39,610,110 euros.  </w:t>
        <w:br/>
        <w:t xml:space="preserve">Regarding Beiersdorf  </w:t>
        <w:br/>
        <w:t xml:space="preserve">1453. Beiersdorf is held responsible, in the hygiene sector, for the following only concerted practices: the practices organized within the framework of the Cercle Team PCP and a trilateral contact between January 22, 2003, and February 3, 2006; the practices organized within the framework of the Cercle des Amis between January 19, 2006, and February 3, 2006.  </w:t>
        <w:br/>
        <w:t xml:space="preserve">1454. Thus, Beiersdorf is not held responsible for part of the complementary contacts and concerted practices within the framework of the Cercle des Amis (except for the period from January 19, 2006, to February 3, 2006), and it is appropriate to reduce the base amount of the sanction by lowering it to 78,044,381 euros.  </w:t>
        <w:br/>
        <w:t xml:space="preserve">Regarding Vania  </w:t>
        <w:br/>
        <w:t xml:space="preserve">1455. Vania is held responsible, in the hygiene sector, for the following only concerted practices: the practices organized within the framework of the Cercle Team PCP and a trilateral contact in which it participated, between January 22, 2003, and February 3, 2006.  </w:t>
        <w:br/>
        <w:t xml:space="preserve">1456. Thus, Vania is not held responsible for part of the complementary contacts and concerted practices within the framework of the Cercle des Amis, and it is appropriate to reduce the base amount of the sanction by lowering it to 53,612,592 euros.  </w:t>
        <w:br/>
        <w:t xml:space="preserve">Regarding Gillette  </w:t>
        <w:br/>
        <w:t xml:space="preserve">1457. Gillette is held responsible, in the hygiene sector, for the following only concerted practices: the practices organized within the framework of the Cercle Team PCP as well as two meetings of the "Amis," between April 2003 and February 3, 2006.  </w:t>
        <w:br/>
        <w:t xml:space="preserve">1458. Thus, Gillette is not held responsible for all complementary contacts and concerted practices within the framework of the Cercle des Amis (except for two meetings), and it is appropriate to reduce the base amount of the sanction by lowering it to 71,355,834 euros.  </w:t>
        <w:br/>
        <w:t xml:space="preserve">Conclusion on the consideration of the individual participation of companies in each of the unique agreements  </w:t>
        <w:br/>
        <w:t>1459. It follows from the above that the base amount of the financial sanction taking into account the individual participation of the companies in each of the unique agreements is as follows:</w:t>
      </w:r>
    </w:p>
    <w:p>
      <w:r>
        <w:t xml:space="preserve">In the maintenance sector  </w:t>
        <w:br/>
        <w:t xml:space="preserve">Base amount taking into account the individual participation  </w:t>
        <w:br/>
        <w:t xml:space="preserve">Companies  </w:t>
        <w:br/>
        <w:t xml:space="preserve">in the agreement (in euros)  </w:t>
        <w:br/>
        <w:t xml:space="preserve">Colgate-Palmolive 86,193,299 €  </w:t>
        <w:br/>
        <w:t xml:space="preserve">Henkel 83,570,528 €  </w:t>
        <w:br/>
        <w:t xml:space="preserve">Reckitt Benckiser 112,083,993 €  </w:t>
        <w:br/>
        <w:t xml:space="preserve">Unilever 78,184,319 €  </w:t>
        <w:br/>
        <w:t xml:space="preserve">Procter &amp; Gamble 37,933,490 €  </w:t>
        <w:br/>
        <w:t xml:space="preserve">Sara Lee 11,703,355 €  </w:t>
        <w:br/>
        <w:t xml:space="preserve">SC Johnson 47,115,905 €  </w:t>
        <w:br/>
        <w:t>Bolton Solitaire 7,903,096 €</w:t>
      </w:r>
    </w:p>
    <w:p>
      <w:r>
        <w:t xml:space="preserve">In the hygiene sector  </w:t>
        <w:br/>
        <w:t xml:space="preserve">Company Base amount taking into account the individual participation  </w:t>
        <w:br/>
        <w:t xml:space="preserve">in the agreement (in euros)  </w:t>
        <w:br/>
        <w:t xml:space="preserve">Colgate-Palmolive 63,711,257 €  </w:t>
        <w:br/>
        <w:t xml:space="preserve">Henkel 75,841,036 €  </w:t>
        <w:br/>
        <w:t xml:space="preserve">Reckitt Benckiser 13,147,184 €  </w:t>
        <w:br/>
        <w:t xml:space="preserve">Unilever 113,106,797 €  </w:t>
        <w:br/>
        <w:t xml:space="preserve">Procter &amp; Gamble 37,246,810 €  </w:t>
        <w:br/>
        <w:t xml:space="preserve">Sara Lee 11,264,479 €  </w:t>
        <w:br/>
        <w:t xml:space="preserve">Laboratoires Vendôme 19,829,428 €  </w:t>
        <w:br/>
        <w:t xml:space="preserve">Gillette 71,355,834 €  </w:t>
        <w:br/>
        <w:t xml:space="preserve">L’Oréal 164,778,062 €  </w:t>
        <w:br/>
        <w:t xml:space="preserve">(39,610,110 euros for Lascad)  </w:t>
        <w:br/>
        <w:t xml:space="preserve">Beiersdorf 78,044,381 €  </w:t>
        <w:br/>
        <w:t>Vania 53,612,592 €</w:t>
      </w:r>
    </w:p>
    <w:p>
      <w:r>
        <w:t xml:space="preserve">b) On mitigating or aggravating circumstances and other elements of individualization  </w:t>
        <w:br/>
        <w:t xml:space="preserve">Applicable principles  </w:t>
        <w:br/>
        <w:t>1460. The Authority has committed to adjusting the base amounts retained above in light of the legal criterion concerning the individual situation of each of the parties involved, whether they are organizations or companies, belonging, where applicable, to larger groups (points 43 et seq. of the sanctions communiqué).</w:t>
      </w:r>
    </w:p>
    <w:p>
      <w:r>
        <w:t xml:space="preserve">1461. For this purpose, and depending on the specific elements of each case, it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adjusting the sanction both upwards and downwards.  </w:t>
        <w:br/>
        <w:t xml:space="preserve">1462. Regarding mitigating circumstances, the sanctions communiqué recalls that "the mitigating circumstances in consideration of which the Authority may reduce the base amount of the financial sanction, for a company or an organization, may notably relate to the fact that:  </w:t>
        <w:br/>
        <w:t xml:space="preserve">- the company or organization provides evidence that it has durably adopted competitive behavior, for a substantial part of the products or services in question, to the point of having disrupted, as a free rider, the very functioning of the practice in question;  </w:t>
        <w:br/>
        <w:t xml:space="preserve">- the company or organization provides evidence that it was compelled to participate in the infringement;  </w:t>
        <w:br/>
        <w:t xml:space="preserve">- the infringement was authorized or encouraged by public authorities."  </w:t>
        <w:br/>
        <w:t xml:space="preserve">1463. Among the mitigating circumstances that may be taken into account by the Authority in the context of individualizing the sanction is the fact that a company or organization adopts competitive behavior durably, for a substantial part of the products in question, to the point of disrupting, as a free rider, the very functioning of the practice (Paris Court of Appeal ruling of March 29, 2012, Lacroix Signalisation et al., cited above, p. 32, and decision No. 07-D-50 of the Council of December 20, 2007, concerning practices implemented in the toy distribution sector, points 730 and 769, confirmed by the Paris Court of Appeal ruling of January 28, 2009, EPSE Joué Club et al., No. 2008/00255, pp. 20 and 21). The jurisprudence of the Union considers that such behavior may constitute a mitigating circumstance (rulings of the Tribunal of July 8, 2004, Dalmine/Commission, T-50/00, Rec. p. II-2395, point 291, and of March 15, 2006, Daiichi Pharmaceutical/Commission, T-26/02, Rec. p. II-713, point 113).  </w:t>
        <w:br/>
        <w:t xml:space="preserve">1464. To be taken into account, this mitigating circumstance must be demonstrated by the company or organization alleging it. While it is not required that the interested party publicly distanced itself from the infringement, it is nevertheless insufficient that it has violated, in a sporadic or partial manner, the common discipline.  </w:t>
        <w:br/>
        <w:t xml:space="preserve">1465. Regarding aggravating circumstances, the sanctions communiqué recalls that "the aggravating circumstances in consideration of which the Authority may increase the base amount of the financial sanction, for a company or an organization, may notably relate to the fact that:  </w:t>
        <w:br/>
        <w:t xml:space="preserve">- the company or organization has played a leading or instigating role, or has played a particular role in the design or implementation of the infringement;  </w:t>
        <w:br/>
        <w:t xml:space="preserve">- the company or organization has taken measures to compel others to participate in the infringement or has taken retaliatory measures against them to enforce it;  </w:t>
        <w:br/>
        <w:t xml:space="preserve">- the company or organization enjoys a particular capacity for influence or moral authority, notably because it is entrusted with a public service mission."  </w:t>
        <w:br/>
        <w:t>Regarding other elements of individualization, the sanctions communiqué recalls that "in order to ensure both the deterrent and proportionate nature of the sanction</w:t>
      </w:r>
    </w:p>
    <w:p>
      <w:r>
        <w:rPr>
          <w:b/>
        </w:rPr>
        <w:t>[Pages 271–273]</w:t>
      </w:r>
    </w:p>
    <w:p>
      <w:r>
        <w:t xml:space="preserve">pécuniaire, the Authority may subsequently adjust, either upwards or downwards, the base amount taking into account other objective elements characterizing the situation of the company or organization concerned.  </w:t>
        <w:br/>
        <w:t xml:space="preserve">In particular, it may adjust it downwards to take into account the fact that:  </w:t>
        <w:br/>
        <w:t xml:space="preserve">- the company concerned conducts the majority of its activity in the sector or market related to the infringement (a "single-product" company);  </w:t>
        <w:br/>
        <w:t xml:space="preserve">- the company or organization concerned is facing particular financial difficulties affecting its ability to contribute; this adjustment is made at the stage and according to the modalities provided in section D.3 below.  </w:t>
        <w:br/>
        <w:t xml:space="preserve">It may also adjust it upwards to take into account the fact that:  </w:t>
        <w:br/>
        <w:t xml:space="preserve">- the company concerned has significant size, economic power, or overall resources, particularly in relation to other perpetrators of the infringement;  </w:t>
        <w:br/>
        <w:t xml:space="preserve">- the group to which the concerned company belongs itself has significant size, economic power, or overall resources, this element being taken into account, in particular, in cases where the infringement is also attributable to the company controlling it within the group.  </w:t>
        <w:br/>
        <w:t xml:space="preserve">1466. Regarding the upward adjustment of the sanction amount, it is established case law that the assessment of the individual situation may lead to considering the scale of the company involved or the group to which it belongs (see in this sense, Cass. com., April 28, 2004, Colas Midi-Méditerranée et al., no. 02-15203).  </w:t>
        <w:br/>
        <w:t xml:space="preserve">1467. The consistent case law of the Union courts goes in the same direction. While indicating that the use of the sales value of the company involved allows for proportioning the basis of the sanction to the economic magnitude of the infringement and the relative weight of the company in the sector or market concerned, it indeed recalls that it is legitimate to take into account, at the same time, the overall turnover of this company, as it provides an indication of its size, economic power, and resources (CJEU, Musique Diffusion Française/Commission, cited above, paragraphs 119 to 121, and CJEU, June 26, 2006, Showa Denko/Commission, case C-289/04 P, Rec. p. I-5859, paragraphs 16 and 17). It is necessary to consider the size and overall resources of companies at the time of the adoption of the contested decision (Court of Justice, September 4, 2014, YKK Corporation, C-408/12, paragraph 86).  </w:t>
        <w:br/>
        <w:t xml:space="preserve">1468. In fact, the circumstance that a company has significant financial power may justify that the sanction imposed on it, considering one or more specific infringements, is higher than it would be otherwise, in order to ensure that the pecuniary sanction is both deterrent and proportionate (Paris Court of Appeal, October 11, 2012, Entreprise H. Chevalier Nord et al., cited above, p. 71, and January 30, 2014, Société Colgate-Palmolive Service, cited above, p. 41). In this regard, the Court of Cassation has already had the opportunity to specify that the effectiveness of the fight against anti-competitive practices requires that the pecuniary sanction be effectively deterrent – an objective also highlighted regarding sanctions that may be imposed in case of violation of national competition rules, by the judgment of the European Court of Human Rights of September 27, 2011, Menarini Diagnostics/Italy (Application no. 43509/08, paragraph 41) – in light of the financial situation specific to each company at the time it is sanctioned (Cass. com., September 18, 2012, Séphora et al., no. 12-14401).  </w:t>
        <w:br/>
        <w:t xml:space="preserve">Regarding Colgate-Palmolive  </w:t>
        <w:br/>
        <w:t xml:space="preserve">On the particular role of Colgate-Palmolive  </w:t>
        <w:br/>
        <w:t xml:space="preserve">1469. Among the aggravating circumstances that may be taken into account by the Authority in the context of individualizing the sanction is the fact that a company or organization plays a leading or inciting role, or more broadly a particular role in the design or implementation of the infringement. The Court of Cassation has already ruled, in this regard, that the role of instigator or leader of a company justified an increase in its sanction on this basis (judgments of the Court of Cassation of March 14, 1997, Spie Batignolles et al., no. 94-15133, and February 18, 2004, OCP Répartition et al., no. 02-11754). The case law of the Union goes, moreover, in the same direction (judgments of the Tribunal of April 29, 2004, Tokai Carbon et al./Commission, T-236/01, T-239/01, T-244/01 to T-246/01, T-251/01 and T-252/01, Rec. p. II-1181, paragraph 301, and March 15, 2006, BASF/Commission, T-15/02, Rec. p. II-497, paragraphs 354 and 374 to 376).  </w:t>
        <w:br/>
        <w:t xml:space="preserve">1470. Various factual elements may characterize such a role. The interested party may, for example, have taken charge of developing or suggesting the conduct to be followed by the members of the agreement, or have ensured its logistical organization. However, it is not necessary for the interested party to have exerted pressure or dictated their conduct to the other members of the agreement. What is important is that, regardless of the form its behavior took, it effectively played a role of instigator or leader.  </w:t>
        <w:br/>
        <w:t xml:space="preserve">1471. In this case, Colgate-Palmolive played a particularly active role in organizing the various practices constituting the unique agreements that took place in both sectors.  </w:t>
        <w:br/>
        <w:t xml:space="preserve">1472. First, in the maintenance sector, Colgate-Palmolive played a predominant role in convening new participants to the Team HP meetings (paragraphs 244 and following), which ensured the sustainability of these formal meetings among the sales directors of the implicated companies. In the hygiene sector, the company played a similar role in the context of the Team PCP meetings (paragraphs 260 and following).  </w:t>
        <w:br/>
        <w:t xml:space="preserve">1473. Next, Colgate-Palmolive was responsible, alongside Henkel and, to a lesser extent, SC Johnson, for organizing the "Friends" meetings: Ms. Nathalie Y..., director of "key accounts" sales at Colgate-Palmolive, indeed played a role in convening participants and reserving meeting rooms (paragraphs 284 and following).  </w:t>
        <w:br/>
        <w:t xml:space="preserve">1474. Finally, the company was responsible for coordinating the exchanges of correspondence regarding the general terms of sale and turnover that took place between the participants in the Cercle Team HP and the Cercle Team PCP (paragraphs 326 and following).  </w:t>
        <w:br/>
        <w:t xml:space="preserve">1475. It follows from these various elements that Colgate-Palmolive, whose role can be likened to that of a leader, at least a coordinator, deserves for this circumstance to be taken into account in the repression of each of the two unique agreements.  </w:t>
        <w:br/>
        <w:t xml:space="preserve">1476. Colgate-Palmolive contests the analysis made of its behavior in the agreement.  </w:t>
        <w:br/>
        <w:t xml:space="preserve">1477. Regarding the convening of new people to the Team meetings, Colgate-Palmolive asserts that the acceptance of new participants was always decided by mutual agreement and that the individuals invited by Colgate-Palmolive had to be accepted by the other participants. But, as previously indicated, the role of leader does not require that the concerned company dictated their conduct to the other members of the agreement. By way of indication, the Tribunal judges that "to be qualified as a leader of an agreement, a company must have represented a significant driving force for the agreement or have borne a particular and concrete responsibility in its functioning" (judgment of September 27, 2012, Shell Petroleum NV, T-343/06, paragraph 198). In this case, the behavior of Colgate-Palmolive, which systematically contacted new individuals likely to participate in the practices, demonstrates its commitment to ensuring the stability and sustainability of the consultation.  </w:t>
        <w:br/>
        <w:t xml:space="preserve">1478. Regarding the organization of the "Friends" meetings, Colgate-Palmolive notes that these meetings were also organized by Henkel, and, to a lesser extent, SC Johnson. Colgate-Palmolive considers that if this organizational role was not deemed sufficient to impose an aggravating circumstance on Henkel and SC Johnson, it should not be held against it. However, the role of leader is assessed through a set of elements that testify to Colgate-Palmolive's particular involvement in all the pursued practices. Thus, while the organization of the "Friends" meetings alone cannot suffice to establish the leading role of Henkel or SC Johnson, it reinforces, in combination with other elements, the leading role of Colgate-Palmolive.  </w:t>
        <w:br/>
        <w:t xml:space="preserve">1479. Regarding the management of correspondence within the framework of the Cercle Team HP and Team PCP, Colgate-Palmolive considers that it is merely an ancillary aspect of the two pursued practices, not demonstrating the existence of a particular responsibility of the company. But, on the contrary, the collection of data related to turnover, their compilation into tables, and their sending to the participants constituted significant administrative work, undertaken solely by Colgate-Palmolive. This particular role of "coordinator" again demonstrates the particular and concrete responsibility of the company.  </w:t>
        <w:br/>
        <w:t xml:space="preserve">1480. It is therefore appropriate to retain against Colgate-Palmolive an aggravating circumstance that justifies increasing the base amount of the sanction imposed on it by 15% for each of the two unique infringements.  </w:t>
        <w:br/>
        <w:t xml:space="preserve">On the economic power of the Colgate-Palmolive group  </w:t>
        <w:br/>
        <w:t xml:space="preserve">1481. The Colgate-Palmolive group has significant size, economic power, and overall resources.  </w:t>
        <w:br/>
        <w:t xml:space="preserve">1482. The company Colgate-Palmolive, to which the infringement has been attributed as the perpetrator of the practices, is responsible for marketing the maintenance and hygiene products of the Colgate-Palmolive group in French territory. It achieved a turnover of approximately 579 million euros in 2013. This company, as well as Colgate-Palmolive Services, to which the infringement has been attributed as the French parent company of the perpetrator of the practices, is part of a global group, Colgate-Palmolive, within which they consolidate their accounts.  </w:t>
        <w:br/>
        <w:t xml:space="preserve">1483. Colgate-Palmolive Company, to which the infringement has been attributed as the ultimate parent company of the perpetrator of the practices, is the parent company of the Colgate-Palmolive group. This group achieved a consolidated global turnover of 17.42 billion US dollars in 2013, and its activities extend well beyond French territory and into other sectors beyond maintenance and hygiene.  </w:t>
        <w:br/>
        <w:t>1484. In light of these elements, in order to proportion the sanction to the size and economic power of the Colgate-Palmolive group, it is necessary to increase the sanction imposed on the companies Colgate-Palmolive, Colgate-Palmolive Services, and Colgate-Palmolive Company by 15% for the two unique agreements.</w:t>
      </w:r>
    </w:p>
    <w:p>
      <w:r>
        <w:rPr>
          <w:b/>
        </w:rPr>
        <w:t>[Pages 274–276]</w:t>
      </w:r>
    </w:p>
    <w:p>
      <w:r>
        <w:t xml:space="preserve">En ce qui concerne Henkel  </w:t>
        <w:br/>
        <w:t xml:space="preserve">1485. The Henkel group has significant size, economic power, and global resources.  </w:t>
        <w:br/>
        <w:t xml:space="preserve">1486. The company Henkel France, to which the infringement has been attributed as the perpetrator of the practices, achieved a turnover of approximately 742 million euros in 2013. This company is part of a global group, Henkel, within which it consolidates its accounts. Furthermore, the activity of Henkel France is not limited to the marketing of hygiene and maintenance products for large distribution: it is also active in other sectors such as the distribution of adhesive products.  </w:t>
        <w:br/>
        <w:t xml:space="preserve">1487. The company Henkel AG &amp; Co. KGaA, to which the infringement has been attributed as the parent company of the perpetrator of the practices, is the parent company of the Henkel group. This group achieved a consolidated global turnover of 16.35 billion euros in 2013, and its activities extend well beyond French territory and into other sectors beyond maintenance and hygiene.  </w:t>
        <w:br/>
        <w:t xml:space="preserve">1488. In light of these elements, in order to proportion the sanction to the size and economic power of the Henkel group, it is necessary to increase by 15% the sanction imposed on the companies Henkel France and Henkel AG &amp; Co. KGaA for the two unique agreements.  </w:t>
        <w:br/>
        <w:t xml:space="preserve">1489. Henkel contests the increase in the sanction and requests a reduction in its amount.  </w:t>
        <w:br/>
        <w:t xml:space="preserve">1490. First, Henkel considers that the increase in the amount of its sanction based on the economic power of the group is not justified. It claims that in the European powdered laundry case (European Commission decision of April 13, 2011, file 39.579), the Commission found that Henkel's size did not justify any increase. However, it should be recalled that the argument based on the level of sanction applied in other cases is ineffective (rulings of the Paris Court of Appeal of April 14, 2007, JH Industrie, no. 2006/06912, p.7 and September 29, 2009, Etablissements Mathé, no. 2008/12495, p. 17). In any case, the fact that the Commission, whose decision is not motivated on this point, did not find it necessary to increase the amount of the sanction imposed on Henkel, in a case whose circumstances are not similar to the present case, cannot call into question the application of the increase in the present case. Furthermore, a sanction increase was applied to Henkel based on the power of the group in decision no. 11-D-17 of December 8, 2011, concerning practices implemented in the laundry sector in France (point 678): the Paris Court of Appeal, in a ruling of January 30, 2014, confirmed this increase.  </w:t>
        <w:br/>
        <w:t xml:space="preserve">1491. Henkel further claims that the present case would sanction for the third time anti-competitive practices implemented in France by the same companies at the same time. It indeed considers that the infringement pursued would be connected to the laundry cartels already sanctioned by the Authority (the aforementioned decision no. 11-D-17) and by the European Commission (decision of April 13, 2011). Henkel requests that the amount of the fine imposed on it remains moderate in light of these circumstances. However, as already stated in points 1247 and following, the facts of the present case are different from those involved in the powdered laundry case that the European Commission dealt with in its decision of April 13, 2011. Furthermore, regarding decision no. 11-D-17 of the Authority, Henkel's request has already been addressed through the removal of the category of universal laundry from the sales value for part of the duration of the infringement (points 1242 and following). Thus, there is no reason to grant a reduction in the amount of the fine to take into account the sanctions imposed on Henkel in the French and European laundry cartel cases.  </w:t>
        <w:br/>
        <w:t xml:space="preserve">1492. Henkel then requests that the age of the facts be taken into account to reduce the amount of the fine. However, it is a constant jurisprudence that the age of the facts and the duration of the procedure do not constitute a ground for reducing the sanction (ruling of the Paris Court of Appeal, March 7, 2006, Société Inéo, p. 19). Under these conditions, there is no reason to grant Henkel's request.  </w:t>
        <w:br/>
        <w:t xml:space="preserve">1493. Finally, Henkel mentions its good cooperation with the investigation services throughout the procedure. However, while not denying that Henkel has satisfactorily fulfilled its legal obligations in its relations with the investigation services, this does not justify, in any case, any reduction of the fine.  </w:t>
        <w:br/>
        <w:t xml:space="preserve">En ce qui concerne Reckitt Benckiser  </w:t>
        <w:br/>
        <w:t xml:space="preserve">1494. The Reckitt Benckiser group has significant size, economic power, and global resources.  </w:t>
        <w:br/>
        <w:t xml:space="preserve">1495. The company Reckitt Benckiser France, to which the infringement has been attributed as the perpetrator of the practices, achieved a turnover of approximately 704 million euros in 2013. This company, along with RB Holding Southern Europe, to which the infringement has been attributed as the French parent company of the perpetrator of the practices, is part of a global group, Reckitt Benckiser, within which they consolidate their accounts.  </w:t>
        <w:br/>
        <w:t xml:space="preserve">1496. The company Reckitt Benckiser PLC, to which the infringement has been attributed as the ultimate parent company of the perpetrator of the practices, is the parent company of the Reckitt Benckiser group. This group achieved a consolidated global turnover of 10.043 billion pounds sterling in 2013, and its activities extend well beyond French territory into other sectors beyond maintenance and hygiene.  </w:t>
        <w:br/>
        <w:t xml:space="preserve">1497. In light of these elements, in order to proportion the sanction to the size and economic power of the Reckitt Benckiser group, it is necessary to increase by 15% the sanction imposed on the companies Reckitt Benckiser France, RB Holding Southern Europe, and Reckitt Benckiser PLC for the infringements committed in the two sectors.  </w:t>
        <w:br/>
        <w:t xml:space="preserve">1498. Reckitt Benckiser contests the increase in the sanction and requests a reduction in its amount.  </w:t>
        <w:br/>
        <w:t xml:space="preserve">1499. First, Reckitt Benckiser contests the increase in the sanction due to the commercial autonomy that its French subsidiary Reckitt Benckiser France would enjoy. However, Reckitt Benckiser PLC has been attributed the practices of Reckitt Benckiser France precisely because of the determining influence it exerts over the latter. Having waived contesting the allegations, it is not admissible to contest the lack of autonomy of Reckitt Benckiser France.  </w:t>
        <w:br/>
        <w:t xml:space="preserve">1500. Second, Reckitt Benckiser claims that it only had a minor role in the pursued practices, in the maintenance sector and in the hygiene sector, which should be taken into account beyond what has already been done in terms of individualization of the sanction.  </w:t>
        <w:br/>
        <w:t xml:space="preserve">1501. In this regard, it should be noted that the guidelines for calculating fines of the Commission dated January 14, 1998, provided for the possibility of considering the "exclusively passive or follower role in the commission of the infringement" as a mitigating circumstance (point 3). However, in accordance with the principle of procedural autonomy, companies cannot invoke the Commission's guidelines, especially when these guidelines have been repealed.  </w:t>
        <w:br/>
        <w:t xml:space="preserve">1502. Moreover, it follows from the jurisprudence of the Tribunal that a passive role implies the adoption by the concerned company of a "low profile," meaning an absence of active participation in the formulation of the anti-competitive agreement(s). Among the elements that may reveal a company's passive role within a cartel, the significantly more sporadic nature of its participation in meetings compared to ordinary members of the cartel, as well as its late entry into the market subject to the infringement, regardless of the duration of its participation, or the existence of express statements to this effect from representatives of third companies that participated in the infringement, may be taken into account. The fact that other companies participating in the same cartel may have been more active than a given participant does not imply that the latter had an exclusively passive or follower role. In fact, only total passivity could be considered and must be established by the party invoking it (ruling of November 16, 2011, RKW SE, T-55/06 and T-66/06, points 79 to 84).  </w:t>
        <w:br/>
        <w:t xml:space="preserve">1503. In this case, it is sufficient to note that, in the maintenance sector, Reckitt Benckiser participated in more than half of the contacts organized within the framework of the Cercle Team HP (6 meetings out of 11 and 11 correspondences out of 13), the Cercle des Amis (6 meetings out of 11), and in 9 bilateral or multilateral contacts. Its participation, which was not sporadic, was also active, for example regarding exchanges on future deviations after the adoption of the Dutreil circular (point 397), on the method of passing on the 2% price reduction during the commitment (points 416 and following), on the strategy to stop the linear discount (points 432 to 438), on price developments and deviations following the commitment (points 464, 468, 477, 486, and 490), and on price developments after the adoption of the Dutreil law (points 575 and 578).  </w:t>
        <w:br/>
        <w:t xml:space="preserve">1504. The same applies in the hygiene sector where Reckitt Benckiser participated in more than half of the correspondences exchanged within the framework of the Cercle Team PCP during its participation in the practices (6 correspondences out of 11) and in more than half of the "Friends" meetings (7 meetings out of 12). Its participation was also active, for example regarding exchanges on the strategy to stop the linear discount (points 432 to 438) and on price increases within the framework of the commitment (point 511).  </w:t>
        <w:br/>
        <w:t xml:space="preserve">1505. Thus, both in the hygiene sector and in the maintenance sector, Reckitt Benckiser is, in any case, not justified in requesting a reduction of the sanction, beyond what has been done above in terms of individualization of the sanction, based on its allegedly minor role in the commission of the practices.  </w:t>
        <w:br/>
        <w:t xml:space="preserve">1506. Thirdly, Reckitt Benckiser requests a reduction of the fine based on its status as a single-product company, in application of the first paragraph of point 48 of the sanctions communiqué. It indicates that Reckitt Benckiser France, the perpetrator of the practices, generated 83.8% of its turnover for the year 2006 in the maintenance products sector and 16.2% of this same turnover in the hygiene products sector. Thus, 100% of its turnover was generated with products concerned by the present case.  </w:t>
        <w:br/>
        <w:t>1507. However, the company Reckitt Benckiser, whose ultimate parent company, Reckitt Benckiser PLC, has been attributed the allegations, is a global group. While sales related to the infringement amounted, in 2005, to 435.7 million euros in the maintenance sector and to 79.6 million euros in the hygiene sector, the consolidated global turnover of the company Reckitt Benckiser was 6.11 billion euros. Under these conditions, the company Reckitt Benckiser, which did not conduct the majority of its activity in the sector or market related to the infringements at the time of the facts, does not constitute a single-product company within the meaning of point 48 of the sanctions communiqué.</w:t>
      </w:r>
    </w:p>
    <w:p>
      <w:r>
        <w:rPr>
          <w:b/>
        </w:rPr>
        <w:t>[Pages 277–279]</w:t>
      </w:r>
    </w:p>
    <w:p>
      <w:r>
        <w:t xml:space="preserve">la possibilité de s'informer sur les positions de ses concurrents et de s'adapter en conséquence.  </w:t>
        <w:br/>
        <w:t xml:space="preserve">1534. En conséquence, il convient de rejeter la demande de Procter &amp; Gamble de bénéficier d'une circonstance atténuante au titre de son prétendu comportement concurrentiel sur le marché.  </w:t>
        <w:br/>
        <w:t xml:space="preserve">1535. En second lieu, Procter &amp; Gamble soutient que sa participation aux pratiques a été limitée, ce qui devrait être pris en compte dans le cadre de l'individualisation de la sanction.  </w:t>
        <w:br/>
        <w:t xml:space="preserve">1536. Cependant, dans le secteur de l'entretien, Procter &amp; Gamble a participé à 8 des 9 réunions Team HP et à 12 correspondances sur 13 qui ont eu lieu dans ce cadre, entre janvier 2003 et août 2005. Le fait que Procter &amp; Gamble n'ait pas pris part aux échanges de l'automne 2005 sur les hausses de tarifs et sur leur date d'application est déjà pris en compte dans le calcul de son amende, puisque le grief qui lui a été imputé s'arrête au début du mois d'août 2005. De plus, Procter &amp; Gamble a participé activement aux échanges, notamment sur les évolutions des tarifs et de la dérive dans le cadre de la circulaire Dutreil (points 372 et 392) et des tarifs dans le cadre de l'engagement (points 468).  </w:t>
        <w:br/>
        <w:t xml:space="preserve">1537. Dans le secteur de l'hygiène, Procter &amp; Gamble a participé à 10 des 23 réunions Team PCP et à 8 correspondances sur 18 qui ont eu lieu dans ce cadre entre avril 2003 et le 2 janvier 2006. Les éléments figurant au dossier montrent ainsi que l'entreprise a participé à 14 échanges sur les chiffres d'affaires, 6 échanges sur l'avancement des négociations, 4 échanges sur les NIP, 2 échanges sur les dérives dans le cadre de la loi Dutreil, 2 échanges sur les dérives dans le cadre de l'engagement Sarkozy, et 4 échanges sur les hausses de tarif dans le cadre de l'engagement Sarkozy. Procter &amp; Gamble a également participé activement aux échanges, notamment sur les évolutions des tarifs et/ou de la dérive dans le cadre de la circulaire Dutreil (points 383), de l'engagement (points 501 et 537) et de la loi Dutreil (point 595).  </w:t>
        <w:br/>
        <w:t>1538. Ainsi, tant dans le secteur de l'hygiène que dans celui de l'entretien, Procter &amp; Gamble ne peut, en tout état de cause, soutenir que sa participation aux pratiques aurait été particulièrement limitée et qu'elle devrait obtenir, à ce titre, une réduction du montant de la sanction au-delà de ce qui a été fait plus haut au titre de l'individualisation de la sanction.</w:t>
      </w:r>
    </w:p>
    <w:p>
      <w:r>
        <w:rPr>
          <w:b/>
        </w:rPr>
        <w:t>[Pages 280–282]</w:t>
      </w:r>
    </w:p>
    <w:p>
      <w:r>
        <w:t xml:space="preserve">knowledge of its competitors' positions and was able to adapt its behavior based on this information.  </w:t>
        <w:br/>
        <w:t xml:space="preserve">1534. Secondly, Procter &amp; Gamble alleges that its participation in the practices that took place in the hygiene and maintenance sectors was limited, which should be taken into account beyond what has been done regarding the individualization of the sanction.  </w:t>
        <w:br/>
        <w:t xml:space="preserve">1535. However, in the maintenance sector, Procter &amp; Gamble participated in 6 of the 8 Team HP meetings and in 9 out of 10 correspondences, as well as in 5 bilateral or multilateral contacts that took place between January 2003 and February 2005. It therefore took part in almost all exchanges on the main themes of the consultation, between January 2003 and February 2005. Its participation in the practices was, moreover, active (notably within the framework of the Dutreil circular, on price developments, point 364, and the drift, point 396; within the framework of the commitment, on price increases, point 486).  </w:t>
        <w:br/>
        <w:t xml:space="preserve">1536. In the hygiene sector, Procter &amp; Gamble's participation in the infringement from April 2003 to January 2005 consisted of the following anti-competitive meetings and exchanges: Team meeting on September 18, 2003, Team meeting on October 21, 2003, bilateral contact with Unilever at the end of November/beginning of December 2003, multilateral contact on July 12 or 13, 2004, and eight correspondences regarding turnover. Its participation in the practices was, moreover, active (notably within the framework of the Dutreil circular, on price developments, point 377, on the drift, point 402; within the framework of the commitment, on the implementation of the commitment, point 415, on prices, point 499).  </w:t>
        <w:br/>
        <w:t xml:space="preserve">1537. Thus, both in the hygiene sector and in the maintenance sector, Procter &amp; Gamble is, in any case, not entitled to request a reduction of the sanction, beyond what has been done above regarding the individualization of the sanction, based on its allegedly limited participation in the practices.  </w:t>
        <w:br/>
        <w:t xml:space="preserve">Regarding Sara Lee  </w:t>
        <w:br/>
        <w:t xml:space="preserve">1538. Regarding the practices implemented by the company Sara Lee, the infringements have been attributed to Colgate-Palmolive SASU, as the legal successor of the author of the practices, the company Sara Lee Household &amp; Body Care France, and to Hillshire Brands Company as the parent company of the author of the practices.  </w:t>
        <w:br/>
        <w:t xml:space="preserve">1539. Firstly, the Hillshire group has significant size, economic power, and global resources.  </w:t>
        <w:br/>
        <w:t xml:space="preserve">1540. Hillshire Brands Company, to which the infringement has been attributed as the parent company of the author of the practices, is the parent company of a globally significant group. This group achieved a consolidated global turnover of 3.92 billion dollars in 2013, and its activities extend well beyond French territory.  </w:t>
        <w:br/>
        <w:t xml:space="preserve">1541. In these circumstances, in order to proportion the sanction to the size and economic power of the Hillshire group, it is necessary to increase the sanction imposed on Hillshire Brands Company by 10% for the infringements in both sectors.  </w:t>
        <w:br/>
        <w:t xml:space="preserve">1542. Secondly, Hillshire and Colgate-Palmolive SASU, the legal successor of Sara Lee Household &amp; Body Care France, argue that the company Sara Lee played only a minor role in the practices, which should be taken into account beyond what has been done above regarding the individualization of the sanction. However, it emerges from points 1031 and following that Hillshire actively participated in a large number of anti-competitive meetings and exchanges in both sectors. Therefore, the argument of Colgate-Palmolive SASU and Hillshire must, in any case, be dismissed.  </w:t>
        <w:br/>
        <w:t xml:space="preserve">Regarding SC Johnson  </w:t>
        <w:br/>
        <w:t xml:space="preserve">1543. Firstly, the SC Johnson group has significant size, economic power, and global resources.  </w:t>
        <w:br/>
        <w:t xml:space="preserve">1544. SC Johnson France, to which the infringement has been attributed as the author of the practices, achieved a turnover of approximately 174 million euros in 2013.  </w:t>
        <w:br/>
        <w:t xml:space="preserve">1545. SC Johnson &amp; Son, Inc., to which the infringement has been attributed as the ultimate parent company of the author of the practices, is the parent company of the SC Johnson group. This group achieved a consolidated global turnover of 7.35 billion US dollars in 2013 (reference 50 590) and its activities extend well beyond French territory.  </w:t>
        <w:br/>
        <w:t xml:space="preserve">1546. In these circumstances, in order to proportion the sanction to the size and economic power of the SC Johnson group, it is necessary to increase the sanction imposed on SC Johnson France and SC Johnson &amp; Son, Inc. by 10% for the infringement attributed to them in the maintenance sector.  </w:t>
        <w:br/>
        <w:t xml:space="preserve">Regarding Bolton Solitaire  </w:t>
        <w:br/>
        <w:t xml:space="preserve">1547. Firstly, Bolton Solitaire argues that its participation in the practices would be limited, which should be taken into account beyond what has been done regarding the individualization of the sanction.  </w:t>
        <w:br/>
        <w:t xml:space="preserve">1548. However, it should be noted that Bolton Solitaire participated in all the "Friends" meetings that took place between September 21, 2004, and February 3, 2006, as well as in the correspondences organized within this circle and in a complementary contact. It therefore participated in all exchanges related to price developments, drifts, NIPs, promotional operations, the progress of negotiations with distributors, CGVs, and turnover that took place within the framework of the practices for which it is held responsible. Moreover, its participation in the exchanges was active (points 1065 and following).  </w:t>
        <w:br/>
        <w:t xml:space="preserve">1549. Thus, Bolton Solitaire is, in any case, not entitled to claim that its participation in the practices was limited and that it should receive, on this basis, a reduction of the sanction beyond what has been done above regarding the individualization of the sanction.  </w:t>
        <w:br/>
        <w:t xml:space="preserve">1550. Secondly, Bolton Solitaire alleges that its size would justify a reduction of the sanction. However, the fact that the implicated company would be a SME, which is not the case at all, cannot, in itself, constitute an individual circumstance justifying a reduction of the fine (Court, April 28, 2010, Söhne GmbH &amp; Co. KG, T-446/05, point 200).  </w:t>
        <w:br/>
        <w:t xml:space="preserve">1551. Finally, Bolton Solitaire asserts that the Authority should take into account its status as a "single-product" company and grant it a reduction of the sanction imposed on it for this reason. However, the Bolton company, whose parent company responsible for the maintenance sector, Bolton Manitoba, has been attributed the grievances in this case, is a globally significant group. While sales related to the infringement amounted to 54.72 million euros in 2005 in the maintenance sector, the consolidated global turnover of the Bolton company, with Bolton Manitoba as its parent company, was 1.28 billion euros. In these circumstances, the Bolton company, which did not conduct the majority of its activity in the sector or market related to the infringements at the time of the facts, does not constitute a single-product company within the meaning of point 48 of the sanctions notice.  </w:t>
        <w:br/>
        <w:t xml:space="preserve">Regarding Laboratoires Vendôme  </w:t>
        <w:br/>
        <w:t xml:space="preserve">1552. It appears from the case files that, regarding Laboratoires Vendôme, sales related to the infringement amounted to 134 million euros in 2004, which represents 94% of the company's turnover, which was 143 million euros. In these circumstances, Laboratoires Vendôme, which conducted the majority of its activity in the sector or market related to the infringement at the time of the facts, constitutes a single-product company within the meaning of point 48 of the sanctions notice. It is appropriate to grant it a 50% reduction in the amount of the sanction.  </w:t>
        <w:br/>
        <w:t xml:space="preserve">1553. Furthermore, Johnson &amp; Johnson Santé Beauté France, the legal successor of the author of the practices and its parent company, argues that Laboratoires Vendôme only participated in the practices to a limited extent, which should be taken into account beyond what has been done regarding the individualization of the sanction. However, Laboratoires Vendôme participated in 10 of the 12 "Friends" meetings and in 7 exchanges of correspondence out of the 11 counted during the duration of the grievance attributed to it. Laboratoires Vendôme participated in a consultation on all components of the net triple price of its hygiene products (prices, drifts, CGVs, NIPs, and promotions). It exchanged information regarding the progress of its negotiations and those of its competitors with distributors and their turnover. Its participation in the exchanges was, moreover, active (notably, within the framework of the commitment, on prices and drifts, points 507, 512, 538 to 540; within the framework of the Dutreil law, point 609). In these circumstances, Johnson &amp; Johnson Santé Beauté France is, in any case, not entitled to request a reduction in the amount of the sanction, beyond what has been done above regarding the individualization of the sanction, based on the allegedly limited nature of its participation in the practices.  </w:t>
        <w:br/>
        <w:t xml:space="preserve">Regarding L'Oréal  </w:t>
        <w:br/>
        <w:t xml:space="preserve">1554. The L'Oréal group has significant size, economic power, and global resources.  </w:t>
        <w:br/>
        <w:t xml:space="preserve">1555. The companies L'Oréal (SA) and Lascad, to which the infringement has been attributed as authors of the practices, achieved a turnover of 2.77 billion euros in 2013 and 486.6 million euros in 2012 (latest known data, reference 51 830), respectively. The activity of L'Oréal (SA) is not limited to the marketing of hygiene and beauty products to mass distribution, as it is also active in other sectors such as the distribution of beauty products in specialized distribution networks.  </w:t>
        <w:br/>
        <w:t xml:space="preserve">1556. The companies L'Oréal (SA) and Lascad belong to a group, of which L'Oréal (SA), to which the infringement has been attributed as author and as the parent company of Lascad, is the parent company. The L'Oréal group achieved a consolidated global turnover of 22.98 billion euros in 2013, and its activities extend well beyond French territory.  </w:t>
        <w:br/>
        <w:t xml:space="preserve">1557. In these circumstances, in order to proportion the sanction to the size and economic power of the L'Oréal group, it is necessary to increase the sanction imposed on L'Oréal (SA) and Lascad by 15% for the infringements attributed to them.  </w:t>
        <w:br/>
        <w:t>1558. L'Oréal also requests that its cooperation with the Authority throughout the procedure be taken into account. However, while not denying that the company provided the requested information or answered the questions posed by the investigation services, this only constitutes simple compliance with its legal obligations and does not justify, in any case, any reduction of the fine.</w:t>
      </w:r>
    </w:p>
    <w:p>
      <w:r>
        <w:rPr>
          <w:b/>
        </w:rPr>
        <w:t>[Pages 283–285]</w:t>
      </w:r>
    </w:p>
    <w:p>
      <w:r>
        <w:t>1559. L'Oréal claims that its participation in the exchanges was sporadic and should lead to a reduction of the sanction. However, L'Oréal participated in 8 of the 10 Team PCP meetings and in 8 out of 9 correspondences that took place in this context during the period of the alleged infringement. It also participated in all the "Friends" meetings that took place between January 26, 2006, and February 3, 2006, during which these practices were attributed to it. Its participation in the practices, far from being sporadic, was, moreover, active (points 1087 et seq.). Therefore, no reduction of the sanction, beyond what has been done above regarding the individualization of the sanction, can be granted to it in this regard.</w:t>
      </w:r>
    </w:p>
    <w:p>
      <w:r>
        <w:t>Regarding Beiersdorf</w:t>
      </w:r>
    </w:p>
    <w:p>
      <w:r>
        <w:t>1560. The Beiersdorf group has significant size, economic power, and global resources.</w:t>
      </w:r>
    </w:p>
    <w:p>
      <w:r>
        <w:t>1561. Beiersdorf SAS, to which the infringement was attributed as the author of the practices, achieved a turnover of approximately 249 million euros in 2013. This company, as well as Beiersdorf Holding France, to which the infringement was attributed as the French parent company of the author of the practices, are part of a global group, Beiersdorf, within which they consolidate their accounts.</w:t>
      </w:r>
    </w:p>
    <w:p>
      <w:r>
        <w:t>1562. Beiersdorf AG, to which the infringement was attributed as the ultimate parent company of the author of the practices, is the parent company of the Beiersdorf group. This group achieved a consolidated global turnover of 6.14 billion euros in 2013 (reference 58 499) and its activities extend well beyond French territory.</w:t>
      </w:r>
    </w:p>
    <w:p>
      <w:r>
        <w:t>1563. In these circumstances, in order to proportion the sanction to the size and economic power of the Beiersdorf group, it is necessary to increase the sanction imposed on Beiersdorf SAS, Beiersdorf Holding France, and Beiersdorf AG by 10%.</w:t>
      </w:r>
    </w:p>
    <w:p>
      <w:r>
        <w:t>1564. Beiersdorf requests a reduction of the sanction on several grounds.</w:t>
      </w:r>
    </w:p>
    <w:p>
      <w:r>
        <w:t>1565. Firstly, Beiersdorf seeks to benefit from a mitigating circumstance, on the grounds that it would have sought to implement various initiatives from public authorities in order to pass on price reductions to consumers.</w:t>
      </w:r>
    </w:p>
    <w:p>
      <w:r>
        <w:t>1566. In general, it should be recalled that a company's competitive behavior in the market can only be taken into account as a mitigating circumstance if it has effectively disrupted the conduct of the practices. However, no evidence provided by Beiersdorf indicates that it effectively played the role of a maverick to the extent of destabilizing the other participants in the practices. In this context, a mere "goodwill" from the company towards consumers cannot, in itself, constitute a reason for mitigating the sanction, unless this behavior directly contradicts the discussions that took place between competing companies.</w:t>
      </w:r>
    </w:p>
    <w:p>
      <w:r>
        <w:t>1567. Regarding the period of the Dutreil circular, Beiersdorf indicates that it integrated a 3% assortment optimization rebate into its general sales conditions in 2004. It claims that if distributors had committed to meeting the conditions of this rebate, it could have been included in the resale price threshold. However, Beiersdorf provides no evidence regarding this rebate, the conditions that needed to be met, or its negotiations with distributors on this matter. In particular, it does not explain under what circumstances this rebate could effectively have been "brought forward." Therefore, Beiersdorf does not demonstrate the existence of behavior contrary to what was discussed during the meetings and ongoing contacts. Its argument on this point must be dismissed.</w:t>
      </w:r>
    </w:p>
    <w:p>
      <w:r>
        <w:t>1568. Regarding the period of the Sarkozy commitment, Beiersdorf claims that it granted targeted discounts of 5% to 15% on certain hygiene products. But again, Beiersdorf does not explain how its behavior constituted a disruption of the ongoing practices. In particular, it does not explain how the method adopted by Beiersdorf constituted a deviation from the information provided to its competitors within the framework of the practices. Thus, the fact that Beiersdorf chose to implement price reductions on certain products can only be taken into account if these contradicted what was announced by the company in the context of the ongoing contacts and meetings.</w:t>
      </w:r>
    </w:p>
    <w:p>
      <w:r>
        <w:t>1569. Beiersdorf then claims that throughout the period of the practices, it implemented promotional expenditures through NIPs that benefited consumers. However, Beiersdorf participated in exchanges between competitors specifically concerning NIPs (see points 625 to 628). In this context, Beiersdorf's behavior did not aim to disrupt the conduct of the ongoing practices.</w:t>
      </w:r>
    </w:p>
    <w:p>
      <w:r>
        <w:t>1570. Moreover, Beiersdorf has, on several occasions, taken positions close to those of its competitors (notably, in the context of the commitment, on prices, points 499 and 509, on deviations, point 537; in the context of the Dutreil law, on prices, point 557, on deviations, points 606 and 609).</w:t>
      </w:r>
    </w:p>
    <w:p>
      <w:r>
        <w:t>1571. Beiersdorf's behavior in the context of the implementation of initiatives taken by public authorities cannot therefore be taken into account to reduce the amount of the sanction that will be imposed on it.</w:t>
      </w:r>
    </w:p>
    <w:p>
      <w:r>
        <w:t>1572. Secondly, Beiersdorf argues that its participation in the practices was minor, which should be taken into account beyond what has been done regarding the individualization of the sanction. However, Beiersdorf participated in 19 of the 24 Team PCP meetings, in 15 correspondences out of 18 that took place in this context, and in one additional contact between January 22, 2003, and February 3, 2006. It thus participated in almost all the practices for which it is held responsible, and its participation was, moreover, active (notably, in the context of the Dutreil circular, on prices, points 378 and 383; in the context of the Sarkozy commitment, on prices, points 499, 509, on deviations, point 537; in the context of the Dutreil law, on prices, point 557, on deviations, point 609). Its participation in the practices cannot therefore be considered minor and cannot, in any case, lead to a reduction of the amount of the sanction beyond what has been done above regarding the individualization of the sanction.</w:t>
      </w:r>
    </w:p>
    <w:p>
      <w:r>
        <w:t>1573. Thirdly, Beiersdorf believes that account should be taken of the smaller size of the Beiersdorf group compared to other suppliers involved, the lesser diversification of the Beiersdorf group compared to that of its competitors, and the significant share of hygiene products in its turnover. However, the smaller size of the Beiersdorf group compared to some of the implicated companies is already taken into account by applying a limited increase rate of the sanction of 10%. Regarding the lesser diversification of Beiersdorf compared to some of its competitors, it suffices to note that the Beiersdorf group, present in over 150 countries and employing more than 16,000 people, has significant global resources. The argument will be dismissed.</w:t>
      </w:r>
    </w:p>
    <w:p>
      <w:r>
        <w:t>1574. Fourthly, Beiersdorf requests a reduction of the fine based on its alleged status as a "single-product" company, in accordance with the first paragraph of point 48 of the sanctions notice. It indicates that at the time of the practices, it generated more than 80% of its turnover in France with hygiene products involved in the practices.</w:t>
      </w:r>
    </w:p>
    <w:p>
      <w:r>
        <w:t>1575. However, as indicated by the company, this proportion is calculated solely on the activity of the Beiersdorf SA entity. Yet, at the time of the practices, the Beiersdorf group was active in the territory through other subsidiaries, all directly or indirectly 100% owned by Beiersdorf AG and/or Beiersdorf Holding France SARL. These included, first of all, the companies Sodicos SAS and Laboratoires Dermatologiques Eucerin SASU, active in the hygiene sector, but whose products were sold through channels other than mass distribution (luxury and selective distribution, references 39 524 to 39 527). Secondly, there was the company Tesa SAS, active in the adhesive sector (references 39 529 and 39 530). The Beiersdorf group was also active in France at the time of the practices in the hospital products sector, through majority stakes in the companies Bode France SAS and BSN Medical SAS (references 39532 to 39534).</w:t>
      </w:r>
    </w:p>
    <w:p>
      <w:r>
        <w:t>1576. Moreover, Beiersdorf, whose ultimate parent company, Beiersdorf AG, has been attributed the allegations, is a globally significant group. If the sales related to the infringement amounted to 295.6 million euros in 2005, the consolidated global turnover of Beiersdorf was 4.77 billion euros. In these circumstances, Beiersdorf, which did not conduct the majority of its activity in the sector or market related to the infringements at the time of the facts, does not constitute a single-product company within the meaning of point 48 of the sanctions notice.</w:t>
      </w:r>
    </w:p>
    <w:p>
      <w:r>
        <w:t>1577. Finally, Beiersdorf requests that the decrease in its turnover achieved in France since the end of the practices be taken into account in determining the sanction. It invokes in this regard decision No. 11-D-19 of December 15, 2011, concerning practices implemented in the sector of the distribution of gadgets and fancy articles (point 165), in which the Authority agreed to reduce the fine imposed on the concerned company due to the very sharp contraction of its turnover over a few years. However, in the mentioned case, Kontiki's turnover had been reduced by five times between 2005 and 2011. On its part, Beiersdorf mentions a decrease in its turnover achieved in France of 13.7% between 2005 and 2013. This evolution, incomparable to that mentioned in the "Kontiki" case, does not justify a reduction in the amount of the sanction.</w:t>
      </w:r>
    </w:p>
    <w:p>
      <w:r>
        <w:t>Regarding Vania</w:t>
      </w:r>
    </w:p>
    <w:p>
      <w:r>
        <w:t>1578. Firstly, Vania alleges that its participation in the concerted practices organized within the framework of the Cercle Team PCP was limited, which should be taken into account. However, Vania participated in 19 of the 24 Team PCP meetings, in 8 correspondences out of 18 that took place in this context, and in one trilateral contact. It thus participated in a very large part of the concerted practices for which it is held responsible, and its participation in the practices was, moreover, active (in the context of the Dutreil circular, on prices, points 378 and 383, on deviations, point 402; in the context of the Sarkozy commitment, on prices, points 499 and 504; in the context of the Dutreil law, point 606). The argument will be dismissed.</w:t>
      </w:r>
    </w:p>
    <w:p>
      <w:r>
        <w:t>1579. Secondly, Vania requests that its size and limited resources compared to the other participants in the practice, both today and at the time of the practices, be taken into account to reduce the sanction that will be imposed on it. However, as previously indicated, the fact that a company is a SME or is smaller than other participants in a cartel cannot, in itself, constitute a particular circumstance that would reduce the sanction. Furthermore, the reduced size of a participant in an anticompetitive practice is already taken into account at the stage of sales value. Vania's argument will therefore be dismissed.</w:t>
      </w:r>
    </w:p>
    <w:p>
      <w:r>
        <w:t>1580. Thirdly and finally, Vania requests a reduction of the fine based on its status as a "single-product" company, in accordance with the first paragraph of point 48 of the sanctions notice. It indicates that at the time of the practices, it generated more than...</w:t>
      </w:r>
    </w:p>
    <w:p>
      <w:r>
        <w:rPr>
          <w:b/>
        </w:rPr>
        <w:t>[Pages 286–288]</w:t>
      </w:r>
    </w:p>
    <w:p>
      <w:r>
        <w:t xml:space="preserve">80% of its turnover in France with hygiene products concerned by the practices.  </w:t>
        <w:br/>
        <w:t xml:space="preserve">1581. However, the company Vania Expansion SNC was jointly owned at the time of the practices by the companies Johnson &amp; Johnson Consumer France SAS, which became Johnson &amp; Johnson Consumer Holdings France, and Georgia Pacific France, which became SCA Tissue France, both of which were attributed the infringement. If the sales related to the infringement amounted to 203 million euros in 2005, the turnovers of the companies Vania Expansion, Johnson &amp; Johnson Consumer Holdings France, and Georgia Pacific France were respectively 220.6 million euros, 198 million euros, and 811.4 million euros, corresponding to a total of 1.23 billion euros for the company Vania Expansion and its parent companies. Under these conditions, the company Vania, which did not conduct the majority of its activity in the sector or market related to the infringements at the time of the facts, does not constitute a mono-product company within the meaning of point 48 of the sanctions communiqué.  </w:t>
        <w:br/>
        <w:t xml:space="preserve">Regarding Gillette  </w:t>
        <w:br/>
        <w:t xml:space="preserve">1582. The Procter &amp; Gamble group has significant size, economic power, and global resources.  </w:t>
        <w:br/>
        <w:t xml:space="preserve">1583. The company Procter &amp; Gamble France, to which the infringement was attributed as the legal successor of the perpetrator of the practices, achieved a turnover of approximately 1.7 billion euros in 2012/2013. This company, as well as Procter &amp; Gamble Holding France, to which the infringement was attributed as the French parent company of the perpetrator of the practices committed from November 30, 2005, is part of a global group, Procter &amp; Gamble, within which they consolidate their accounts. Furthermore, the activity of Procter &amp; Gamble France is not limited to the marketing of hygiene and maintenance products to large retailers, as it is also active in other sectors such as the distribution of batteries or small household appliances to large retailers.  </w:t>
        <w:br/>
        <w:t xml:space="preserve">1584. The Procter &amp; Gamble Company, to which the infringement was attributed as the ultimate parent company of the perpetrator of the practices and legal successor of The Gillette Company, is the parent company of the Procter &amp; Gamble group. This group achieved a consolidated global turnover of 84.17 billion dollars (reference 51 513) in 2012/2013, and its activities extend well beyond the French territory into other sectors beyond maintenance and hygiene.  </w:t>
        <w:br/>
        <w:t xml:space="preserve">1585. Under these conditions, in order to proportion the sanction to the size and economic power of the Procter &amp; Gamble group, the sanction imposed on the companies Procter &amp; Gamble France, Procter &amp; Gamble Holding France, and The Procter &amp; Gamble Company should be increased by 25%.  </w:t>
        <w:br/>
        <w:t xml:space="preserve">1586. Procter &amp; Gamble requests a reduction in the amount of the sanction.  </w:t>
        <w:br/>
        <w:t xml:space="preserve">1587. Firstly, Procter &amp; Gamble considers that the increase for deterrence purposes of the sanction against Gillette is not justified, as the company Groupe Gillette France, perpetrator of the practices, would have been an autonomous company during the period from April 2003 to November 8, 2005. However, this is not the case since The Gillette Company, head of the Gillette group, exercised a decisive influence over its French subsidiary and the infringement was attributed to The Procter &amp; Gamble Company as the legal successor of The Gillette Company. Under these conditions, Procter &amp; Gamble is not justified in claiming that the company Groupe Gillette France would have been autonomous for the period from April 2003 to November 8, 2005.  </w:t>
        <w:br/>
        <w:t xml:space="preserve">1588. Secondly, Procter &amp; Gamble asserts that Gillette would have demonstrated behavioral autonomy compared to other participants by applying the "2% weighted" instead of the "1+1" method. But, as with Procter &amp; Gamble, Gillette had informed its competitors of this choice. This does not constitute a deviation from the practices. Moreover, Gillette's positions reveal, on other occasions, a homogeneity with those of the other implicated companies (notably, in the context of the commitment, on prices, point 509, on the drift, point 537; in the context of the Dutreil law, on prices, point 557). The argument of Procter &amp; Gamble will be dismissed.  </w:t>
        <w:br/>
        <w:t xml:space="preserve">1589. Lastly, Procter &amp; Gamble alleges that Gillette's participation in exchanges in the hygiene sector would be limited, which should be taken into account beyond what has been done above regarding the individualization of the sanction. However, Gillette participated in 18 meetings of the Cercle Team PCP out of the 24 that took place between April 2003 and February 3, 2006, as well as in 12 correspondences out of the 18 that occurred in this context and in two meetings of the "Friends." It thus participated diligently in all themes of exchanges that took place within the Cercle Team PCP. Furthermore, its participation was active (in the context of the Dutreil circular, on prices and the drift, points 382 and 402401; in the context of the commitment, on prices and the drift, points 499, 509, and 537; in the context of the Dutreil law, on prices and drift offers, points 557 and 606). The argument will therefore be dismissed.  </w:t>
        <w:br/>
        <w:t xml:space="preserve">Conclusion on the intermediate amount of the sanction  </w:t>
        <w:br/>
        <w:t xml:space="preserve">1590. The tables below summarize, for each company, the intermediate amount of the sanction due for the single agreement in each of the two sectors.  </w:t>
        <w:br/>
        <w:t xml:space="preserve">In the maintenance sector  </w:t>
        <w:br/>
        <w:t xml:space="preserve">Companies Intermediate amount (in euros)  </w:t>
        <w:br/>
        <w:t xml:space="preserve">Colgate-Palmolive 113,990,637 €  </w:t>
        <w:br/>
        <w:t xml:space="preserve">Henkel 96,106,106 €  </w:t>
        <w:br/>
        <w:t xml:space="preserve">Reckitt Benckiser 128,896,592 €  </w:t>
        <w:br/>
        <w:t xml:space="preserve">Unilever 86,002,750 €  </w:t>
        <w:br/>
        <w:t xml:space="preserve">Procter &amp; Gamble 47,416,862 €  </w:t>
        <w:br/>
        <w:t xml:space="preserve">Sara Lee 12,873,690 €  </w:t>
        <w:br/>
        <w:t xml:space="preserve">SC Johnson 51,827,494 €  </w:t>
        <w:br/>
        <w:t xml:space="preserve">Bolton Solitaire 7,903,095 €  </w:t>
        <w:br/>
        <w:t xml:space="preserve">In the hygiene sector  </w:t>
        <w:br/>
        <w:t xml:space="preserve">Companies Intermediate amount (in euros)  </w:t>
        <w:br/>
        <w:t xml:space="preserve">Colgate-Palmolive 84,258,137 €  </w:t>
        <w:br/>
        <w:t xml:space="preserve">Henkel 87,217,190 €  </w:t>
        <w:br/>
        <w:t xml:space="preserve">Reckitt Benckiser 15,119,261 €  </w:t>
        <w:br/>
        <w:t xml:space="preserve">Unilever 124,417,476 €  </w:t>
        <w:br/>
        <w:t xml:space="preserve">Procter &amp; Gamble 46,558,512 €  </w:t>
        <w:br/>
        <w:t xml:space="preserve">Sara Lee 12,390,927 €  </w:t>
        <w:br/>
        <w:t xml:space="preserve">Laboratoires Vendôme 9,914,713 €  </w:t>
        <w:br/>
        <w:t xml:space="preserve">Gillette 89,194,792 €  </w:t>
        <w:br/>
        <w:t xml:space="preserve">L’Oréal 189,494,771 €  </w:t>
        <w:br/>
        <w:t xml:space="preserve">(45,551,627 € for Lascad)  </w:t>
        <w:br/>
        <w:t xml:space="preserve">Beiersdorf 85,848,819 €  </w:t>
        <w:br/>
        <w:t xml:space="preserve">Vania 53,612,592 €  </w:t>
        <w:br/>
        <w:t xml:space="preserve">c) On the verification of the maximum applicable amount  </w:t>
        <w:br/>
        <w:t xml:space="preserve">Regarding the company Colgate-Palmolive  </w:t>
        <w:br/>
        <w:t xml:space="preserve">1591. The highest known consolidated worldwide turnover excluding taxes achieved by the Colgate-Palmolive group was 17,420,000,000 dollars or 13,116,304,425 euros in 2013 (average annual euro/dollar exchange rate of 1.3281 in 2013). Due to the implementation of the procedure for not contesting the allegations, the maximum amount of the sanction is 655,815,221 euros concerning the companies Colgate-Palmolive, Colgate-Palmolive Services, and Colgate-Palmolive Company. This amount exceeds the amounts mentioned in point 1590 above.  </w:t>
        <w:br/>
        <w:t xml:space="preserve">Regarding the company Henkel  </w:t>
        <w:br/>
        <w:t xml:space="preserve">1592. The highest known consolidated worldwide turnover excluding taxes achieved by the Henkel group was 16,510,000,000 euros in 2012. Due to the implementation of the procedure for not contesting the allegations, the maximum amount of the sanction is 825,500,000 euros concerning the companies Henkel France and Henkel AG &amp; Co. KGaA. This amount exceeds the amounts mentioned in point 1590 above.  </w:t>
        <w:br/>
        <w:t xml:space="preserve">Regarding the company Unilever  </w:t>
        <w:br/>
        <w:t xml:space="preserve">1593. The highest known consolidated worldwide turnover excluding taxes achieved by the Unilever group was 51,324,000,000 euros in 2012. Due to the implementation of the procedure for not contesting the allegations, the maximum amount of the sanction is 2,566,200,000 euros concerning the companies Topaze, Unilever France, and Unilever France Holdings. This amount exceeds the amounts mentioned in point 1590 above.  </w:t>
        <w:br/>
        <w:t xml:space="preserve">Regarding the company Reckitt Benckiser  </w:t>
        <w:br/>
        <w:t>1594. The highest known consolidated worldwide turnover excluding taxes achieved by the Reckitt Benckiser group was 10,043,000,000 pounds or 11,825,658,960 euros in 2013 (average annual euro/pound exchange rate of 0.8492 in 2013). Due to the implementation of the procedure for not contesting the allegations, the maximum amount of the sanction is 591,282,947 euros concerning the companies Reckitt Benckiser France, RB Holding Europe du Sud, and Reckitt Benckiser PLC. This amount exceeds the amounts mentioned in point 1590 above.</w:t>
      </w:r>
    </w:p>
    <w:p>
      <w:r>
        <w:rPr>
          <w:b/>
        </w:rPr>
        <w:t>[Pages 289–291]</w:t>
      </w:r>
    </w:p>
    <w:p>
      <w:r>
        <w:t>in relation to the procedure for non-contestation of grievances, the maximum amount of the sanction is 591,282,947 euros concerning the companies Reckitt Benckiser France, RB Holding Southern Europe, and Reckitt Benckiser PLC. This amount exceeds the amounts mentioned in point 1590 above.</w:t>
      </w:r>
    </w:p>
    <w:p>
      <w:r>
        <w:t xml:space="preserve">Regarding the company Procter &amp; Gamble  </w:t>
        <w:br/>
        <w:t>1595. The highest known consolidated worldwide turnover excluding taxes achieved by the Procter &amp; Gamble group was 84,167,000,000 dollars, or 63,373,134,014 euros in 2013 (average annual euro/dollar exchange rate of 1.3281 in 2013). Due to the implementation of the procedure for non-contestation of grievances, the maximum amount of the sanction is 3,168,656,700 euros concerning Procter &amp; Gamble France, Procter &amp; Gamble Holding France, and The Procter &amp; Gamble Company. This amount exceeds the amounts mentioned in point 1590 above.</w:t>
      </w:r>
    </w:p>
    <w:p>
      <w:r>
        <w:t xml:space="preserve">Regarding the company Sara Lee  </w:t>
        <w:br/>
        <w:t xml:space="preserve">♦ For the sanction against Colgate-Palmolive SASU  </w:t>
        <w:br/>
        <w:t>1596. The highest known consolidated worldwide turnover excluding taxes achieved by the Colgate-Palmolive group was 13,116,304,425 euros in 2013. Due to the implementation of the procedure for non-contestation of grievances, the maximum amount of the sanction is 655,815,221 euros concerning Colgate-Palmolive SASU, the legal successor of the perpetrator of the practices. This amount exceeds the amounts mentioned in point 1590.</w:t>
      </w:r>
    </w:p>
    <w:p>
      <w:r>
        <w:t xml:space="preserve">♦ For the sanction against Hillshire Brands Company  </w:t>
        <w:br/>
        <w:t xml:space="preserve">1597. Hillshire Brands Company, which merged on August 28, 2014, with Tyson Foods, Inc., has since that date been a 100% subsidiary of the latter. The accounts of Hillshire Brands Company are now consolidated within those of Tyson Foods, Inc.  </w:t>
        <w:br/>
        <w:t>1598. The highest known consolidated worldwide turnover excluding taxes achieved by the Tyson Foods group was 34,374,000,000 dollars, or 25,881,736,412 euros in 2013 (average annual euro/dollar exchange rate of 1.3281 in 2013). The maximum amount of the sanction is 2,588,173,641 euros concerning Hillshire Brands Company, the parent company of the perpetrator of the practices. This amount exceeds the amounts mentioned in point 1590 above.</w:t>
      </w:r>
    </w:p>
    <w:p>
      <w:r>
        <w:t xml:space="preserve">Regarding the company Laboratoires Vendôme  </w:t>
        <w:br/>
        <w:t>1599. The highest known consolidated worldwide turnover excluding taxes achieved by the Johnson &amp; Johnson group was 71,312,000,000 dollars, or 53,694,024,176 euros in 2013. Due to the implementation of the procedure for non-contestation of grievances, the maximum amount of the sanction is 2,684,701,208 euros concerning Johnson &amp; Johnson Santé Beauté France, the legal successor of the perpetrator of the practices and its parent company. This amount exceeds the amount mentioned in point 1590.</w:t>
      </w:r>
    </w:p>
    <w:p>
      <w:r>
        <w:t xml:space="preserve">Regarding the company SC Johnson  </w:t>
        <w:br/>
        <w:t>1600. The highest known consolidated worldwide turnover excluding taxes achieved by the SC Johnson group was 7,351,985,000 dollars, or 5,535,641,411 euros in 2013. The maximum amount of the sanction is 553,564,141 euros concerning SC Johnson SAS and SC Johnson &amp; Son, Inc. This amount exceeds the amount mentioned in point 1590.</w:t>
      </w:r>
    </w:p>
    <w:p>
      <w:r>
        <w:t xml:space="preserve">Regarding the company Bolton Solitaire  </w:t>
        <w:br/>
        <w:t>1601. The highest known consolidated worldwide turnover excluding taxes achieved by the Bolton Manitoba group was 1,549,000,000 euros in 2012. The maximum amount of the sanction is 154,900,000 euros concerning Bolton Solitaire and Bolton Manitoba. This amount exceeds the amount mentioned in point 1590.</w:t>
      </w:r>
    </w:p>
    <w:p>
      <w:r>
        <w:t xml:space="preserve">Regarding the company Gillette  </w:t>
        <w:br/>
        <w:t>1602. The highest known consolidated worldwide turnover excluding taxes achieved by the Procter &amp; Gamble group was 84,167,000,000 dollars, or 63,373,134,014 euros in 2013. Due to the implementation of the procedure for non-contestation of grievances, the maximum amount of the sanction is 3,168,656,700 euros concerning Procter &amp; Gamble France, Procter &amp; Gamble Holding France, and The Procter &amp; Gamble Company. This amount exceeds the amount mentioned in point 1590.</w:t>
      </w:r>
    </w:p>
    <w:p>
      <w:r>
        <w:t xml:space="preserve">Regarding the company L’Oréal  </w:t>
        <w:br/>
        <w:t>1603. The highest known consolidated worldwide turnover excluding taxes achieved by the L’Oréal group was 22,976,600,000 euros in 2013. The maximum amount of the sanction is 2,297,660,000 euros concerning Lascad and L’Oréal (SA). This amount exceeds the amounts mentioned in point 1590.</w:t>
      </w:r>
    </w:p>
    <w:p>
      <w:r>
        <w:t xml:space="preserve">Regarding the company Beiersdorf  </w:t>
        <w:br/>
        <w:t>1604. The highest known consolidated worldwide turnover excluding taxes achieved by the Beiersdorf group was 6,141,000,000 euros in 2013. Due to the implementation of the procedure for non-contestation of grievances, the maximum amount of the sanction is 307,050,000 euros concerning Beiersdorf SAS, Beiersdorf Holding France, and Beiersdorf AG. This amount exceeds the amount mentioned in point 1590.</w:t>
      </w:r>
    </w:p>
    <w:p>
      <w:r>
        <w:t xml:space="preserve">Regarding the company Vania  </w:t>
        <w:br/>
        <w:t xml:space="preserve">♦ For the sanction against Vania Expansion and Johnson &amp; Johnson Consumer Holdings France  </w:t>
        <w:br/>
        <w:t>1605. The highest known consolidated worldwide turnover excluding taxes achieved by the Johnson &amp; Johnson group was 71,312,000,000 dollars, or 53,694,024,176 euros in 2013. Due to the implementation of the procedure for non-contestation of grievances, the maximum amount of the sanction is 2,684,701,208 euros concerning Vania Expansion and Johnson &amp; Johnson Consumer Holdings France. This amount exceeds the amount mentioned in point 1590.</w:t>
      </w:r>
    </w:p>
    <w:p>
      <w:r>
        <w:t xml:space="preserve">♦ For the sanction against SCA Tissue France  </w:t>
        <w:br/>
        <w:t>1606. The highest known consolidated worldwide turnover excluding taxes achieved by the Georgia Pacific group (renamed SCA Tissue in 2013) was 22,715,000,000 dollars, or 24,021,785,110 euros in 2002 (average annual euro/dollar exchange rate of 0.9456 in 2002). Due to the implementation of the procedure for non-contestation of grievances, the maximum amount of the sanction is 1,201,089,255 euros concerning SCA Tissue France (formerly known as Georgia Pacific France). This amount exceeds the amount mentioned in point 1590.</w:t>
      </w:r>
    </w:p>
    <w:p>
      <w:r>
        <w:t xml:space="preserve">Conclusion  </w:t>
        <w:br/>
        <w:t>1607. The sanction amounts after verification of the applicable maximum are those mentioned in point 1590.</w:t>
      </w:r>
    </w:p>
    <w:p>
      <w:r>
        <w:t xml:space="preserve">d) On the application of IV of Article L. 464-2 of the Commercial Code relating to the leniency program  </w:t>
        <w:br/>
        <w:t xml:space="preserve">Reminder of applicable principles  </w:t>
        <w:br/>
        <w:t xml:space="preserve">1608. In the context of this procedure, three companies have benefited from a leniency notice in one of the two sectors concerned by the grievances, or even in both sectors. These are SC Johnson, Colgate-Palmolive, and Henkel regarding the maintenance products supply sector, and Colgate-Palmolive and Henkel only regarding the hygiene products supply sector.  </w:t>
        <w:br/>
        <w:t xml:space="preserve">1609. In this regard, it should be recalled, firstly, that IV of Article L. 464-2 of the Commercial Code, in its version resulting from the law of May 15, 2001, relating to new economic regulations, makes the implementation of the leniency procedure subject to two general conditions.  </w:t>
        <w:br/>
        <w:t xml:space="preserve">1610. On the one hand, the leniency applicant must have "with others, implemented a practice prohibited" by Article L. 420-1 of this code. On the other hand, it is necessary that the interested party has "contributed to establishing the reality of the prohibited practice and identifying its authors, by providing information elements of which [the Authority] [...] did not have prior access." It is in consideration of these elements that, when adopting a decision establishing the existence of an infringement and imposing a sanction on its authors, the Council – now the Authority – may "grant an exemption from monetary sanctions proportionate to the contribution made to establishing the infringement" by the leniency applicant.  </w:t>
        <w:br/>
        <w:t xml:space="preserve">1611. Secondly, IV of Article L. 464-2 of the Commercial Code allows the Authority, as the Council did before it, to submit on a case-by-case basis, that is to say in each case of collusion it has to consider and for each individual leniency request made in this context, whether it comes from the first company making this approach or from those that come forward later, the granting of leniency under specific conditions. These conditions must then be included in the leniency notice issued by the Authority, which is itself transmitted to the applicant. The exemption from sanction that may be granted to the latter at the end of the procedure, if it is to be proportionate to its contribution to establishing the infringement, therefore also depends, as provided for by the Commercial Code, on compliance with "[t]he conditions specified in the leniency notice."  </w:t>
        <w:br/>
        <w:t xml:space="preserve">1612. In application of this provision, the Authority, as the Council did before it, has the practice of granting to leniency applicants other than the one eligible for a total exemption from monetary sanction the conditional benefit of a partial exemption from sanction, the importance of which depends, on the one hand, on the added value of the documents submitted in support of their request, which is itself linked to the rank of presentation of this request in that it is assessed in relation to the content of the file that the Authority already has, and, on the other hand, on the behavior of the applicant during the procedure.  </w:t>
        <w:br/>
        <w:t>1613. Regarding the first point, the procedural notice of April 11, 2006, relating to the French leniency program, which describes the practical modalities that the Council had committed to respecting for the processing of leniency requests and which was applicable at the date of the submission of Colgate-Palmolive's leniency request, explains that,</w:t>
      </w:r>
    </w:p>
    <w:p>
      <w:r>
        <w:rPr>
          <w:b/>
        </w:rPr>
        <w:t>[Pages 292–294]</w:t>
      </w:r>
    </w:p>
    <w:p>
      <w:r>
        <w:t>the significant added value of the evidence provided.</w:t>
      </w:r>
    </w:p>
    <w:p>
      <w:r>
        <w:t>1627. In conclusion, the Authority recognizes the cooperation of Colgate-Palmolive and the substantial contribution it made by revealing the existence of the Team HP meetings, which were previously unknown to the Authority. This cooperation justifies the granting of a 50% reduction in the financial penalty for the practices pursued in the maintenance sector.</w:t>
      </w:r>
    </w:p>
    <w:p>
      <w:r>
        <w:t>1628. Therefore, the Authority decides to grant Colgate-Palmolive a conditional total exemption from sanctions for the practices implemented in the hygiene sector and a conditional partial exemption of 50% for the practices implemented in the maintenance sector, subject to the fulfillment of the conditions set forth in the notices.</w:t>
      </w:r>
    </w:p>
    <w:p>
      <w:r>
        <w:rPr>
          <w:b/>
        </w:rPr>
        <w:t>[Pages 295–297]</w:t>
      </w:r>
    </w:p>
    <w:p>
      <w:r>
        <w:t xml:space="preserve">sufficiently and strongly enhances the added value of Colgate-Palmolive's contribution to case 06/0001F.  </w:t>
        <w:br/>
        <w:t xml:space="preserve">♦ On the situation of Colgate-Palmolive, as the legal successor of Sara Lee Household and Body Care France  </w:t>
        <w:br/>
        <w:t xml:space="preserve">1627. The company Colgate-Palmolive SASU, in its capacity as the legal successor of Sara Lee Household and Body Care France, requests that the benefits of the leniencies granted to it on June 19, 2006, as the author of the practices pursued, be extended to Sara Lee Household and Body Care France. According to it, the company Colgate-Palmolive has included Sara Lee Household and Body Care France since 2011. Therefore, the benefit of the leniency granted in the conditional notices of June 19, 2006, to Colgate-Palmolive should, according to it, be extended to the practices of Sara Lee.  </w:t>
        <w:br/>
        <w:t xml:space="preserve">1628. However, only the economic unit that submitted a leniency application and provided decisive evidence can benefit from it, namely the subsidiary and the parent company that holds it at the time of this application (see in this sense decision No. 13-D-12 of May 28, 2013, regarding practices implemented in the chemical products marketing sector, point 1029). Now, at the time of its leniency application, Colgate-Palmolive could only submit an application for the economic unit it formed at that time, of which Sara Lee Household &amp; Body Care France was not a part, and could only provide decisive evidence for the actions of that economic unit. In other words, Colgate-Palmolive could not engage, at the time of submitting its leniency application, a future company of which it was not yet the legal successor.  </w:t>
        <w:br/>
        <w:t xml:space="preserve">1629. Furthermore, Colgate-Palmolive wrongly argues that the scope of the conditional leniency notices issued to it by the Competition Authority would not be limited to the practices of Colgate-Palmolive alone since it denounced not only its own actions but also those of its competitors, including Sara Lee. Contrary to what Colgate-Palmolive claims, the conditional leniency notice indeed concerns the behaviors of the company Colgate-Palmolive at the date of the practices and moreover imposes on the sole leniency applicant the obligation to cease without delay its participation in the alleged illegal practices.  </w:t>
        <w:br/>
        <w:t xml:space="preserve">1630. Colgate-Palmolive's request must therefore be dismissed.  </w:t>
        <w:br/>
        <w:t xml:space="preserve">Situation of Henkel  </w:t>
        <w:br/>
        <w:t xml:space="preserve">♦ In the hygiene sector  </w:t>
        <w:br/>
        <w:t xml:space="preserve">1631. By notice No. 11-AC-01 of March 7, 2011, the company Henkel France and its subsidiaries (second leniency applicant) obtained the conditional benefit of a partial exemption from sanctions for anti-competitive practices implemented in the hygiene sector, ranging from 20% to 30%. This partial exemption from sanctions was, however, subject to the following conditions:  </w:t>
        <w:br/>
        <w:t xml:space="preserve">- to cease its participation in illegal activities;  </w:t>
        <w:br/>
        <w:t xml:space="preserve">- not to have taken any measures against other companies to compel them to participate in an infringement;  </w:t>
        <w:br/>
        <w:t xml:space="preserve">- not to have informed the companies likely to be implicated in the denounced practices of its approach;  </w:t>
        <w:br/>
        <w:t xml:space="preserve">- to provide total, permanent, and rapid cooperation throughout the investigation and instruction procedure.  </w:t>
        <w:br/>
        <w:t xml:space="preserve">1632. It emerges from all the elements of the file, as well as the course of the procedure, that the company Henkel France has fulfilled all these conditions. It is therefore appropriate, given the added value of the documents submitted by Henkel, to grant it the benefit of a 30% exemption from sanctions for the practices pursued in the hygiene products sector.  </w:t>
        <w:br/>
        <w:t xml:space="preserve">♦ In the maintenance sector  </w:t>
        <w:br/>
        <w:t xml:space="preserve">1633. By notice No. 09-AC-01 of January 21, 2009, the company Henkel France and its subsidiaries (third leniency applicant) obtained the conditional benefit of a partial exemption from sanctions for anti-competitive practices implemented in the maintenance sector, ranging from 10% to 20%. This partial exemption from sanctions was, however, subject to the following conditions:  </w:t>
        <w:br/>
        <w:t xml:space="preserve">- to provide total, permanent, and rapid cooperation throughout the investigation and instruction procedure;  </w:t>
        <w:br/>
        <w:t xml:space="preserve">- to cease its participation in illegal activities;  </w:t>
        <w:br/>
        <w:t xml:space="preserve">- not to have taken any measures against other companies to compel them to participate in an infringement;  </w:t>
        <w:br/>
        <w:t xml:space="preserve">- not to have informed the companies likely to be implicated in the denounced practices of its approach.  </w:t>
        <w:br/>
        <w:t xml:space="preserve">1634. It emerges from all the elements of the file, as well as the course of the procedure, that the company Henkel France has fulfilled all these conditions.  </w:t>
        <w:br/>
        <w:t xml:space="preserve">1635. Henkel provided elements that corroborated information already available to the Authority but also supplemented and clarified it, revealing in particular that outside of meetings, exchanges took place via email and by phone, while providing documents and explanations in this regard.  </w:t>
        <w:br/>
        <w:t xml:space="preserve">1636. Furthermore, at the stage of the report, Henkel, in the context of its obligation to cooperate, provided new elements and additional explanations on documents that had been submitted as part of its leniency application but whose added value regarding the pursued practices had not been appreciated at their true value at the time of the leniency notice. These elements made it possible to establish exchanges by product category in the maintenance sector as early as 2003.  </w:t>
        <w:br/>
        <w:t xml:space="preserve">1637. It should be recalled that the Authority established the principle according to which the exemption is granted a priori within the framework of the range proposed in the notice, the applicant not being admissible to contest the maximum rate, particularly when there is no need to make a new assessment of the added value of the documents submitted by the applicant. However, this principle does not exclude, under certain circumstances, that the Authority, on its own initiative, may grant a reevaluation of the maximum rate at the end of the instruction when it appears in particular that the added value of the documents submitted by the applicant had been underestimated at the stage of the notice. In the laundry case, the Paris Court of Appeal thus considered: "at this initial stage of the procedure, the (fixed) panel simply sets a range of exemption given for indicative and conditional purposes, not making a definitive ruling on the degree of significant added value of the documents produced" (judgment of January 30, 2014, cited above, p. 48).  </w:t>
        <w:br/>
        <w:t xml:space="preserve">1638. It is therefore appropriate, given the added value of the documents submitted by Henkel, to grant it the benefit of a 25% exemption from sanctions for the practices pursued in the maintenance products sector.  </w:t>
        <w:br/>
        <w:t xml:space="preserve">e) On the application of III of Article L. 464-2 of the Commercial Code relating to the non-contestation of allegations  </w:t>
        <w:br/>
        <w:t xml:space="preserve">Reminder of applicable principles  </w:t>
        <w:br/>
        <w:t xml:space="preserve">1639. According to III of Article L. 464 of the Commercial Code, "[w]hen an organization or a company does not contest the reality of the allegations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  </w:t>
        <w:br/>
        <w:t xml:space="preserve">1640. This article allows the general rapporteur to propose to the Authority to take into account, when determining the sanction, the fact that a company or organization waives contesting the allegations notified to it. Indeed, as the Authority has noted several times, the waiver to contest the allegations primarily aims to lighten and accelerate the investigation work, particularly by exempting the investigation services from drafting a report when it is done by all the implicated companies (decisions No. 07-D-21 of the Council of June 26, 2007, regarding practices implemented in the linen rental and maintenance sector, point 129, No. 08-D-13 of June 11, 2008, regarding practices identified in the sector of routine maintenance of premises, paragraph 99, and No. 09-D-05 of February 2, 2009, regarding practices implemented in the temporary work sector, point 155).  </w:t>
        <w:br/>
        <w:t xml:space="preserve">1641. In its procedural communication of February 10, 2012, regarding the non-contestation of allegations, the Authority recalls that, in light of the case law on this subject, this waiver must take the form of a declaration by which the organization or company in question indicates, in clear, complete, unambiguous, and unconditional terms, that it does not contest, directly or indirectly, either the reality of all the practices in question, or the legal qualification given to them by the Authority's services in light of the relevant provisions of the Commercial Code and the Treaty on the Functioning of the European Union, nor their imputability. The waiver to contest the reality of the practices in question must therefore cover in particular the constitutive facts of these practices, their object and their anti-competitive effects as retained in the notification of allegations, their characteristics, their duration, and the modalities of the interested party's participation in the practices.  </w:t>
        <w:br/>
        <w:t>1642. The waiver to contest the allegations by a company cannot lead to granting the interested party only a relatively limited reduction of the sanction. It is, where applicable, the nature and quality of the commitments presented by the company during the non-contestation procedure that may allow for a more significant reduction of the sanction, to the extent that they are substantial, credible, and verifiable (decision No. 07-D-21 of the Competition Authority of June 26, 2007, regarding practices implemented in the linen rental and maintenance sector, point 129, decision No. 08-D-13 of June 11, 2008, regarding practices identified in the sector of routine maintenance of premises, point 99, decision No. 09-D-05 of February 2, 2009, regarding practices implemented in the temporary work sector, point 155, and decision No. 11-D-17 of December 8, 2011, regarding practices implemented in the laundry sector, point 770). When it accepts commitments that consist of compliance programs, the Authority makes them mandatory in the decision it adopts at the end of the procedure. It may naturally be led to subsequently ensure their effective implementation.</w:t>
      </w:r>
    </w:p>
    <w:p>
      <w:r>
        <w:rPr>
          <w:b/>
        </w:rPr>
        <w:t>[Pages 298–300]</w:t>
      </w:r>
    </w:p>
    <w:p>
      <w:r>
        <w:t>avec l’Autorité de la concurrence, et la remise d’un rapport annuel à l’Autorité de la concurrence.</w:t>
      </w:r>
    </w:p>
    <w:p>
      <w:r>
        <w:t>1665. L’ensemble de ces engagements sont substantiels, crédibles et vérifiables et représentent une valeur ajoutée par rapport au programme existant. L’Autorité relève en particulier que la réalisation d’audits du respect des règles de la concurrence tous les trois ans pendant dix ans et l’extension du périmètre de l’engagement à toutes les activités constituent des efforts qu’il convient de valoriser.</w:t>
      </w:r>
    </w:p>
    <w:p>
      <w:r>
        <w:t>1666. Il convient donc d’accorder aux sociétés du groupe Unilever une réduction de 18 % du montant de leur sanction au titre de la procédure de non-contestation des griefs, réduction qui s’ajoute à celle déjà accordée au titre de la procédure de clémence.</w:t>
      </w:r>
    </w:p>
    <w:p>
      <w:r>
        <w:rPr>
          <w:b/>
        </w:rPr>
        <w:t>[Pages 301–303]</w:t>
      </w:r>
    </w:p>
    <w:p>
      <w:r>
        <w:t xml:space="preserve">of management regarding this program, and the submission of an annual report to the Competition Authority.  </w:t>
        <w:br/>
        <w:t xml:space="preserve">1665. All of these commitments are substantial, credible, and verifiable and represent added value compared to the existing program. The Authority particularly notes that the strengthening of the internal alert system through the creation of a telephone line preserving anonymity and the expansion of the scope of activities covered by the program to all activities of the group constitute efforts that should be valued.  </w:t>
        <w:br/>
        <w:t xml:space="preserve">1666. It is therefore appropriate to grant the French subsidiaries of the Unilever group a reduction of 18% of the amount of their sanction under the procedure for not contesting the allegations.  </w:t>
        <w:br/>
        <w:t xml:space="preserve">Regarding Johnson &amp; Johnson Santé Beauté France  </w:t>
        <w:br/>
        <w:t xml:space="preserve">1667. By minutes signed on July 22, 2013, Johnson &amp; Johnson Santé Beauté France, succeeding Laboratoires Vendôme, requested the benefit of the procedure for not contesting the allegations and committed to making commitments consisting of improving its current compliance program (references 48 134 to 48 141 (VC) / references 49 202 to 49 209 (VNC)).  </w:t>
        <w:br/>
        <w:t xml:space="preserve">1668. Johnson &amp; Johnson Santé Beauté France already has a compliance program. The proposals for improving the current compliance program provide for its application to all activities of the group, the strengthening of information and mandatory training for employees, the development of systems to control compliance with competition law, the strengthening of the alert system, the implementation of this program under the supervision of a competition law officer, with the necessary material and human resources to accomplish his mission, a commitment from management to comply with competition law, and the submission of an annual report to the Competition Authority.  </w:t>
        <w:br/>
        <w:t xml:space="preserve">1669. All of these commitments are substantial, credible, and verifiable and represent added value compared to the existing program. The Authority particularly notes that the strengthening of the internal alert system through the creation of a telephone line preserving anonymity and the expansion of the scope of activities covered by the program to all activities of the group constitute efforts that should be valued.  </w:t>
        <w:br/>
        <w:t xml:space="preserve">1670. It is therefore appropriate to grant Johnson &amp; Johnson Santé Beauté France a reduction of 18% of the amount of its sanction under the procedure for not contesting the allegations.  </w:t>
        <w:br/>
        <w:t xml:space="preserve">Regarding the companies Vania Expansion and Johnson &amp; Johnson Consumer Holdings France  </w:t>
        <w:br/>
        <w:t xml:space="preserve">1671. By minutes signed on August 8, 2013, the companies Vania Expansion and Johnson &amp; Johnson Consumer Holdings France requested the benefit of the procedure for not contesting the allegations and committed to making commitments consisting of improving their current compliance program (references 48 594 to 48 601 (VC) / references 50 189 to 50 196 (VNC)).  </w:t>
        <w:br/>
        <w:t xml:space="preserve">1672. Regarding this program, it should be noted that Vania Expansion is now a 100% subsidiary of Johnson &amp; Johnson Consumer Holdings France. Furthermore, Vania Expansion no longer conducts operational activities, which have been fully transferred to Johnson &amp; Johnson Santé Beauté France. Consequently, the commitment made by Vania Expansion and Johnson &amp; Johnson Consumer Holdings France will be implemented, in practice, by Johnson &amp; Johnson Santé Beauté France. It is identical in every respect to that described in point 1668.  </w:t>
        <w:br/>
        <w:t xml:space="preserve">1673. It is therefore appropriate to grant the companies Vania Expansion and Johnson &amp; Johnson Consumer Holdings France a reduction of 18% of the amount of their sanction under the procedure for not contesting the allegations.  </w:t>
        <w:br/>
        <w:t xml:space="preserve">Regarding SCA Tissue France  </w:t>
        <w:br/>
        <w:t xml:space="preserve">1674. By minutes signed on August 8, 2013, SCA Tissue France, the legal successor of Georgia Pacific France, the former 50% parent company of Vania Expansion, requested the benefit of the procedure for not contesting the allegations and committed to making commitments consisting of improving its current compliance program (references 48 567 to 48 585 (VC) / references 48 771 to 48 789 (VNC) and 53 048).  </w:t>
        <w:br/>
        <w:t xml:space="preserve">1675. SCA Tissue France already has a compliance program. The proposals for improving the current compliance program, while not as substantial as those described in points 1653 to 1673, provide for the strengthening of information and mandatory training for employees, the implementation of this program under the supervision of a competition law officer, with the necessary material and human resources to accomplish his mission, a commitment from management on the necessity of complying with competition law, and the submission of an annual report to the Competition Authority.  </w:t>
        <w:br/>
        <w:t xml:space="preserve">1676. All of these commitments are substantial, credible, and verifiable. It is therefore appropriate to grant SCA Tissue France a reduction of 16% of the amount of its sanction under the procedure for not contesting the allegations.  </w:t>
        <w:br/>
        <w:t xml:space="preserve">Regarding Reckitt Benckiser  </w:t>
        <w:br/>
        <w:t xml:space="preserve">1677. By minutes signed on August 28, 2013, Reckitt Benckiser PLC and its subsidiaries requested the benefit of the procedure for not contesting the allegations and committed to making commitments consisting of improving their current compliance program (references 48 637 to 48 647 (VC) / 50 161 to 50 171 (VNC)).  </w:t>
        <w:br/>
        <w:t xml:space="preserve">1678. Reckitt Benckiser already has a compliance program. The proposals for improving the current compliance program, while not as substantial as those described in points 1653 to 1673, notably provide for the strengthening of information and mandatory training for employees, the development of systems to control compliance with competition law, the implementation of this program under the supervision of a compliance officer for competition law issues, with the necessary material and human resources to accomplish his mission, a commitment from management on the necessity of complying with competition law, and the submission of an annual report to the Competition Authority.  </w:t>
        <w:br/>
        <w:t xml:space="preserve">1679. All of these commitments are substantial, credible, and verifiable. It is therefore appropriate to grant Reckitt Benckiser PLC and its subsidiaries a reduction of 16% of the amount of their sanction under the procedure for not contesting the allegations.  </w:t>
        <w:br/>
        <w:t xml:space="preserve">Regarding Procter &amp; Gamble  </w:t>
        <w:br/>
        <w:t xml:space="preserve">1680. By minutes signed on August 30, 2013, The Procter &amp; Gamble Company and its subsidiaries, on their behalf and as the legal successor of Groupe Gillette France and The Gillette Company, requested the benefit of the procedure for not contesting the allegations and committed to making commitments consisting of improving their current compliance program (references 48 678 to 48 732).  </w:t>
        <w:br/>
        <w:t xml:space="preserve">1681. Procter &amp; Gamble already has a compliance program. The proposals for improving the current compliance program, while not as substantial as those described in points 1653 to 1673, provide for the strengthening of information and mandatory training for employees, the development of systems to control compliance with competition law, the implementation of this program under the supervision of a compliance officer for competition law issues, with the necessary material and human resources to accomplish his mission, a commitment from management on the necessity of complying with competition law, and the submission of an annual report to the Competition Authority.  </w:t>
        <w:br/>
        <w:t xml:space="preserve">1682. All of these commitments are substantial, credible, and verifiable. It is therefore appropriate to grant Procter &amp; Gamble and its subsidiaries a reduction of 16% of the amount of their sanction under the procedure for not contesting the allegations.  </w:t>
        <w:br/>
        <w:t xml:space="preserve">Regarding Beiersdorf  </w:t>
        <w:br/>
        <w:t xml:space="preserve">1683. By minutes signed on September 2, 2013, Beiersdorf AG and its subsidiaries requested the benefit of the procedure for not contesting the allegations and committed to making commitments consisting of improving their current compliance program (references 48 742 to 48 748 (VC) / references 53 051 to 53 057 (VNC)).  </w:t>
        <w:br/>
        <w:t xml:space="preserve">1684. Beiersdorf already has a compliance program. The proposals for improving the current compliance program, while not as substantial as those described in points 1653 to 1673, provide for the strengthening of information and mandatory training for employees, the development of systems to control compliance with competition law, the implementation of this program under the supervision of a compliance officer for competition law issues, with the necessary material and human resources to accomplish his mission, a commitment from management on the necessity of complying with competition law, and the submission of an annual report to the Competition Authority.  </w:t>
        <w:br/>
        <w:t xml:space="preserve">1685. All of these commitments are substantial, credible, and verifiable. It is therefore appropriate to grant Beiersdorf AG and its subsidiaries a reduction of 16% of the amount of their sanction under the procedure for not contesting the allegations.  </w:t>
        <w:br/>
        <w:t xml:space="preserve">f) On the final amount of sanctions  </w:t>
        <w:br/>
        <w:t xml:space="preserve">1686. In light of all of the above, the following sanctions should be imposed:  </w:t>
        <w:br/>
        <w:t xml:space="preserve">In the maintenance sector  </w:t>
        <w:br/>
        <w:t xml:space="preserve">Companies Sanction before taking Final sanction Final rounded sanction  </w:t>
        <w:br/>
        <w:t xml:space="preserve">into account the  </w:t>
        <w:br/>
        <w:t xml:space="preserve">reduction under the  </w:t>
        <w:br/>
        <w:t xml:space="preserve">leniency and/or  </w:t>
        <w:br/>
        <w:t xml:space="preserve">non-contestation of  </w:t>
        <w:br/>
        <w:t xml:space="preserve">allegations  </w:t>
        <w:br/>
        <w:t xml:space="preserve">Colgate- 113,990,637 € 46,736,161 € 46,736,000 €  </w:t>
        <w:br/>
        <w:t xml:space="preserve">Palmolive  </w:t>
        <w:br/>
        <w:t xml:space="preserve">Henkel 96,106,106 € 59,105,255 € 59,105,000 €  </w:t>
        <w:br/>
        <w:t xml:space="preserve">Reckitt Benckiser 128,896,592 € 108,273,137 € 108,273,000 €  </w:t>
        <w:br/>
        <w:t xml:space="preserve">Unilever 86,002,750 € 70,522,255 € 70,522,000 €  </w:t>
        <w:br/>
        <w:t xml:space="preserve">Procter &amp; 47,416,862 € 39,830,164 € 39,830,000 €  </w:t>
        <w:br/>
        <w:t>Gamble</w:t>
      </w:r>
    </w:p>
    <w:p>
      <w:r>
        <w:rPr>
          <w:b/>
        </w:rPr>
        <w:t>[Pages 304–306]</w:t>
      </w:r>
    </w:p>
    <w:p>
      <w:r>
        <w:t>Sara Lee 12,873,690 € 12,873,690 € concerning the company 12,873,000 € concerning the</w:t>
        <w:br/>
        <w:t>Hillshire Brands company, the company Hillshire</w:t>
        <w:br/>
        <w:t>Company, Colgate-Palmolive company Colgate-</w:t>
        <w:br/>
        <w:t>SASU being Palmolive SASU</w:t>
        <w:br/>
        <w:t>jointly responsible for jointly responsible for</w:t>
        <w:br/>
        <w:t>the payment of this payment of this</w:t>
        <w:br/>
        <w:t>amount up to amount up to</w:t>
        <w:br/>
        <w:t>10,556,425 euros 10,556,000 euros</w:t>
        <w:br/>
        <w:t>SC Johnson 51,827,494 € 0 € 0 €</w:t>
        <w:br/>
        <w:t>Bolton Solitaire 7,903,095 € 7,903,095 € 7,903,000 €</w:t>
        <w:br/>
        <w:t>In the hygiene sector</w:t>
        <w:br/>
        <w:t>Companies Sanction before taking Sanction final Final sanction</w:t>
        <w:br/>
        <w:t>into account the rounded</w:t>
        <w:br/>
        <w:t>reduction for leniency</w:t>
        <w:br/>
        <w:t>and/or non-contestation of</w:t>
        <w:br/>
        <w:t>the allegations</w:t>
        <w:br/>
        <w:t>Colgate- 84,258,137 € 0 € 0 €</w:t>
        <w:br/>
        <w:t>Palmolive</w:t>
        <w:br/>
        <w:t>Henkel 87,217,190 € 50,062,667 € 50,062,000 €</w:t>
        <w:br/>
        <w:t>Reckitt Benckiser 15,119,261 € 12,700,179 € 12,700,000 €</w:t>
        <w:br/>
        <w:t>Unilever 124,417,476 € 102,022,330 € 102,022,000 €</w:t>
        <w:br/>
        <w:t>Procter &amp; 46,558,512 € 39,109,150 € 39,109,000 €</w:t>
        <w:br/>
        <w:t>Gamble</w:t>
        <w:br/>
        <w:t>Sara Lee 12,390,927 € 12,390,927 € euros concerning 12,390,000 € euros concerning</w:t>
        <w:br/>
        <w:t>the company Hillshire Brands the company Hillshire</w:t>
        <w:br/>
        <w:t>Company, Colgate-Palmolive Company, Colgate-</w:t>
        <w:br/>
        <w:t>SASU being Palmolive SASU</w:t>
        <w:br/>
        <w:t>jointly responsible for jointly responsible for</w:t>
        <w:br/>
        <w:t>the payment of this payment of this</w:t>
        <w:br/>
        <w:t>amount up to amount up to</w:t>
        <w:br/>
        <w:t>10,160,560 € 10,160,000 €</w:t>
        <w:br/>
        <w:t>Laboratoires 9,914,713 € 8,130,064 € 8,130,000 €</w:t>
        <w:br/>
        <w:t>Vendôme</w:t>
        <w:br/>
        <w:t>Gillette 89,194,792 € 74,923,625 € 74,923,000 €</w:t>
        <w:br/>
        <w:t>L’Oréal 189,494,771 € 189,494,771 € concerning the 189,494,000 € concerning the</w:t>
        <w:br/>
        <w:t>company L’Oréal (SA), company L’Oréal (SA),</w:t>
        <w:br/>
        <w:t>Lascad being the company Lascad</w:t>
        <w:br/>
        <w:t>jointly responsible for jointly responsible for</w:t>
        <w:br/>
        <w:t>the payment of this payment of this</w:t>
        <w:br/>
        <w:t>amount up to amount up to</w:t>
        <w:br/>
        <w:t>45,551,627 € 45,551,000 €</w:t>
        <w:br/>
        <w:t>Beiersdorf 85,848,819 € 72,113,007 € 72,113,000 €</w:t>
        <w:br/>
        <w:t>Vania 53,612,592 € 45,034,577 € concerning the 45,034,000 € concerning the</w:t>
        <w:br/>
        <w:t>company SCA Tissue France, company SCA Tissue</w:t>
        <w:br/>
        <w:t>the companies Vania France, the companies</w:t>
        <w:br/>
        <w:t>Expansion SNC and Vania Expansion</w:t>
        <w:br/>
        <w:t>Johnson &amp; Johnson SNC and Johnson &amp;</w:t>
        <w:br/>
        <w:t>Consumer Holdings Johnson Consumer</w:t>
        <w:br/>
        <w:t>France being Holdings France being</w:t>
        <w:br/>
        <w:t>jointly responsible for jointly responsible for</w:t>
        <w:br/>
        <w:t>the payment of this payment of this</w:t>
        <w:br/>
        <w:t>amount up to amount up to</w:t>
        <w:br/>
        <w:t>43,962,325 € 43,962,000 €</w:t>
        <w:br/>
        <w:t>C. ON THE OBLIGATION TO PUBLISH</w:t>
        <w:br/>
        <w:t>1687. Under the provisions of I of Article L. 464-2, fifth paragraph, of the Commercial Code, the Competition Authority may order the publication, dissemination, or display of its decision or an excerpt thereof in the manner it specifies. The costs are borne by the interested party.</w:t>
        <w:br/>
        <w:t>1688. In this case, in order to inform consumers and professionals of this decision and to encourage vigilance regarding the condemned practices, it is necessary to order the publication, at the shared expense of the sanctioned companies and in proportion to their financial penalties, in the paper editions of the newspapers "Les Echos" and "LSA," of the summary of this decision set forth below:</w:t>
        <w:br/>
        <w:t>"On December 18, 2014, the Competition Authority issued a decision by which it sanctions, respectively, in the amounts of 345,242,000 euros and 605,977,000 euros, two agreements - one between manufacturers of cleaning products, the other between manufacturers of hygiene products - which consisted, between 2003 and early 2006 for each of the concerned markets, in coordinating their commercial policy towards large retailers in France, and in particular in consulting on price increases:</w:t>
        <w:br/>
        <w:t>- a first agreement in the market for supplying large retailers with cleaning products, in which participated, each to their extent, the companies Colgate-Palmolive, Henkel, Unilever, Procter &amp; Gamble, Reckitt Benckiser, Sara Lee, SC Johnson, and Bolton Solitaire;</w:t>
        <w:br/>
        <w:t>- a second agreement in the market for supplying large retailers with hygiene products, in which participated, each to their extent, the companies Colgate-Palmolive, Henkel, Unilever, Procter &amp; Gamble, Reckitt Benckiser, Sara Lee, Laboratoires Vendôme, Gillette, L’Oréal, Beiersdorf, and Vania.</w:t>
        <w:br/>
        <w:t>A case revealed thanks to the leniency program</w:t>
        <w:br/>
        <w:t>The case was brought to the attention of the Competition Authority between January 2006 and July 2008 by SC Johnson, Colgate-Palmolive, and Henkel who requested the benefit of leniency. The leniency procedure allows companies that participate or have participated in an agreement to disclose its existence to the Authority and to obtain, under certain conditions, the benefit of a total or partial exemption from financial penalties, depending in particular on their order of arrival at the Authority.</w:t>
        <w:br/>
        <w:t>The inspection and seizure operations carried out in France in February and June 2006 allowed for the gathering of numerous pieces of evidence of these agreements and were supplemented by an in-depth investigation.</w:t>
        <w:br/>
        <w:t>The hygiene and cleaning products sectors</w:t>
        <w:br/>
        <w:t>Cleaning products and hygiene products occupy an important place in the spending of French consumers. This includes, in terms of cleaning products, laundry detergents and fabric softeners, floor and window cleaners, dishwashing products for hand or machine washing, air fresheners and insecticides, and, in terms of hygiene products, toothpaste, deodorants, shower gels, feminine hygiene products, manual razors, cosmetics, shampoos, etc.</w:t>
        <w:br/>
        <w:t>From the supply perspective, the markets for supplying hygiene and cleaning products were characterized, between 2003 and 2006, by the presence of a limited number of large companies, holding high and stable market shares, due in particular to strong barriers to entry.</w:t>
        <w:br/>
        <w:t>From the demand perspective, there was also a strong concentration allowing distributors to have negotiating power in their relationships with suppliers. Nevertheless, this negotiating power was limited by the position of suppliers who also had strong market power and sold branded products that enjoyed high recognition among end consumers.</w:t>
        <w:br/>
        <w:t>The evolution of the legal context</w:t>
        <w:br/>
        <w:t>From 1996 until the beginning of 2003, commercial relations between suppliers and distributors were organized by the law of July 1, 1996 known as the "Galland law," which redefined the threshold for resale at a loss, that is to say, the minimum price at which the distributor can resell its products, as the net price charged by the supplier. This definition of the threshold for resale at a loss, combined with the principle of non-discriminatory pricing, led to great pricing transparency and an increase in retail prices. A tacit balance then united suppliers and distributors.</w:t>
        <w:br/>
        <w:t>To remedy this and lower selling prices to consumers, public authorities adopted a succession of reforms to the legal framework. Thus, the Dutreil circular of May 16, 2003, the commitment to a sustainable reduction in consumer prices of June 17, 2004, and the Dutreil law of August 2, 2005 introduced more uncertainty into the relationships between suppliers and distributors in order to stimulate price competition.</w:t>
        <w:br/>
        <w:t>It is in this context that the main suppliers of hygiene and cleaning products organized, in their respective sectors, an agreement to maintain their profitability.</w:t>
      </w:r>
    </w:p>
    <w:p>
      <w:r>
        <w:rPr>
          <w:b/>
        </w:rPr>
        <w:t>[Pages 307–309]</w:t>
      </w:r>
    </w:p>
    <w:p>
      <w:r>
        <w:t xml:space="preserve">by a deliberate concern to adapt to the Dutreil and Sarkozy initiatives that the companies moved from tacit equilibrium to explicit collusion: the latter aimed to preserve and prolong the former to maintain the profitability on which public initiatives risked exerting unwanted pressure.  </w:t>
        <w:br/>
        <w:t xml:space="preserve">Secret agreements  </w:t>
        <w:br/>
        <w:t xml:space="preserve">In each sector, suppliers of cleaning and hygiene products met regularly and secretly to discuss their pricing policy. The consultations took place within several circles called "Team" or "Friends" that brought together the sales directors or sales managers of the manufacturers. Representatives of the companies met in restaurants and exchanged, for some, correspondence at their private homes. These exchanges were supplemented by bilateral or multilateral contacts, notably telephone calls, which allowed the companies to complete and consolidate the exchanges organized in the different circles.  </w:t>
        <w:br/>
        <w:t xml:space="preserve">Price consultations  </w:t>
        <w:br/>
        <w:t xml:space="preserve">The agreements aimed to reduce the inherent uncertainty of any commercial negotiation, through exchanges of strategic information or more advanced acts of cooperation. They led to frequent exchanges of precise, individualized, and strategic data covering the main parameters for setting the future net triple price, that is to say, the selling price of the products, less discounts on invoices and the amount paid for commercial cooperation services. These exchanges took place before the net triple price was set through negotiations between suppliers and distributors and were materialized by announcements regarding future price developments and future deviations (the deviation being the evolution of the remuneration for commercial cooperation services). These practices were accompanied by exchanges on extremely recent data (prices, promotional operations, progress of negotiations) and on turnover or general sales conditions, which allowed for the monitoring of any potential deviations by a participant in the agreement.  </w:t>
        <w:br/>
        <w:t xml:space="preserve">The agreements altered, to the benefit of the suppliers, the normal course of negotiations with distributors and allowed for the negotiated price to be maintained at an artificially high level, which was reflected in the selling prices to consumers.  </w:t>
        <w:br/>
        <w:t xml:space="preserve">For example, during the commercial negotiations for the year 2006, most participants in the agreements in the hygiene and cleaning sectors implemented very significant price increases, ranging from 4% to 6%, close to that initially announced by one of the participants in the agreements.  </w:t>
        <w:br/>
        <w:t xml:space="preserve">Sanctions proportionate to the severity of the facts, the extent of the damage caused to the economy, and the situation of each of the sanctioned companies  </w:t>
        <w:br/>
        <w:t xml:space="preserve">In accordance with Article L. 464-2 of the Commercial Code, as specified by the press release of May 16, 2011, regarding the method of determining sanctions, the Authority first determined the base amount of the monetary sanction: the basis for this is the turnover generated by all the companies due to the marketing in France, under the banners of large distribution, of products from the hygiene and cleaning sectors. However, sales of universal detergents already taken into account in a previous decision of the Authority, which jointly and severally condemned the companies Henkel France SA and Henkel AG &amp; Co. KGaA, Procter &amp; Gamble France SAS, Procter &amp; Gamble Holding France SAS, The Procter &amp; Gamble Company, and Colgate Palmolive Services SA as well as Colgate Palmolive Company for price-fixing (see decision No. 11-D-17 of December 8, 2011, regarding practices implemented in the detergent sector in France, fully confirmed by a ruling that became final from the Court of Appeal of Paris dated January 30, 2014), were deducted from this amount.  </w:t>
        <w:br/>
        <w:t xml:space="preserve">The Authority sanctioned violations of particular severity, considering not only their nature as secret agreements but also their very object, the agreements aimed at coordinating on the main parameters of commercial negotiation, and in particular on price developments.  </w:t>
        <w:br/>
        <w:t xml:space="preserve">The Authority also noted that these agreements had caused certain damage to the economy, particularly given their national scope, the characteristics of the markets involved, and the effects they had on final consumers.  </w:t>
        <w:br/>
        <w:t xml:space="preserve">The base amount of the sanction was then adjusted to take into account the individual participation of the companies in the agreements as well as the specific elements of the behavior and individual situation of each company. The Authority notably noted that Colgate-Palmolive had played a particularly active role in the commission of the agreements and that most of the companies belonged to a group with significant size, economic power, and global resources.  </w:t>
        <w:br/>
        <w:t xml:space="preserve">The companies SC Johnson, Colgate-Palmolive, and Henkel benefited from a sanction reduction under the leniency program ranging from 100% to 25%. Companies belonging to the groups Unilever, Johnson &amp; Johnson, SCA Tissue, Henkel, Reckitt Benckiser, Colgate-Palmolive, Procter &amp; Gamble, and Beiersdorf, which did not contest the facts, benefited from a sanction reduction of 16% to 18% under the non-contestation procedure.  </w:t>
        <w:br/>
        <w:t xml:space="preserve">The Authority imposed the following monetary sanctions:  </w:t>
        <w:br/>
        <w:t xml:space="preserve">• In the cleaning sector  </w:t>
        <w:br/>
        <w:t xml:space="preserve">Group Final sanction  </w:t>
        <w:br/>
        <w:t xml:space="preserve">Colgate-Palmolive €46,736,000  </w:t>
        <w:br/>
        <w:t xml:space="preserve">Henkel €59,105,000  </w:t>
        <w:br/>
        <w:t xml:space="preserve">Reckitt Benckiser €108,273,000  </w:t>
        <w:br/>
        <w:t xml:space="preserve">Unilever €70,522,000  </w:t>
        <w:br/>
        <w:t xml:space="preserve">Procter &amp; Gamble €39,830,000  </w:t>
        <w:br/>
        <w:t xml:space="preserve">Hillshire Brands €12,873,000, Colgate-Palmolive being jointly responsible for €10,556,000  </w:t>
        <w:br/>
        <w:t xml:space="preserve">Bolton Manitoba €7,903,000  </w:t>
        <w:br/>
        <w:t xml:space="preserve">Total €345,242,000  </w:t>
        <w:br/>
        <w:t xml:space="preserve">• In the hygiene sector  </w:t>
        <w:br/>
        <w:t xml:space="preserve">Group Final sanction  </w:t>
        <w:br/>
        <w:t xml:space="preserve">Henkel €50,062,000  </w:t>
        <w:br/>
        <w:t xml:space="preserve">Reckitt Benckiser €12,700,000  </w:t>
        <w:br/>
        <w:t xml:space="preserve">Unilever €102,022,000  </w:t>
        <w:br/>
        <w:t xml:space="preserve">Procter &amp; Gamble €39,109,000  </w:t>
        <w:br/>
        <w:t xml:space="preserve">Hillshire Brands €12,390,000, Colgate-Palmolive being jointly responsible for €10,160,000  </w:t>
        <w:br/>
        <w:t xml:space="preserve">Johnson &amp; Johnson €8,130,000  </w:t>
        <w:br/>
        <w:t xml:space="preserve">Procter &amp; Gamble €74,923,000  </w:t>
        <w:br/>
        <w:t xml:space="preserve">L’Oréal €189,494,000  </w:t>
        <w:br/>
        <w:t xml:space="preserve">Beiersdorf €72,113,000  </w:t>
        <w:br/>
        <w:t xml:space="preserve">SCA Tissue €45,034,000, Johnson &amp; Johnson being jointly responsible for €43,962,000  </w:t>
        <w:br/>
        <w:t xml:space="preserve">Total €605,977,000  </w:t>
        <w:br/>
        <w:t>The full text of the decision of the Competition Authority is available on the website www.autoritedelaconcurrence.fr.</w:t>
      </w:r>
    </w:p>
    <w:p>
      <w:r>
        <w:rPr>
          <w:b/>
        </w:rPr>
        <w:t>[Pages 310–312]</w:t>
      </w:r>
    </w:p>
    <w:p>
      <w:r>
        <w:t xml:space="preserve">DECISION  </w:t>
        <w:br/>
        <w:t xml:space="preserve">Article 1: It is established that the companies Colgate-Palmolive, Colgate-Palmolive Services, Colgate-Palmolive Company, Henkel France, Henkel AG &amp; Co. KGaA, Topaze, Unilever France, Unilever France Holdings, Procter &amp; Gamble France, Procter &amp; Gamble Holding France, The Procter &amp; Gamble Company, Reckitt Benckiser France, RB Holding Southern Europe, Reckitt Benckiser PLC, Hillshire Brands Company, SC Johnson SAS, SC Johnson &amp; Son, Inc., Bolton Solitaire SAS, and Bolton Manitoba S.p.A. have violated the provisions of Article 81, paragraph 1, of the EC Treaty, now Article 101, paragraph 1, of the TFEU, and Article L. 420-1 of the Commercial Code, by participating, between January 2003 and February 3, 2006, each to the extent indicated in points 982 and following of this decision, in a unique, complex, and continuous agreement in the French market for the supply of cleaning products, aimed at maintaining their margins through coordination on the prices of cleaning products charged to large retailers.  </w:t>
        <w:br/>
        <w:t xml:space="preserve">Article 2: It is established that the companies Colgate-Palmolive, Colgate-Palmolive Services, Colgate-Palmolive Company, Henkel France, Henkel AG &amp; Co. KGaA, Topaze, Unilever France, Unilever France Holdings, Procter &amp; Gamble France, Procter &amp; Gamble Holding France, The Procter &amp; Gamble Company, Reckitt Benckiser France, RB Holding Southern Europe, Reckitt Benckiser PLC, Hillshire Brands Company, Johnson &amp; Johnson Health Beauty France, L’Oréal (SA), Lascad, Beiersdorf SAS, Beiersdorf Holding France SARL, Beiersdorf AG, SCA Tissue France, Vania Expansion, and Johnson &amp; Johnson Consumer Holdings France have violated the provisions of Article 81, paragraph 1, of the EC Treaty, now Article 101, paragraph 1, of the TFEU, and Article L. 420-1 of the Commercial Code, by participating, between January 22, 2003, and February 3, 2006, each to the extent indicated in points 982 and following of this decision, in a unique, complex, and continuous agreement in the French market for the supply of hygiene products, aimed at maintaining their margins through coordination on the prices of hygiene products charged to large retailers.  </w:t>
        <w:br/>
        <w:t xml:space="preserve">Article 3: The following financial penalties are imposed for the practices referred to in Article 1:  </w:t>
        <w:br/>
        <w:t xml:space="preserve">- 46,736,000 euros, jointly and severally, on the companies Colgate-Palmolive, Colgate-Palmolive Services, and Colgate-Palmolive Company;  </w:t>
        <w:br/>
        <w:t xml:space="preserve">- 59,105,000 euros, jointly and severally, on the companies Henkel France and Henkel AG &amp; Co. KGaA;  </w:t>
        <w:br/>
        <w:t xml:space="preserve">- 70,522,000 euros, jointly and severally, on the companies Topaze, Unilever France, and Unilever France Holdings;  </w:t>
        <w:br/>
        <w:t xml:space="preserve">- 39,830,000 euros, jointly and severally, on the companies Procter &amp; Gamble France, Procter &amp; Gamble Holding France, and The Procter &amp; Gamble Company;  </w:t>
        <w:br/>
        <w:t xml:space="preserve">- 108,273,000 euros, jointly and severally, on the companies Reckitt Benckiser France, RB Holding Southern Europe, and Reckitt Benckiser PLC;  </w:t>
        <w:br/>
        <w:t xml:space="preserve">- 12,873,000 euros on the company Hillshire Brands Company, with Colgate-Palmolive SASU being jointly responsible for the payment of this amount up to 10,556,000 euros;  </w:t>
        <w:br/>
        <w:t xml:space="preserve">- 7,903,000 euros, jointly and severally, on the companies Bolton Solitaire SAS and Bolton Manitoba S.p.A.  </w:t>
        <w:br/>
        <w:t xml:space="preserve">Article 4: The companies SC Johnson SAS and SC Johnson &amp; Son, Inc. are exempt from financial penalties for the practices referred to in Article 1, by application of IV of Article L. 464-2 of the Commercial Code.  </w:t>
        <w:br/>
        <w:t xml:space="preserve">Article 5: The following financial penalties are imposed for the practices referred to in Article 2:  </w:t>
        <w:br/>
        <w:t xml:space="preserve">- 50,062,000 euros, jointly and severally, on the companies Henkel France and Henkel AG &amp; Co. KGaA;  </w:t>
        <w:br/>
        <w:t xml:space="preserve">- 102,022,000 euros, jointly and severally, on the companies Topaze, Unilever France, and Unilever France Holdings;  </w:t>
        <w:br/>
        <w:t xml:space="preserve">- 39,109,000 euros, jointly and severally, on the companies Procter &amp; Gamble France, Procter &amp; Gamble Holding France, and The Procter &amp; Gamble Company;  </w:t>
        <w:br/>
        <w:t xml:space="preserve">- 12,700,000 euros, jointly and severally, on the companies Reckitt Benckiser France, RB Holding Southern Europe, and Reckitt Benckiser PLC;  </w:t>
        <w:br/>
        <w:t xml:space="preserve">- 12,390,000 euros on the company Hillshire Brands Company, with Colgate-Palmolive being jointly responsible for the payment of this amount up to 10,160,000 euros;  </w:t>
        <w:br/>
        <w:t xml:space="preserve">- 8,130,000 euros on the company Johnson &amp; Johnson Health Beauty France;  </w:t>
        <w:br/>
        <w:t xml:space="preserve">- 74,923,000 euros, jointly and severally, on the companies Procter &amp; Gamble France, Procter &amp; Gamble Holding France, and The Procter &amp; Gamble Company;  </w:t>
        <w:br/>
        <w:t xml:space="preserve">- 189,494,000 euros on the company L’Oréal (SA), with the company Lascad being jointly responsible for the payment of this amount up to 45,551,000 euros;  </w:t>
        <w:br/>
        <w:t xml:space="preserve">- 72,113,000 euros, jointly and severally, on the companies Beiersdorf SAS, Beiersdorf Holding France SARL, and Beiersdorf AG;  </w:t>
        <w:br/>
        <w:t xml:space="preserve">- 45,034,000 euros on the company SCA Tissue France, with the companies Vania Expansion and Johnson &amp; Johnson Consumer Holdings France being jointly responsible for the payment of this amount up to 43,962,000 euros.  </w:t>
        <w:br/>
        <w:t xml:space="preserve">Article 6: The companies Colgate-Palmolive, Colgate-Palmolive Services, and Colgate-Palmolive Company are exempt from financial penalties for the practices referred to in Article 2, by application of IV of Article L. 464-2 of the Commercial Code.  </w:t>
        <w:br/>
        <w:t xml:space="preserve">Article 7: The companies Topaze, Unilever France, Unilever France Holdings, Johnson &amp; Johnson Health Beauty France, Vania Expansion, Johnson &amp; Johnson Consumer Holdings France, SCA Tissue France, Henkel France, Henkel AG &amp; Co KGaA, Reckitt Benckiser France, RB Holding Southern Europe, Reckitt Benckiser PLC, Colgate-Palmolive, Colgate-Palmolive Services, Colgate-Palmolive Company, Procter &amp; Gamble France, Procter &amp; Gamble Holding France, The Procter &amp; Gamble Company, Beiersdorf SAS, Beiersdorf Holding France SARL, and Beiersdorf AG are ordered to fully comply with the commitments described in points 1653 and following, the final version of which is attached to this decision, which are made mandatory.  </w:t>
        <w:br/>
        <w:t xml:space="preserve">Article 8: The legal entities referred to in Article 1 and Article 2 shall publish at their joint expense the text appearing in point 1688 of this decision in the newspapers "Les Echos" and "LSA", respecting the formatting. This publication shall occur in a box with black characters on a white background of at least three millimeters in height under the following title, in bold characters of the same size: "Decision of the Competition Authority No. 14-D-19 of December 18, 2014, regarding practices implemented in the cleaning products and insecticides sector and in the hygiene and body care products sector." It may be followed by a mention that the decision has been appealed to the Court of Appeal of Paris if such appeals are filed. The concerned legal entities shall send, by registered mail, a copy of this publication to the procedure office, upon its publication and no later than February 19, 2015.  </w:t>
        <w:br/>
        <w:t xml:space="preserve">Deliberated on the oral report of Ms. Sara Darley-Reygner, Messrs. Alexis Brunelle, Sébastien Mitraille, and Mathias Laffont, rapporteurs, and the intervention of Mr. Eric Cuziat, deputy general rapporteur, by Mr. Emmanuel Combe, vice-president, president of the session, Ms. Laurence Idot, Marie-Laure Sauty de Chalon, and Reine-Claude Mader-Saussaye, members.  </w:t>
        <w:br/>
        <w:t xml:space="preserve">The session secretary, The president,  </w:t>
        <w:br/>
        <w:t xml:space="preserve">Béatrice Déry-Rosot Emmanuel Combe  </w:t>
        <w:br/>
        <w:t>© Competition Authority</w:t>
      </w:r>
    </w:p>
    <w:p>
      <w:r>
        <w:rPr>
          <w:b/>
        </w:rPr>
        <w:t>[Pages 313–313]</w:t>
      </w:r>
    </w:p>
    <w:p>
      <w:r>
        <w:t xml:space="preserve">ANNEXES  </w:t>
        <w:br/>
        <w:t xml:space="preserve">&gt; Consult the commitments of Beiersdorf  </w:t>
        <w:br/>
        <w:t xml:space="preserve">&gt; Consult the commitments of Colgate-Palmolive  </w:t>
        <w:br/>
        <w:t xml:space="preserve">&gt; Consult the commitments of Henkel  </w:t>
        <w:br/>
        <w:t xml:space="preserve">&gt; Consult the commitments of JJSBF  </w:t>
        <w:br/>
        <w:t xml:space="preserve">&gt; Consult the commitments of Procter &amp; Gamble (part 1, part 2)  </w:t>
        <w:br/>
        <w:t xml:space="preserve">&gt; Consult the commitments of Reckitt Benckiser  </w:t>
        <w:br/>
        <w:t xml:space="preserve">&gt; Consult the commitments of SCA Tissue France  </w:t>
        <w:br/>
        <w:t xml:space="preserve">&gt; Consult the commitments of Unilever  </w:t>
        <w:br/>
        <w:t>&gt; Consult the commitments of Vania and Johnson &amp; Johnson Consumer Holdings France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