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https://www.autoritedelaconcurrence.fr/fr/decision/relative-des-pratiques-mises-en-oeuvre-dans-le-secteur-des-produits-phytosanitaires</w:t>
      </w:r>
    </w:p>
    <w:p>
      <w:r>
        <w:t>Pages translated : 13</w:t>
      </w:r>
    </w:p>
    <w:p/>
    <w:p>
      <w:r>
        <w:rPr>
          <w:b/>
        </w:rPr>
        <w:t>[Pages 1–3]</w:t>
      </w:r>
    </w:p>
    <w:p>
      <w:r>
        <w:t>Decision No. 15-D-07 of April 23, 2015</w:t>
        <w:br/>
        <w:t>regarding practices implemented in the phytosanitary products sector</w:t>
        <w:br/>
        <w:t>The Competition Authority (permanent commission),</w:t>
        <w:br/>
        <w:t>Having regard to decision No. 06-SO-07, registered on November 8, 2006 under number 06/0082 F, by which the Competition Council took the initiative regarding practices implemented in the phytosanitary products sector;</w:t>
        <w:br/>
        <w:t>Having regard to the decision dated May 18, 2011, by which the deputy general rapporteur separated the part concerning the practices involving Dow Agrosciences distribution and the distributors, registered under number 11/0039 F;</w:t>
        <w:br/>
        <w:t>Having regard to Article 101 of the Treaty on the Functioning of the European Union;</w:t>
        <w:br/>
        <w:t>Having regard to Book IV of the Commercial Code;</w:t>
        <w:br/>
        <w:t>Having regard to the business secrecy decisions No. 11-DSA297, No. 11-DSA-295, No. 11-DSA-296, No. 11-DSA-311, No. 12-DEC-01, No. 13-DSA-317, No. 14-DEC-51;</w:t>
        <w:br/>
        <w:t>Having regard to the observations presented by the companies Dow Agrosciences distribution, Dow Agrosciences, Dow Agrosciences B.V. and Dow Agrosciences L.L.C. and the Government Commissioner;</w:t>
        <w:br/>
        <w:t>Having regard to the other documents in the file;</w:t>
        <w:br/>
        <w:t>The rapporteur, the general rapporteur, and the representatives of the companies Dow Agrosciences distribution, Dow Agrosciences, Dow Agrosciences B.V. and Dow Agrosciences L.L.C. heard during the session of the Competition Authority on March 24, 2015;</w:t>
        <w:br/>
        <w:t>Adopts the following decision:</w:t>
      </w:r>
    </w:p>
    <w:p>
      <w:r>
        <w:t>SUMMARY</w:t>
        <w:br/>
        <w:t>I. Findings ........................................................................................................... 3</w:t>
        <w:br/>
        <w:t>A. Procedural Background .............................................................................................. 3</w:t>
        <w:br/>
        <w:t>B. The Sector .................................................................................................................. 3</w:t>
        <w:br/>
        <w:t>C. The Company Concerned .......................................................................................... 4</w:t>
        <w:br/>
        <w:t>D. Behaviors Observed in the Market for the Distribution of Phytosanitary Products .......................................................................................................................... 4</w:t>
        <w:br/>
        <w:t>1. The Behavior of Dow Agrosciences Distribution .......................................................... 4</w:t>
        <w:br/>
        <w:t>a) The Resale Price Indications ....................................................................................... 4</w:t>
        <w:br/>
        <w:t>b) The Mode of Price Communication ........................................................................... 5</w:t>
        <w:br/>
        <w:t>2. The Behavior of Distributors ....................................................................................... 7</w:t>
        <w:br/>
        <w:t>3. The Analysis of Retail Prices of Products .................................................................. 7</w:t>
        <w:br/>
        <w:t>E. The Notified Grievance ............................................................................................ 8</w:t>
        <w:br/>
        <w:t>II. Discussion ..................................................................................................... 9</w:t>
        <w:br/>
        <w:t>A. On the Applicability of Union Law ......................................................................... 9</w:t>
        <w:br/>
        <w:t>B. On the Procedure .................................................................................................... 10</w:t>
        <w:br/>
        <w:t>C. On the Merits of the Grievance ................................................................................ 10</w:t>
        <w:br/>
        <w:t>1. The Applicable Principles .......................................................................................... 10</w:t>
        <w:br/>
        <w:t>2. Assessment in the Specific Case ................................................................................ 12</w:t>
        <w:br/>
        <w:t>a) On the Communication of Resale Prices by the Supplier ........................................... 12</w:t>
        <w:br/>
        <w:t>b) On the Consent to the Agreement by the Distributors ............................................... 12</w:t>
        <w:br/>
        <w:t>Conclusion on the Merits of the Grievance .................................................................... 13</w:t>
        <w:br/>
        <w:t>DECISION ......................................................................................................................... 13</w:t>
      </w:r>
    </w:p>
    <w:p>
      <w:r>
        <w:t>I. Findings</w:t>
        <w:br/>
        <w:t>A. PROCEDURAL BACKGROUND</w:t>
        <w:br/>
        <w:t>1. By decision No. 06-SO-07 of November 8, 2006 (reference 12), the Competition Council ("the Council") took the initiative regarding practices implemented in the phytosanitary products sector. This decision followed the transmission, by the Directorate General for Competition, Consumer Affairs and Fraud Control ("DGCCRF"), of indications of anti-competitive practices observed in the sector at the request of the general rapporteur of the Council (reference 6095).</w:t>
        <w:br/>
        <w:t>2. This case was registered under number 06/0082 F.</w:t>
        <w:br/>
        <w:t>3. By letter dated November 15, 2006 (references 18 to 20), the general rapporteur requested the director general of the DGCCRF to conduct, in accordance with Article L. 450-6 of the Commercial Code as in force at that time, an investigation into the suspected practices.</w:t>
        <w:br/>
        <w:t>4. By decision dated May 18, 2011 (reference 25), the deputy general rapporteur of the Competition Authority ("the Authority") separated the file 06/0082 F. The documents relating to the practices concerning the company Dow Agrosciences were added to the file registered under number 11/0039 F.</w:t>
        <w:br/>
        <w:t>5. On April 5, 2012, a first notification of grievance was sent to the company "Dow Agrosciences France" as the author of the facts, and to the companies Dow Agrosciences BV and Dow Agrosciences LLC as parent companies, for practices of generalized collusion concerning the resale prices of distributors, contrary to Articles L. 420-1 of the Commercial Code and 101 of the TFEU.</w:t>
        <w:br/>
        <w:t>6. On March 6, 2014, the investigation services sent a supplementary notification of grievance to the company Dow Agrosciences distribution, as the author of the facts, and to the companies Dow Agrosciences, Dow Agrosciences BV and Dow Agrosciences LLC, as parent companies.</w:t>
        <w:br/>
        <w:t>B. THE SECTOR</w:t>
        <w:br/>
        <w:t>7. The phytosanitary products sector mainly consists of herbicides, fungicides, and insecticides.</w:t>
        <w:br/>
        <w:t>8. These products are subject to marketing authorizations (MA) issued at the national level, which define the uses and restrictions attached to their use. These MAs do not, in principle, prevent intra-community transactions and the supply of products from another Member State, provided that this supply complies with the parallel import procedure. This procedure consists of the issuance of an MA for a product marketed in another Member State and deemed similar by the importing State to a reference product benefiting from an MA.</w:t>
        <w:br/>
        <w:t>9. Suppliers of phytosanitary products do not market their products directly to end users but primarily go through distributors, which include four categories of actors: agricultural cooperatives,</w:t>
      </w:r>
    </w:p>
    <w:p>
      <w:r>
        <w:rPr>
          <w:b/>
        </w:rPr>
        <w:t>[Pages 4–6]</w:t>
      </w:r>
    </w:p>
    <w:p>
      <w:r>
        <w:t>agricultural traders, and to a more marginal extent, wholesalers and farmers' purchasing groups.</w:t>
      </w:r>
    </w:p>
    <w:p>
      <w:r>
        <w:t>10. Other, more marginal distribution channels exist, such as online sales. However, their development remains limited, with physical proximity purchases remaining important in the agricultural world. A survey conducted by the BVA institute for the Agrodistribution review indicates that the average distance traveled by farmers to purchase agricultural inputs is approximately 19 kilometers (reference 6144), with orders generally following visits from a sales technician to the farm (reference 6145). Furthermore, between 62% and 53% of surveyed farmers report having only one supplier of phytosanitary products, with the trend decreasing as the size of the farm decreases. Between 33% and 32% of users report sourcing from only two suppliers.</w:t>
      </w:r>
    </w:p>
    <w:p>
      <w:r>
        <w:t>11. The sale of phytosanitary products occurs during sales campaigns. A sales campaign includes three periods: a first period known as the "dead season," during which distributors purchase and stock the products, a second period of product use by farmers, and a third replenishment period during which the distributor restocks. The dead season represents the period during which the majority of sales are made for phytosanitary product suppliers. The progression of a sales campaign leads to commercial negotiations starting well in advance of product use.</w:t>
      </w:r>
    </w:p>
    <w:p>
      <w:r>
        <w:t>C. THE COMPANY CONCERNED</w:t>
        <w:br/>
        <w:t>12. The company Dow Agrosciences distribution (RCS Cannes B 433 934 072) is part of the Dow Agrosciences group, whose headquarters is based in Indianapolis (United States). Dow Agrosciences distribution is a 100% subsidiary of Dow Agrosciences (RCS Cannes B 950 417 493). The activity of the Dow Agrosciences group consists of the research, manufacturing, and sale of phytosanitary products. Dow Agrosciences distribution's main activity is the distribution of products manufactured by the group.</w:t>
      </w:r>
    </w:p>
    <w:p>
      <w:r>
        <w:t>13. The market share of Dow Agrosciences distribution at the time of the facts is estimated to be between 6% and 8% of the national market (references 7157 to 7160, 8789).</w:t>
      </w:r>
    </w:p>
    <w:p>
      <w:r>
        <w:t>D. BEHAVIORS OBSERVED IN THE MARKET FOR THE DISTRIBUTION OF PHYTOSANITARY PRODUCTS</w:t>
        <w:br/>
        <w:t>1. THE BEHAVIOR OF DOW AGROSCIENCES DISTRIBUTION</w:t>
        <w:br/>
        <w:t>a) The resale price indications</w:t>
        <w:br/>
        <w:t>14. It emerges from the file that Dow Agrosciences distribution communicated, through its business managers responsible for selling the range, "recommended user prices" ("PUC") to its distributor clients.</w:t>
      </w:r>
    </w:p>
    <w:p>
      <w:r>
        <w:t>15. This price communication is intended for distributor clients and concerns retail prices. Thus, in a document regarding objectives for 2006 (reference 2946), titled "priority objectives group RA 2006," the PUC is mentioned as a means to "work on [a] more remunerative offer in distribution." It also emerges from an internal commercial presentation by Dow Agrosciences distribution from January 2006 (reference 2175) the mention "PUC: have our clients passed the inflation?" A document from March 2006, intended for distributor clients, finally specifies: "We recommend that you take this new price into account in your pricing [i.e.] a new recommended crop price: X euros / L... the impact on the crop price of this decrease being specified by each RA to each distributor" (reference 2950).</w:t>
      </w:r>
    </w:p>
    <w:p>
      <w:r>
        <w:t>16. The evolution of the prices indicated by the supplier depends on the evolution of the resale at a loss threshold. In a document dated April 2006, it is specified: "How to raise the prices U Identify from this spring the prices U on the ground: prices, customer policy, deviations (...) On sensitive products, pass inflation SRAP &gt; inflation tbe (cf. Bofix) Use the break?" (references 3062-3063). Other documents mention "if a minimum price is not specified, then take the SRAP as the recommended minimum" (reference 2190) or "inflation of the SRAP" as a means to "raise the prices U" (reference 2981). The sales director of Dow Agrosciences distribution explained the link between PUC and the resale at a loss threshold: "On the notion of price U and SRAP: in the past, distribution habits were to measure the evolution of our PUC in relation to the evolution of the SRAP. Thus, if the invoice price evolved, there was an analysis work in relation to our PUC. The distributor tended to align with the inflation of our PUC to define the inflation of its own rates, from one year to the next. This notion is obsolete; for 2008, the price structure has evolved" (reference 3079).</w:t>
      </w:r>
    </w:p>
    <w:p>
      <w:r>
        <w:t>17. The PUC indicated by the supplier consists, however, of variable values by product, according to different criteria such as the marketing area, packaging, or sales period ("dead season" or "end of campaign"). A document from November 2006 mentions recommendations related to the geographical sales area: "Price U Kerb collected [...] Recommendations PUC in Champagne: to be validated with clients: Aymar Idée: Surflan 5L: 30 euros mini MS Surflan 20L: 29 euros mini MS Fil rouge Grande maison: 23.5 euros Groupement &gt; 10 ha: 24.5 euros" (reference 2962). These criteria allow for defining the potential commercial margin for the supplier: "the PUC is a recommended user price. Depending on the technical characteristics of the product, the position of competing products (market analysis), we analyze the level at which it can be sold, also considering our level of profitability." (references 3076 to 3083).</w:t>
      </w:r>
    </w:p>
    <w:p>
      <w:r>
        <w:t>b) The mode of communication of prices</w:t>
        <w:br/>
        <w:t>18. Some documents in the investigation file show that the prices practiced by distributors are monitored by Dow Agrosciences distribution. A commercial report dated November 2006 specifies: "PUC follow-up in particular Kerb [product brand name] where are we?" (reference 1743). This follow-up may lead to a reminder of the recommended prices. In an internal email exchange at Dow Agrosciences, dated January 2006, the case of a distributor to whom it is appropriate to "recommunicate the PUC" so that he "gets involved in maintaining the prices to mitigate this error" is mentioned (references 3056-3057).</w:t>
      </w:r>
    </w:p>
    <w:p>
      <w:r>
        <w:t>19. However, communication is more generally made in the form of indications to distributors. A commercial report dated January 2006 indicates in this sense: "Crop prices: we must communicate the PUC even if all prices are possible." (reference 2157). Another document mentions: "Of course, you will continue to present this offer as any promotional offer (...) not to be directly reflected in the price U." (reference 8829).</w:t>
      </w:r>
    </w:p>
    <w:p>
      <w:r>
        <w:t>20. Furthermore, the PUC appears to be communicated in a non-systematic manner. The sales director of Dow Agrosciences distribution stated: "We provide distributors with recommended user prices; this is one of the tasks of the RA [Business Manager]. This is not systematic; we do not do this for the entire range (...) These recommended prices do not follow any particular communication rule; it mainly depends on the client's demand." (references 3062-3063, 3079).</w:t>
      </w:r>
    </w:p>
    <w:p>
      <w:r>
        <w:t>Commercial name values Quantities of analyzed products and specialty sold for which the prices are equal to or greater than the recommended values (in %)</w:t>
        <w:br/>
        <w:t>Ariane 13.91 18%</w:t>
        <w:br/>
        <w:t>Bastion 24.75 10.5%</w:t>
        <w:br/>
        <w:t>Bofix 9.38 38.4%</w:t>
        <w:br/>
        <w:t>Bonalan 11.5 19.2%</w:t>
        <w:br/>
        <w:t>Cent 7 (crops) 37.46 18.8%</w:t>
        <w:br/>
        <w:t>Cent 7 (vines) 37.46 35.6%</w:t>
        <w:br/>
        <w:t>Dirimal 23.9 60.2%</w:t>
        <w:br/>
        <w:t>Dithane néothec 5.49 11.4%</w:t>
        <w:br/>
        <w:t>Dursban 2 12.96 30.7%</w:t>
        <w:br/>
        <w:t>Dursbel 12.43 53.7%</w:t>
        <w:br/>
        <w:t>Electis Pro 15.8 66.4%</w:t>
        <w:br/>
        <w:t>Elios 75.5 11.6%</w:t>
        <w:br/>
        <w:t>Freeland (crops) 6.8 22.2%</w:t>
        <w:br/>
        <w:t>Freeland (vines) 6.8 65.2%</w:t>
        <w:br/>
        <w:t>Garlon 2000 17.6 59.5%</w:t>
        <w:br/>
        <w:t>Garlon Pro 35.25 9.8%</w:t>
        <w:br/>
        <w:t>Impala (vines) 15 87.2%</w:t>
        <w:br/>
        <w:t>Karathane LC 27.85 5%</w:t>
        <w:br/>
        <w:t>Karathane 26 35.2%</w:t>
        <w:br/>
        <w:t>Kart 19.7 17.6%</w:t>
        <w:br/>
        <w:t>Kerb flo 46 0%</w:t>
        <w:br/>
        <w:t>Legend 73.5 53.7%</w:t>
        <w:br/>
        <w:t>Lontrel 100 55 21%</w:t>
      </w:r>
    </w:p>
    <w:p>
      <w:r>
        <w:rPr>
          <w:b/>
        </w:rPr>
        <w:t>[Pages 7–9]</w:t>
      </w:r>
    </w:p>
    <w:p>
      <w:r>
        <w:t xml:space="preserve">Nelpon D 12.75 28.9%  </w:t>
        <w:br/>
        <w:t xml:space="preserve">Primus 243.3 15.7%  </w:t>
        <w:br/>
        <w:t xml:space="preserve">Quintet 21.8 50%  </w:t>
        <w:br/>
        <w:t xml:space="preserve">Reldan 11.9 45%  </w:t>
        <w:br/>
        <w:t xml:space="preserve">Starane 200 36.15 25.3%  </w:t>
        <w:br/>
        <w:t xml:space="preserve">Starane gold 21.27 8%  </w:t>
        <w:br/>
        <w:t xml:space="preserve">Surflan 27.73 19.36%  </w:t>
        <w:br/>
        <w:t xml:space="preserve">Systhane new 17.9 69%  </w:t>
        <w:br/>
        <w:t xml:space="preserve">(vine)  </w:t>
        <w:br/>
        <w:t xml:space="preserve">Systhane max 83.8 65.9%  </w:t>
        <w:br/>
        <w:t>Trophée 7.65 69.8%</w:t>
      </w:r>
    </w:p>
    <w:p>
      <w:r>
        <w:t xml:space="preserve">2. THE BEHAVIOR OF DISTRIBUTORS  </w:t>
        <w:br/>
        <w:t xml:space="preserve">21. The documents in the file show that some distributors have communicated to the supplier their observations regarding the prices practiced by their competitors in the retail market (references 1842, 2142-2143).  </w:t>
        <w:br/>
        <w:t xml:space="preserve">22. However, the reports from distributors on the prices of their competitors do not always receive a response from the supplier. An email exchange between a distributor and Dow Agrosciences distribution, dated December 2006 (reference 2936), reflects this situation: "We are still waiting for your response regarding the various offers and sales of Dow products made in Haute Vienne for many years by Ets SERRE and DISPAGRI. These companies generally offer Crescendo, Chandor, and others at prices that defy all competition, and obviously lower than the prices you ask us to respect!" When questioned about the meaning of the terms "prices you ask us to respect," the sales director of Dow Agrosciences distribution clarified (reference 3070): "The 'prices you ask to respect' are the user prices. There is competition even in the wholesale market. The wholesaler asks to intervene."  </w:t>
        <w:br/>
        <w:t xml:space="preserve">23. Examples of prices practiced in the retail market are sometimes used by the distributor to negotiate a reduction in rates with the supplier. An internal email to Dow Agrosciences distribution reports the terms of a meeting with a client: "desired PS [Phytoservice] lower invoice price" [...] "price issue &lt; floor announced by DAS bought 2 pallets Bofix in a gpt at P06 &lt; 7€/L" (October 2006, reference 8843). The supplier specifies in a statement that: "When the prices of distributors are degraded and thus the margin they generate is not what they expected, they turn to their supplier to ask for compensation for their loss of margin." (reference 3078).  </w:t>
        <w:br/>
        <w:t xml:space="preserve">3. THE ANALYSIS OF RETAIL PRICES OF PRODUCTS  </w:t>
        <w:br/>
        <w:t xml:space="preserve">24. The analysis of retail prices was carried out based on a study conducted by a panel company tasked with developing a price observatory for suppliers of phytosanitary products. This study provides, in particular, the "gross invoice price" defined as the "Price listed on the invoice before any possible discounts" (reference 7162).  </w:t>
        <w:br/>
        <w:t xml:space="preserve">25. These prices were compared to the values indicated in the file "PUC 2007 29_09_06.xls," representing the price indications provided by Dow Agrosciences distribution to its clients for the 2006-2007 campaign (references 2928-2935). The results of the comparison aimed at evaluating the quantities purchased of a product at a price higher than or equal to the recommended prices are detailed in the table reproduced below. These data, related to the total quantities purchased by the surveyed farmers, allow for determining the rate of compliance with the recommended prices for each concerned product.  </w:t>
        <w:br/>
        <w:t xml:space="preserve">26. According to these results, one reference among the 33 tested presents a compliance rate higher than 80%, and 10 references a compliance rate higher than 50%. Furthermore, no significant concentration of prices around the recommended prices is observed, except for the products Surflan, Impala, Freeland, Electis Pro, Quintet, Trophée, and Dirimal.  </w:t>
        <w:br/>
        <w:t xml:space="preserve">E. THE NOTIFIED GRIEVANCE  </w:t>
        <w:br/>
        <w:t xml:space="preserve">27. By letters dated April 5, 2012, and March 6, 2014, the general rapporteur of the Authority notified the following grievance to the companies Dow Agrosciences distribution, Dow Agrosciences, Dow Agrosciences B.V., and Dow Agrosciences LLC, worded as follows:  </w:t>
        <w:br/>
        <w:t xml:space="preserve">"It results from the practices analyzed above that Dow Agrosciences distribution proposed to its distributors a consultation aimed at respecting a level of retail price on the phytosanitary products of its range. Some of them, as evidenced by the exchanges captured in this case, accepted this principle and adhered to it. Others applied it variably over time and depending on the circumstances, while some refused. The latter were then specifically subject to a pricing policy enforced by Dow Agrosciences distribution, through monitoring of the prices practiced and by means of threats regarding compliance with the resale at a loss threshold, conditioning the granting of discounts on the application of its policy. The illicit agreement was significantly applied, as evidenced by the analyzed price records. The effects of these practices resulted in an abnormal increase in prices, which was borne by the farmers, the end users of the products sold. The illicit gains captured by these practices were shared between the supplier and some of its distributors. The harmful consequences of these actions are particularly visible in the wine-growing and viticultural areas of southeastern France, structurally affected by difficult economic conditions. The comparison of the prices of French products and the prices of specialties marketed in Spain reveals differences of which the practices are partly the cause.  </w:t>
        <w:br/>
        <w:t xml:space="preserve">Consequently, the company Dow Agrosciences distribution and the companies Dow Agrosciences B.V. and Dow Agrosciences LLC are accused of having, by implementing a recommended pricing policy from September 2006 to August 2007, backed by a system of price policing and falsely conditional discounts allowing for the artificial fixing of the resale at a loss threshold, aimed at and having the effect of obstructing the setting of prices by the free play of the market, violated the provisions of Article L. 420-1 of the Commercial Code, which states: "Concerted actions, agreements, express or tacit understandings, or coalitions, even through direct or indirect means of a group company established outside France, are prohibited when they have the object or may have the effect of preventing, restricting, or distorting competition in a market, particularly when they aim to: (...) 2° Obstruct the setting of prices by the free play of the market by artificially promoting their increase or decrease; (...)". The practices also constitute characterized breaches of Article 101 of the TFEU, which states that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 and in particular those which consist of (...) directly or indirectly fixing purchase or selling prices or other trading conditions."  </w:t>
        <w:br/>
        <w:t xml:space="preserve">II. Discussion  </w:t>
        <w:br/>
        <w:t xml:space="preserve">A. ON THE APPLICABILITY OF UNION LAW  </w:t>
        <w:br/>
        <w:t xml:space="preserve">28. Based on the consistent case law of the Union, and in light of the European Commission's communication on guidelines relating to the concept of affecting trade as set out in Articles 81 and 82 of the Treaty [now Articles 101 and 102 of the TFEU] (OJCE C 101, April 27, 2004, p. 81), the decision-making practice retains three criteria for assessing the affecting trade between Member States: the existence of exchanges between Member States concerning the products or services in question, the existence of practices likely to affect these exchanges, and the sensitive nature of this possible affecting.  </w:t>
        <w:br/>
        <w:t xml:space="preserve">29. The fact that practices are committed only on the territory of a single Member State does not prevent the fulfillment of the first two conditions. Regarding vertical agreements, the guidelines on the concept of affecting trade specify in this regard: "Vertical agreements covering the entirety of a Member State and concerning marketable products may also affect trade between Member States, even if they do not create direct obstacles to trade. Agreements under which companies commit to a resale price may sometimes directly affect trade between Member States by increasing imports from other Member States and reducing exports from the Member State in question. Agreements involving a fixed price may also affect trade flows in a manner quite similar to that of horizontal agreements. To the extent that the fixed price is higher than the price practiced in other Member States, this price level is defensible only if imports from other Member States can be controlled." (§88).  </w:t>
        <w:br/>
        <w:t>30. In this case, there are exchanges between Member States concerning phytosanitary products, particularly through the provisions relating to parallel imports. Furthermore, the activity of Dow Agrosciences distribution covers the entire national territory. Finally, the practices identified against it in the notification of grievance concern practices of imposed resale prices, aimed at maintaining retail rates across the entire French territory. Therefore, it should be considered that the practices in question are likely to affect trade between Member States within the meaning of Article 101 TFEU.</w:t>
      </w:r>
    </w:p>
    <w:p>
      <w:r>
        <w:rPr>
          <w:b/>
        </w:rPr>
        <w:t>[Pages 10–12]</w:t>
      </w:r>
    </w:p>
    <w:p>
      <w:r>
        <w:t>31. Regarding the third condition, the assessment of the sensitivity of the impact depends on the circumstances of each case, particularly the nature of the agreement or practice, the nature of the products concerned, and the market position of the companies involved (previous communication, §45). In this case, the behaviors noted in the complaint notification relate to the marketing and retail prices of the products in question. As such, they can be considered likely to directly impact the prices charged to users. Furthermore, the practices attributed to the supplier concern the entire national territory and all of its distributors. Finally, Dow Agrosciences distribution achieved a turnover of 114 million euros in France in 2007 (reference 7633) and held a market share of approximately 6%.</w:t>
      </w:r>
    </w:p>
    <w:p>
      <w:r>
        <w:t>32. It follows from the above that trade between Member States is likely to be significantly affected by the practices in question. These practices must therefore be examined in light of Article 101 TFEU, which the parties do not contest.</w:t>
      </w:r>
    </w:p>
    <w:p>
      <w:r>
        <w:t>B. ON THE PROCEDURE</w:t>
      </w:r>
    </w:p>
    <w:p>
      <w:r>
        <w:t>33. A complaint regarding a vertical agreement concerning the resale prices of distributors was notified on April 5, 2012, to the company "Dow Agrosciences France" as the author of the practices, and to the parent companies Dow Agrosciences BV and LLC.</w:t>
      </w:r>
    </w:p>
    <w:p>
      <w:r>
        <w:t>34. However, the corporate name of the author was affected by a clerical error. By letter dated March 12, 2014, the General Rapporteur made a correction and specified that the reference to the company "Dow AgroSciences France" should be understood as actually designating "Dow Agrosciences distribution." A supplementary complaint notification was sent by the same letter to Dow Agrosciences distribution, as the author of the facts. The company Dow AgroSciences, responsible as the direct parent company for the practices of its subsidiary, also received the supplementary complaint notification.</w:t>
      </w:r>
    </w:p>
    <w:p>
      <w:r>
        <w:t>35. Thus, the argument raised by Dow Agrosciences distribution regarding the nullity of the procedure on the grounds that it did not receive the initial complaint notification is ineffective. As the recipient of the supplementary complaint notification, Dow Agrosciences distribution was able to defend itself against the practices attributed to it.</w:t>
      </w:r>
    </w:p>
    <w:p>
      <w:r>
        <w:t>C. ON THE MERITS OF THE COMPLAINT</w:t>
      </w:r>
    </w:p>
    <w:p>
      <w:r>
        <w:t>1. APPLICABLE PRINCIPLES</w:t>
      </w:r>
    </w:p>
    <w:p>
      <w:r>
        <w:t>36. The courts of the Union and national courts have had the opportunity to clarify that practices of imposed resale prices constitute restrictions of competition by their very nature (Court, January 13, 2004, JCB/Commission, T-67/01, Rec. p. II-49, §121; CA Paris, May 16, 2013, and Cass.com., October 7, 2014, Kontiki; see also, Competition Council, 07-D-04, §106). Furthermore, these practices constitute a characterized restriction of competition within the meaning of Regulation (EU) 330/2010 of April 20, 2010, concerning vertical agreements (art.4). Therefore, "an agreement or concerted practice having as its direct or indirect object the establishment of a fixed or minimum resale price that the buyer is required to respect is presumed to restrict competition" (CA Paris, previous judgment p.5). As such, these practices must therefore be excluded from the benefit of the block exemption, regardless of the market share of the companies involved.</w:t>
      </w:r>
    </w:p>
    <w:p>
      <w:r>
        <w:t>37. Consequently, if the proof of a meeting of minds is established between the supplier and distributors, the proof of the application of the prices imposed by the distributors, and thus of its effects on the market, is not generally necessary for establishing the infringement.</w:t>
      </w:r>
    </w:p>
    <w:p>
      <w:r>
        <w:t>38. However, the proof of the meeting of minds necessary for establishing a cartel can be provided by any means. The Court of Justice, ruling on the proof of a vertical agreement, recalled that "to constitute an agreement within the meaning of Article 81(1) EC, it is sufficient that an act or apparently unilateral behavior is the expression of the concordant will of at least two parties, the form in which this concordance manifests itself not being determinative in itself." (Case C-74/04, Volkswagen AG, July 13, 2006, §37). The Court specifies in this case that "the will of the parties may result both from the clauses of the concession contract in question and from the behavior of the parties and, in particular, from the possible existence of tacit acquiescence by the distributors to the invitation of the manufacturer" (§39).</w:t>
      </w:r>
    </w:p>
    <w:p>
      <w:r>
        <w:t>39. On the supplier's side, its will is formalized by a mention of prices, which is defined "as all methods by which a manufacturer informs its distributors of the price at which it intends its products to be sold to the public" (CA Paris, January 26, 2012, Beauté Prestige International, p.45). These prices must express fixed or minimum values and be considered as needing to be respected in the downstream market (CA Paris, May 16, 2013, p.5, Cass.com., October 7, 2014, Kontiki), with the communication possibly being accompanied by monitoring measures put in place by the supplier (Cass.com., October 7, 2014, previous).</w:t>
      </w:r>
    </w:p>
    <w:p>
      <w:r>
        <w:t>40. The difference between the unilateral behavior of the supplier inviting its distributors to practice fixed or minimum resale prices and the anti-competitive vertical agreement lies in the proof of the acquiescence of the distributors, which can be freely provided. The Court of Cassation thus validated a ruling of the Court of Appeal, which had "rightly stated that the proof of a price agreement generally requires demonstrating, on the one hand, the existence of an invitation to agree from one of the companies involved and, on the other hand, an acquiescence of the other parties to this invitation, and recalled that in this matter, the proof is free," before specifying that in this case, "the Court of Appeal, seeking the unequivocal nature of the acquiescence of the distributor to which it is opposed, rightly held that the reference made to 'the significant application of the imposed prices' should be considered equivalent to the usual criterion according to which 'the prices thus determined have been effectively practiced by the distributors' and that the price surveys constituted only an indication among others of this last criterion" (Cass.com., June 11, 2013, Ste Marionnaud). Distributors may also adhere to the agreement by participating in the monitoring of retail prices (Cass.com., April 7, 2010, ste Puériculture de France).</w:t>
      </w:r>
    </w:p>
    <w:p>
      <w:r>
        <w:t>41. The criterion of the significant application of prices can therefore be used, among other indicators, to demonstrate the acquiescence of the distributors to the practices.</w:t>
      </w:r>
    </w:p>
    <w:p>
      <w:r>
        <w:t>2. ASSESSMENT IN THE CASE AT HAND</w:t>
      </w:r>
    </w:p>
    <w:p>
      <w:r>
        <w:t>a) On the communication of resale prices by the supplier</w:t>
      </w:r>
    </w:p>
    <w:p>
      <w:r>
        <w:t>42. It follows from the facts of the case that the supplier Dow Agrosciences distribution communicated to its distributors the retail price of the phytosanitary products it sold to them in the upstream market. This communication took the form of "recommended user prices" (PUC), applicable to a significant part of the Dow Agrosciences distribution range, and whose evolution was calculated based on the resale at a loss threshold (reference 3079). Furthermore, the prices actually practiced by the distributors in the retail market appeared to be subject to occasional monitoring measures, either by the supplier itself or by certain distributors who informed Dow Agrosciences distribution of the prices practiced by their competitors.</w:t>
      </w:r>
    </w:p>
    <w:p>
      <w:r>
        <w:t>43. However, the communicated prices appear in this case as variable and not fixed values, generally expressed in the form of indications to define in particular the possible commercial margin for the supplier in a given geographical area. Their communication is, moreover, not systematic. However, in the judgment of July 13, 2004, JCB services (previous), the Court considered that "in the absence of a concerted practice aimed at the effective application of indicative prices, the communication of such prices [resale prices] was not restrictive of competition (Court judgment of January 28, 1986, Pronuptia, 161/84, Rec. p. 353, point 25), just as the consideration of an adequate profit margin for resellers (Metro/Commission judgment, previous, point 45). However, a reinforcement of the rigidity of the price structure must be sanctioned (Metro/Commission judgment, previous, point 44), which is likely to hinder effective price competition (Court judgment of December 12, 1996, Leclerc/Commission, T-88/92, Rec. p. II-1961, point 171)" (§131).</w:t>
      </w:r>
    </w:p>
    <w:p>
      <w:r>
        <w:t>b) On the consent to the agreement by the distributors</w:t>
      </w:r>
    </w:p>
    <w:p>
      <w:r>
        <w:t>44. It should first be noted that the documentary evidence in the file appears insufficient or incomplete to provide proof of the consent of the distributors to an agreement on imposed prices.</w:t>
      </w:r>
    </w:p>
    <w:p>
      <w:r>
        <w:t>45. They refer to commercial negotiations in the upstream market or mention internal information from the company Dow Agrosciences that are, as such, unsuitable for establishing the adherence of the distributors. Other documents indicate occasional participation by certain distributors in monitoring retail prices, but their scattered nature does not allow for establishing adherence to a generalized agreement, as notified in the complaint.</w:t>
      </w:r>
    </w:p>
    <w:p>
      <w:r>
        <w:t>46. Secondly, the criterion of the effective application of the recommended prices does not appear to be satisfied in this case. The PUC indeed represent different values for the same product, depending on its packaging and the geographical area of marketing. These values therefore do not seem to be comparable with those of the panel company, which did not mention the geographical location of the surveys conducted. The results of this comparison do not appear, in any case, to be sufficiently conclusive to establish a significant application of the recommended prices by the distributors.</w:t>
      </w:r>
    </w:p>
    <w:p>
      <w:r>
        <w:t>47. Therefore, in this case, a generalized concerted practice is not demonstrated, as the distributors have not, in the majority, acquiesced to the supplier's solicitations.</w:t>
      </w:r>
    </w:p>
    <w:p>
      <w:r>
        <w:rPr>
          <w:b/>
        </w:rPr>
        <w:t>[Pages 13–13]</w:t>
      </w:r>
    </w:p>
    <w:p>
      <w:r>
        <w:t xml:space="preserve">Conclusion on the Merits of the Complaint  </w:t>
        <w:br/>
        <w:t xml:space="preserve">48. It follows from all the elements recalled above that the supplier communicated resale prices to the distributors and occasionally verified the level of prices practiced in the downstream market.  </w:t>
        <w:br/>
        <w:t xml:space="preserve">49. However, it is not established that this invitation from the supplier to follow a particular pricing policy was met with acquiescence from the distributors.  </w:t>
        <w:br/>
        <w:t>50. The existence of a vertical agreement formalized by a meeting of minds between the supplier and its distributors is not characterized in this case.</w:t>
      </w:r>
    </w:p>
    <w:p>
      <w:r>
        <w:t xml:space="preserve">DECISION  </w:t>
        <w:br/>
        <w:t xml:space="preserve">Article 1: The conditions for a prohibition under Article 101 TFEU are not met. In accordance with Article 3, paragraph 2, of Regulation (EC) No. 1/2003 of the Council of December 16, 2002, the practices at issue in this case cannot be prohibited on the basis of Article L. 420-1 of the Commercial Code. There is therefore no need, pursuant to Article 5 of Regulation No. 1/2003, to continue the proceedings, whether under Union law or domestic law.  </w:t>
        <w:br/>
        <w:t>Article 2: The companies Dow Agrosciences distribution, Dow Agrosciences, Dow Agrosciences BV, and Dow Agrosciences LLC are dismissed from the case.</w:t>
      </w:r>
    </w:p>
    <w:p>
      <w:r>
        <w:t xml:space="preserve">Deliberated on the oral report of Mr. Lucas Pierorazio, rapporteur, and the intervention of Ms. Juliette Théry-Schultz, deputy general rapporteur, by Ms. Claire Favre, vice-president, chairing the session, Ms. Élisabeth Flury-Hérard, and Mr. Thierry Dahan, vice-presidents.  </w:t>
        <w:br/>
        <w:t xml:space="preserve">The session secretary, The session chair,  </w:t>
        <w:br/>
        <w:t xml:space="preserve">Béatrice Déry-Rosot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