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https://www.autoritedelaconcurrence.fr/fr/decision/relative-des-pratiques-mises-en-oeuvre-dans-le-secteur-des-produits-prefabriques-en-beton</w:t>
      </w:r>
    </w:p>
    <w:p>
      <w:r>
        <w:t>Pages translated : 211</w:t>
      </w:r>
    </w:p>
    <w:p/>
    <w:p>
      <w:r>
        <w:rPr>
          <w:b/>
        </w:rPr>
        <w:t>[Pages 1–3]</w:t>
      </w:r>
    </w:p>
    <w:p>
      <w:r>
        <w:t xml:space="preserve">FRENCH REPUBLIC  </w:t>
        <w:br/>
        <w:t xml:space="preserve">Decision No. 24-D-06 of May 21, 2024  </w:t>
        <w:br/>
        <w:t xml:space="preserve">regarding practices implemented in the precast concrete products sector *  </w:t>
        <w:br/>
        <w:t xml:space="preserve">The Competition Authority (section III),  </w:t>
        <w:br/>
        <w:t xml:space="preserve">Having regard to the letter of March 11, 2015, from the interregional competition investigation brigade of Lille transmitting to the Competition Authority indices relating to anticompetitive practices in the precast concrete elements sector;  </w:t>
        <w:br/>
        <w:t xml:space="preserve">Having regard to the report sent on November 17, 2016, to the Public Prosecutor of Paris based on Article 40, paragraph 2 of the Code of Criminal Procedure;  </w:t>
        <w:br/>
        <w:t xml:space="preserve">Having regard to the request from the company KP1, as well as all its subsidiaries, made to the Deputy General Rapporteur of the Competition Authority on October 30, 2018, supplemented on April 4, 2019, registered under number 18/0161 AC, seeking to benefit from the provisions of IV of Article L. 464-2 of the Commercial Code;  </w:t>
        <w:br/>
        <w:t xml:space="preserve">Having regard to the request from the companies Rector Lesage and Lesage Industrie Du Béton, made to the Deputy General Rapporteur of the Competition Authority on October 31, 2018, supplemented on December 20, 2018, registered under number 18/0166 AC, seeking to benefit from the provisions of IV of Article L. 464-2 of the Commercial Code;  </w:t>
        <w:br/>
        <w:t xml:space="preserve">Having regard to Decision No. 20-SO-02 of March 13, 2020, registered under number 20/0056 F, by which the Competition Authority took up the matter ex officio in the precast concrete products sector and requested the communication of documents to an investigating jurisdiction;  </w:t>
        <w:br/>
        <w:t xml:space="preserve">Having regard to the conditional leniency opinions No. 20-AC-01 of September 18, 2020, and No. 20-AC-03 of December 16, 2020;  </w:t>
        <w:br/>
        <w:t xml:space="preserve">Having regard to the Treaty on the Functioning of the European Union, and in particular the first paragraph of Article 101;  </w:t>
        <w:br/>
        <w:t xml:space="preserve">Having regard to Book IV of the Commercial Code, and in particular Article L. 420-1;  </w:t>
        <w:br/>
        <w:t xml:space="preserve">Having regard to the opinion of the auditor advisor of June 19, 2023;  </w:t>
        <w:br/>
        <w:t xml:space="preserve">Having regard to the observations presented by the companies KP1 SAS, KP1 Bâtiments, KP1 Développement, KP1 R&amp;D, KP1 Armatures, KP1 Services, K-Alpha 1 S.à.r.l., Planchers Durandal SAS, Planchers Fabre SAS, Rector Lesage SAS, Lesage Industrie du Béton SAS, A2C Prefa SAS, A2C Matériaux SAS, Groupe Soprel SAS, Soprel Group Entreprises S.A, Strudal SAS, DAL Industries Sprl, SEAC SAS, SOFIB SA with a management board (s.a.i.), Saint Leonard Matériaux SAS (SLM), Structures Préfabrications Services SARL, Comptoir de la Préfabrication SAS, Groupe Saint Leonard SAS (GSL), S.E.G. SAS, FB Groupe Luxembourg S.A., FB Groupe France SAS, Industry Partner SA, l’Industrielle du béton SAS, Plakabeton N.V., Imprecon N.V., Marlux-Stradus N.V. (formerly known as Marlux Klaps NV before 2022), CRH France SAS, CRH plc., Willemen Groep NV, Eurobéton France SAS, Jav Investissement SARL, VAMTAJ Sàrl, Société de Préfabrication de Landaul (SPL) SAS, Fidal SELAS, Fidal et Associés SA with a management board (s.a.i.) and the Government Commissioner;  </w:t>
        <w:br/>
        <w:t xml:space="preserve">Having regard to the other documents in the file;  </w:t>
        <w:br/>
        <w:t xml:space="preserve">The rapporteur, the Deputy General Rapporteur, the General Rapporteur, the representatives of the companies KP1 SAS, KP1 Bâtiments, KP1 Développement, KP1 R&amp;D, KP1 Armatures and KP1 Services, K-Alpha 1 S.à.r.l., Planchers Durandal, Planchers Fabre, Rector Lesage SAS, Lesage Industrie du Béton SAS, A2C Prefa SAS, A2C Matériaux SAS, Groupe Soprel SAS, Soprel Group Entreprises SA, Strudal SAS, DAL Industries Sprl, SEAC SAS, SOFIB SA with a management board (s.a.i.), Saint Leonard Matériaux SAS (SLM), Structures Préfabrications Services, Comptoir de la Préfabrication SAS, Groupe Saint Leonard SAS (GSL), S.E.G. SAS, FB Groupe Luxembourg S.A., FB Groupe France SAS, Industry Partner SA, Galm Participaties NV, Echo NV, Echobel NV, l’Industrielle du béton SAS, Plakabeton N.V., Imprecon N.V., Marlux-Stradus N.V. (formerly known as Marlux Klaps NV before 2022), CRH France SAS, CRH plc., Willemen Groep NV, Eurobéton France SAS, Jav Investissement SARL, VAMTAJ Sàrl, Société de Préfabrication de Landaul (SPL) SAS, Fidal SELAS, Fidal et Associés SA with a management board (s.a.i.) and the Government Commissioner heard during the session of the Competition Authority on October 9 and 10, 2023;  </w:t>
        <w:br/>
        <w:t>Adopts the following decision:</w:t>
      </w:r>
    </w:p>
    <w:p>
      <w:r>
        <w:t xml:space="preserve">Summary1  </w:t>
        <w:br/>
        <w:t xml:space="preserve">By this decision, the Competition Authority (hereinafter the "Authority") imposes a fine of €76,645,000 for implementing anticompetitive practices on several companies active in the sale of precast concrete elements.  </w:t>
        <w:br/>
        <w:t xml:space="preserve">These practices were notably revealed through a judicial investigation opened by the Public Prosecutor of Paris following a report from the General Rapporteur of the Authority based on paragraph 2 of Article 40 of the Code of Criminal Procedure.  </w:t>
        <w:br/>
        <w:t xml:space="preserve">The investigation gathered a large number of evidence of the existence of a cartel concerning the sale of precast concrete elements to construction companies (notably handwritten notes, market allocation tables, minimum price grids, as well as emails and recordings of telephone exchanges).  </w:t>
        <w:br/>
        <w:t xml:space="preserve">On October 25, 2018, simultaneous searches took place at the premises of several companies and led to the arrest of several individuals participating in a secret meeting in a hotel in the Paris region.  </w:t>
        <w:br/>
        <w:t xml:space="preserve">Following these searches, the companies KP1 and Rector submitted leniency requests under the program that allows companies that participated in one or more agreements to disclose their existence, explain their operation to the Authority, and obtain, under certain conditions, the benefit of a total or partial exemption from monetary sanctions. The Authority issued, on September 18, 2020, and then on December 16, 2020, opinions granting KP1 and Rector conditional benefits of this procedure, respectively.  </w:t>
        <w:br/>
        <w:t xml:space="preserve">The exploitation of documents from the criminal investigation, as well as the statements and documents submitted by the leniency applicants, allowed for the sanctioning of the four agreements described below.  </w:t>
        <w:br/>
        <w:t xml:space="preserve">It should be noted two particularities regarding the sanctions. On the one hand, the Authority decided, in the context of the sanction determination process, and in view of the entire investigation, to grant the company KP1 a fine reduction under leniency greater than the reduction it had indicated conditionally in the leniency opinion of September 18, 2020. On the other hand, the Authority applied the notion of "plus leniency" provided for in Article R. 646-5-2 of the Commercial Code, which allows for an additional exemption to a leniency applicant who may qualify for a partial exemption under certain conditions. Considering that some of the information provided to the investigation by KP1, in the context of leniency, had established additional factual elements leading to an increase in the monetary sanctions imposed on other companies, the Authority granted this company a total exemption from sanctions for its participation in an agreement on concrete frames and a bilateral agreement on precast walls.  </w:t>
        <w:br/>
        <w:t xml:space="preserve">Agreement on precast concrete elements sold to construction companies  </w:t>
        <w:br/>
        <w:t xml:space="preserve">The groups A2C, FB, Industrielle du Béton (hereinafter "IB"), KP1, Rector, Saint-Léonard Matériaux (hereinafter "SLM"), SEAC, Soprel, and Strudal participated in a unique and continuous agreement in the market for precast concrete products in France between May 15, 2008  </w:t>
        <w:br/>
        <w:t>1 This summary is strictly informative. Only the reasons for the decision numbered below are authoritative.</w:t>
      </w:r>
    </w:p>
    <w:p>
      <w:r>
        <w:rPr>
          <w:b/>
        </w:rPr>
        <w:t>[Pages 4–6]</w:t>
      </w:r>
    </w:p>
    <w:p>
      <w:r>
        <w:t>and October 25, 2018, by implementing agreements and coordinated practices aimed, on the one hand, at jointly setting the selling prices of precast concrete products and, on the other hand, at dividing the volumes of construction projects, thereby distorting competition during the bidding procedures launched by construction companies. This agreement was led, at the national level, by the executives of three companies (KP1, Rector, and SEAC). The latter exchanged information regarding the sales volumes achieved with construction companies at both the national and regional levels and set the sales quotas to be respected by region. The objective of this agreement was to share the projects in each of these regions, in order to respect the defined market shares and to try to maintain prices in the face of customer pressure, by defining pricing grids by regional market.</w:t>
      </w:r>
    </w:p>
    <w:p>
      <w:r>
        <w:t>The parties involved participated in secret meetings, organized within various groups created to promote precast concrete products marketed to construction companies and diverted from their primary objective by the members. The discussions among competitors during the multilateral meetings took the form of roundtable discussions, at the end of which project distributions and pricing grids were defined by the members of the agreement. Codes were used by the participants to conceal the names of the companies and the content of the anticompetitive discussions during these meetings.</w:t>
      </w:r>
    </w:p>
    <w:p>
      <w:r>
        <w:t>At the regional level, the practices were implemented according to characteristics and modalities that could vary depending on the regions concerned, which covered most of the national territory. In particular, the meetings organized at the regional level could gather other competitors than those participating in the meetings organized at the national level. This is particularly the case in Ile-de-France and its neighboring regions where the companies of the A2C, FB, IB, KP1, Rector, SEAC, SLM, Soprel, and Strudal groups agreed on the distributions of projects and the prices of precast slabs and hollow-core slabs.</w:t>
      </w:r>
    </w:p>
    <w:p>
      <w:r>
        <w:t>Agreement on precast concrete elements sold to individual house builders (hereinafter "CMI") and trading companies (hereinafter "trading companies") KP1 and Rector participated in an agreement regarding the rate of increase of tariffs applicable to trading companies and CMIs between April 2011 and October 25, 2018. These exchanges generally took place once a year, at the time of the announcement of annual increases. They could also occur several times a year if, due to the rise in raw material prices, tariff increases were implemented multiple times during the same year.</w:t>
      </w:r>
    </w:p>
    <w:p>
      <w:r>
        <w:t>KP1 and Rector also agreed on net prices and certain commercial conditions granted to trading companies, on the volumes of sales to trading companies, as well as on the pass-through of tariff increases to the prices charged to CMIs. These exchanges took place between the management of KP1 and Rector during meetings or telephone exchanges. The products concerned were those made of concrete as well as the spacers and breakers made of polystyrene and polypropylene and covered the entire national territory. The implementation of the decisions made at the national level was ensured by the regional management.</w:t>
      </w:r>
    </w:p>
    <w:p>
      <w:r>
        <w:t>The Authority considered that these two agreements presented, in light of their anticompetitive objectives, their methods of implementation, and the interconnectedness of the sectors or markets concerned, similarities that justified imposing a single sanction.</w:t>
      </w:r>
    </w:p>
    <w:p>
      <w:r>
        <w:t>Recalling that horizontal agreements between competitors in the same market are among the most serious anticompetitive practices, and taking into account their objective characteristics, such as their secret and elaborate nature, the Authority imposes, for the two aforementioned agreements, sanctions totaling €71,950,000, distributed as follows:</w:t>
      </w:r>
    </w:p>
    <w:p>
      <w:r>
        <w:t>Companies Amounts</w:t>
        <w:br/>
        <w:t>A2C €6,390,000</w:t>
        <w:br/>
        <w:t>FB €550,000</w:t>
        <w:br/>
        <w:t>IB €3,110,000</w:t>
        <w:br/>
        <w:t>KP1 €19,040,000</w:t>
        <w:br/>
        <w:t>Rector €25,450,000</w:t>
        <w:br/>
        <w:t>SEAC €10,990,000</w:t>
        <w:br/>
        <w:t>SLM €2,840,000</w:t>
        <w:br/>
        <w:t>Soprel €150,000</w:t>
        <w:br/>
        <w:t>Strudal €3,430,000</w:t>
      </w:r>
    </w:p>
    <w:p>
      <w:r>
        <w:t>Agreement on concrete frameworks Eurobéton France, KP1, and Strudal participated in exchanges of sensitive information in the context of tenders related to concrete framework projects between December 14, 2011, and October 3, 2018. These exchanges of information occurred before the date on which the results of these tenders could be known, concerned prices, and took place in circumstances that necessarily distorted the responses of the accused, affecting their autonomy. Such exchanges altered the free play of competition and are therefore prohibited by Articles 101 of the Treaty on the Functioning of the European Union (hereinafter "TFEU") and L. 420-1 of the Commercial Code.</w:t>
      </w:r>
    </w:p>
    <w:p>
      <w:r>
        <w:t>These exchanges of information, which experienced a period of interruption between October 11, 2013, and January 8, 2016, constitute a single and repeated offense. This notion is applicable when a company's participation in the offense has been interrupted, if the company participated in the offense before and after this interruption, and if there is a single objective pursued by it before and after the interruption.</w:t>
      </w:r>
    </w:p>
    <w:p>
      <w:r>
        <w:t>While the three companies participated in the entirety of the offense, the interruption of Strudal's individual participation is longer than that of the other two companies.</w:t>
      </w:r>
    </w:p>
    <w:p>
      <w:r>
        <w:t>The sanctions imposed in this regard, totaling €3,850,000, are distributed as follows:</w:t>
      </w:r>
    </w:p>
    <w:p>
      <w:r>
        <w:t>Companies Amounts</w:t>
        <w:br/>
        <w:t>KP1 €0</w:t>
        <w:br/>
        <w:t>Eurobéton France €3,370,000</w:t>
        <w:br/>
        <w:t>Strudal €480,000</w:t>
      </w:r>
    </w:p>
    <w:p>
      <w:r>
        <w:t>Bilateral agreement between KP1 and the Société de Préfabrication de Landaul On December 15, 2010, KP1 and SPL, the latter having launched a new precast wall manufacturing unit in Morbihan a few months earlier, entered into several agreements including, in particular, KP1's acquisition of 10% of SPL's capital and contracts for supply and procurement, technical service provision, transport, and technical assistance. These contracts included a clause of exclusivity for SPL's products in favor of KP1 – also prohibiting SPL from selling products not purchased by it to KP1's competitors – as well as non-poaching clauses.</w:t>
      </w:r>
    </w:p>
    <w:p>
      <w:r>
        <w:t>Furthermore, KP1 and SPL held regular meetings during which they divided clients and jointly set the prices of products and services as well as the conditions for their marketing. The Authority considered that the contractual clauses and regular exchanges established by these companies, allowing them to jointly decide on all aspects of SPL's economic life, constitute a violation of Article L. 420-1 of the Commercial Code – Article 101 of the TFEU being inapplicable as the practices were not likely to affect trade between Member States – from October 15, 2010, until the expiration of the contracts on December 15, 2017.</w:t>
      </w:r>
    </w:p>
    <w:p>
      <w:r>
        <w:t>The Authority sanctioned this agreement with a fine of €770,000, borne solely by SPL, given the exemption granted to KP1:</w:t>
      </w:r>
    </w:p>
    <w:p>
      <w:r>
        <w:t>Companies Amounts</w:t>
        <w:br/>
        <w:t>KP1 €0</w:t>
        <w:br/>
        <w:t>SPL €770,000</w:t>
      </w:r>
    </w:p>
    <w:p>
      <w:r>
        <w:t>On the role played by the Fidal firm in the context of the precast concrete products cartel The investigation services, considering that the Fidal firm played a facilitating role in the agreement among manufacturers of precast concrete products by providing advice aimed at concealing these practices within training organized within the Federation of the Concrete Industry and Rector, had notified a grievance to this law firm.</w:t>
      </w:r>
    </w:p>
    <w:p>
      <w:r>
        <w:t>The Authority considers that the elements in the file, some of which relate to time-barred facts, do not demonstrate that Fidal was aware of the ongoing agreement among the various actors in the sector and, a fortiori, that it participated, through its behavior, in achieving the objectives of the agreement. The Authority therefore issues a dismissal for this grievance.</w:t>
      </w:r>
    </w:p>
    <w:p>
      <w:r>
        <w:rPr>
          <w:b/>
        </w:rPr>
        <w:t>[Pages 7–9]</w:t>
      </w:r>
    </w:p>
    <w:p>
      <w:r>
        <w:t>Obstruction to the investigation</w:t>
      </w:r>
    </w:p>
    <w:p>
      <w:r>
        <w:t>One of the companies, Eurobéton France, provided incorrect information in response to a request for information from the investigation services and only corrected this error after the notification of grievances was sent, as part of its observations in response. The Authority considered that by not correcting this error immediately after noticing it, the company obstructed the investigation of the case, which constitutes a separate offense provided for by paragraph V of Article L. 464-2 of the Commercial Code, characterized even in cases of negligence. The Authority therefore imposed a distinct sanction of €75,000 on Eurobéton France and its parent companies in this regard.</w:t>
      </w:r>
    </w:p>
    <w:p>
      <w:r>
        <w:t>In addition to the financial penalties imposed, the Authority orders the sanctioned companies to publish a summary of the decision in both the print edition and the online edition of the journal Le Moniteur.</w:t>
      </w:r>
    </w:p>
    <w:p>
      <w:r>
        <w:t>SUMMARY</w:t>
      </w:r>
    </w:p>
    <w:p>
      <w:r>
        <w:t>I. FINDINGS .............................................................................. 14</w:t>
        <w:br/>
        <w:t>A. THE PROCEDURE .........................................................................................................14</w:t>
        <w:br/>
        <w:t>B. THE RELEVANT SECTOR ........................................................................................15</w:t>
        <w:br/>
        <w:t>C. THE COMPANIES INVOLVED ..................................................................................16</w:t>
        <w:br/>
        <w:t>1. KP1 ...........................................................................................................................16</w:t>
        <w:br/>
        <w:t>2. RECTOR LESAGE.................................................................................................17</w:t>
        <w:br/>
        <w:t>3. A2C ...........................................................................................................................17</w:t>
        <w:br/>
        <w:t>4. SOPREL ...................................................................................................................17</w:t>
        <w:br/>
        <w:t>5. SEAC ........................................................................................................................18</w:t>
        <w:br/>
        <w:t>6. SLM ..........................................................................................................................18</w:t>
        <w:br/>
        <w:t>7. STRUDAL................................................................................................................18</w:t>
        <w:br/>
        <w:t>8. FB GROUPE FRANCE AND ECHO NV .................................................................19</w:t>
        <w:br/>
        <w:t>9. L’INDUSTRIELLE DU BÉTON ...........................................................................19</w:t>
        <w:br/>
        <w:t>10. EUROBETON .........................................................................................................19</w:t>
        <w:br/>
        <w:t>11. LA SOCIÉTÉ DE PRÉFABRICATION DE LANDAUL ....................................20</w:t>
        <w:br/>
        <w:t>12. LE CABINET FIDAL .............................................................................................20</w:t>
        <w:br/>
        <w:t>D. THE PRACTICES OBSERVED ..................................................................................20</w:t>
        <w:br/>
        <w:t>1. ON THE PRACTICES OF AGREEMENTS RELATED TO PRECAST CONCRETE PRODUCTS SOLD TO CONSTRUCTION COMPANIES .....................................................20</w:t>
        <w:br/>
        <w:t>a) On the national management of the agreement .............................................. 21</w:t>
        <w:br/>
        <w:t>b) On the implementation of the agreement at the regional level ...................... 26</w:t>
        <w:br/>
        <w:t>On the implementation of the agreement in the Ile-de-France region and certain neighboring regions (Normandy, Champagne-Ardenne) ...................................28</w:t>
        <w:br/>
        <w:t>On the implementation of the agreement in the South-West region (Midi-Pyrénées and Languedoc-Roussillon) ........................................................................50</w:t>
        <w:br/>
        <w:t>On the implementation of the agreement in the West region (Brittany, Pays de la Loire, Centre-Val de Loire) and the Aquitaine region .......................................52</w:t>
        <w:br/>
        <w:t>On the implementation of the agreement in the Rhône-Alpes, Auvergne, Provence-Alpes-Côte d’Azur regions ................................................................................54</w:t>
        <w:br/>
        <w:t>2. ON THE PRACTICES RELATING TO THE SALE OF PRECAST CONCRETE PRODUCTS TO CMI AND NEGOCES ........................................................................57</w:t>
        <w:br/>
        <w:t>3. ON THE PRACTICES RELATED TO CONCRETE FRAMEWORK .......................................60</w:t>
        <w:br/>
        <w:t>4. ON THE PRACTICE OF BILATERAL AGREEMENT ..........................................................65</w:t>
        <w:br/>
        <w:t>a) On the contractual relationship between KP1 and SPL .................................... 65</w:t>
        <w:br/>
        <w:t>b) On the other elements of proof .......................................................... 67</w:t>
      </w:r>
    </w:p>
    <w:p>
      <w:r>
        <w:t>5. ON THE PRACTICES ALLEGED AGAINST THE CABINET FIDAL .........................................71</w:t>
        <w:br/>
        <w:t>a) On the elements seized during the searches ................................................... 71</w:t>
        <w:br/>
        <w:t>b) On the statements of former employees of Rector ......................................... 73</w:t>
        <w:br/>
        <w:t>E. THE NOTIFIED GRIEVANCES .............................................................................................75</w:t>
        <w:br/>
        <w:t>GRIEVANCE 1 ...........................................................................................................................75</w:t>
        <w:br/>
        <w:t>GRIEVANCE 2 ...........................................................................................................................78</w:t>
        <w:br/>
        <w:t>GRIEVANCE 3 ...........................................................................................................................79</w:t>
        <w:br/>
        <w:t>GRIEVANCE 4 ...........................................................................................................................79</w:t>
        <w:br/>
        <w:t>GRIEVANCE 5 ...........................................................................................................................80</w:t>
        <w:br/>
        <w:t>II. DISCUSSION ........................................................................................ 81</w:t>
        <w:br/>
        <w:t>A. ON THE PROCEDURE ................................................................................................81</w:t>
        <w:br/>
        <w:t>1. ON THE REPORT TO THE PUBLIC PROSECUTOR .........................................................81</w:t>
        <w:br/>
        <w:t>a) Recall of the main stages of the criminal procedure ......................................... 81</w:t>
        <w:br/>
        <w:t>b) On the misuse of procedure ................................................................................. 82</w:t>
        <w:br/>
        <w:t>Recall of the principles .............................................................................................82</w:t>
        <w:br/>
        <w:t>Application in this case .............................................................................................83</w:t>
        <w:br/>
        <w:t>c) On the violation of the right to an effective remedy ........................................... 87</w:t>
        <w:br/>
        <w:t>Recall of the principles .............................................................................................87</w:t>
        <w:br/>
        <w:t>Application in this case .............................................................................................88</w:t>
        <w:br/>
        <w:t>2. ON ACCESS TO DOCUMENTS FROM THE CRIMINAL PROCEDURE ..............................90</w:t>
        <w:br/>
        <w:t>a) Recall of the principles ......................................................................................... 90</w:t>
        <w:br/>
        <w:t>b) Application in this case ....................................................................................... 91</w:t>
        <w:br/>
        <w:t>Arguments of the parties ............................................................................................91</w:t>
        <w:br/>
        <w:t>Response of the Authority ..........................................................................................92</w:t>
        <w:br/>
        <w:t>3. ON THE IMPARTIALITY OF THE INVESTIGATION ........................................................94</w:t>
        <w:br/>
        <w:t>a) Recall of the principles ......................................................................................... 94</w:t>
        <w:br/>
        <w:t>b) Application in this case ....................................................................................... 95</w:t>
        <w:br/>
        <w:t>Arguments of the parties ............................................................................................95</w:t>
        <w:br/>
        <w:t>Response of the Authority ..........................................................................................95</w:t>
        <w:br/>
        <w:t>4. ON THE EXCESSIVE LENGTH OF THE PROCEDURE .....................................................96</w:t>
        <w:br/>
        <w:t>a) Recall of the principles ......................................................................................... 96</w:t>
        <w:br/>
        <w:t>b) Application in this case ....................................................................................... 97</w:t>
        <w:br/>
        <w:t>Arguments of the parties ............................................................................................97</w:t>
        <w:br/>
        <w:t>Response of the Authority ..........................................................................................97</w:t>
        <w:br/>
        <w:t>5. ON THE STATUTE OF LIMITATIONS .............................................................................98</w:t>
        <w:br/>
        <w:t>a) Recall of the principles ......................................................................................... 98</w:t>
      </w:r>
    </w:p>
    <w:p>
      <w:r>
        <w:rPr>
          <w:b/>
        </w:rPr>
        <w:t>[Pages 10–12]</w:t>
      </w:r>
    </w:p>
    <w:p>
      <w:r>
        <w:t>b) Application to the case at hand .................................................................... 99</w:t>
      </w:r>
    </w:p>
    <w:p>
      <w:r>
        <w:t>B. ON THE APPLICATION OF EU LAW ..............................................................99</w:t>
      </w:r>
    </w:p>
    <w:p>
      <w:r>
        <w:t>C. ON THE RELEVANT MARKETS ......................................................................101</w:t>
      </w:r>
    </w:p>
    <w:p>
      <w:r>
        <w:t>1. RECALL OF THE PRINCIPLES ............................................................................................101</w:t>
      </w:r>
    </w:p>
    <w:p>
      <w:r>
        <w:t>2. APPLICATION OF THE PRINCIPLES ..................................................................................102</w:t>
      </w:r>
    </w:p>
    <w:p>
      <w:r>
        <w:t>D. ON THE MERITS OF THE NOTIFIED COMPLAINTS ..................................................103</w:t>
      </w:r>
    </w:p>
    <w:p>
      <w:r>
        <w:t>1. RECALL OF THE APPLICABLE PRINCIPLES ..................................................................103</w:t>
      </w:r>
    </w:p>
    <w:p>
      <w:r>
        <w:t>a) Agreements and concerted practices ........................................................... 103</w:t>
      </w:r>
    </w:p>
    <w:p>
      <w:r>
        <w:t>b) On the evidence .......................................................................................... 104</w:t>
      </w:r>
    </w:p>
    <w:p>
      <w:r>
        <w:t>c) On the notion of restriction by object .................................................. 106</w:t>
      </w:r>
    </w:p>
    <w:p>
      <w:r>
        <w:t>2. ON THE NOTION OF A SINGLE AND CONTINUOUS AGREEMENT .............................................107</w:t>
      </w:r>
    </w:p>
    <w:p>
      <w:r>
        <w:t>a) On the unique nature of the offense ....................................................... 107</w:t>
      </w:r>
    </w:p>
    <w:p>
      <w:r>
        <w:t>b) On the continuous or repeated nature of the offense ............................. 109</w:t>
      </w:r>
    </w:p>
    <w:p>
      <w:r>
        <w:t>c) On the liability of companies participating in a single and continuous offense ................................................................................. 110</w:t>
      </w:r>
    </w:p>
    <w:p>
      <w:r>
        <w:t>d) On the role of facilitator of the agreement ................................................ 111</w:t>
      </w:r>
    </w:p>
    <w:p>
      <w:r>
        <w:t>3. ON THE MERITS OF COMPLAINT 1 ...........................................................................112</w:t>
      </w:r>
    </w:p>
    <w:p>
      <w:r>
        <w:t>a) On the materiality of the practices ........................................................... 112</w:t>
      </w:r>
    </w:p>
    <w:p>
      <w:r>
        <w:t>On the evidence of the agreement orchestrated at the national level by KP1, Rector, and SEAC and its implementation in several French regions ................................112</w:t>
      </w:r>
    </w:p>
    <w:p>
      <w:r>
        <w:t>On the evidence of agreements in the Ile-de-France region and its neighboring regions ............................................................................................................................114</w:t>
      </w:r>
    </w:p>
    <w:p>
      <w:r>
        <w:t>b) On the legal qualification of the practices ....................................... 123</w:t>
      </w:r>
    </w:p>
    <w:p>
      <w:r>
        <w:t>On the anticompetitive object of the practices .......................................................123</w:t>
      </w:r>
    </w:p>
    <w:p>
      <w:r>
        <w:t>On the existence of a single and continuous offense ........................................124</w:t>
      </w:r>
    </w:p>
    <w:p>
      <w:r>
        <w:t>c) On the individual participation of companies in the single and continuous offense .................................................................................................. 128</w:t>
      </w:r>
    </w:p>
    <w:p>
      <w:r>
        <w:t>On the participation of KP1 ...............................................................................128</w:t>
      </w:r>
    </w:p>
    <w:p>
      <w:r>
        <w:t>On the participation of Rector ............................................................................128</w:t>
      </w:r>
    </w:p>
    <w:p>
      <w:r>
        <w:t>On the participation of SEAC ............................................................................128</w:t>
      </w:r>
    </w:p>
    <w:p>
      <w:r>
        <w:t>On the participation of Soprel ............................................................................128</w:t>
      </w:r>
    </w:p>
    <w:p>
      <w:r>
        <w:t>On the participation of A2C .................................................................................129</w:t>
      </w:r>
    </w:p>
    <w:p>
      <w:r>
        <w:t>On the participation of SLM ..............................................................................130</w:t>
      </w:r>
    </w:p>
    <w:p>
      <w:r>
        <w:t>On the participation of IB and Strudal .................................................................131</w:t>
      </w:r>
    </w:p>
    <w:p>
      <w:r>
        <w:t>On the participation of FB ..................................................................................132</w:t>
      </w:r>
    </w:p>
    <w:p>
      <w:r>
        <w:t>4. ON THE MERITS OF COMPLAINT 2 ...........................................................................135</w:t>
      </w:r>
    </w:p>
    <w:p>
      <w:r>
        <w:t>a) On the materiality of the practices ........................................................... 135</w:t>
      </w:r>
    </w:p>
    <w:p>
      <w:r>
        <w:t>b) On the anticompetitive object ................................................................ 135</w:t>
      </w:r>
    </w:p>
    <w:p>
      <w:r>
        <w:t>c) On the individual participation of companies ................................ 136</w:t>
      </w:r>
    </w:p>
    <w:p>
      <w:r>
        <w:t>5. ON THE MERITS OF COMPLAINT 3 ...........................................................................136</w:t>
      </w:r>
    </w:p>
    <w:p>
      <w:r>
        <w:t>a) Recall of the principles ............................................................................. 136</w:t>
      </w:r>
    </w:p>
    <w:p>
      <w:r>
        <w:t>b) On the absence of evidence of multilateral meetings and the exoneration of Soprel and IB ............................................................................. 137</w:t>
      </w:r>
    </w:p>
    <w:p>
      <w:r>
        <w:t>c) On the anticompetitive nature of information exchanges ...... 138</w:t>
      </w:r>
    </w:p>
    <w:p>
      <w:r>
        <w:t>6. ON THE MERITS OF COMPLAINT 4 ...........................................................................144</w:t>
      </w:r>
    </w:p>
    <w:p>
      <w:r>
        <w:t>a) On the materiality of the practices ........................................................... 144</w:t>
      </w:r>
    </w:p>
    <w:p>
      <w:r>
        <w:t>b) On the qualification of the practices ........................................................ 144</w:t>
      </w:r>
    </w:p>
    <w:p>
      <w:r>
        <w:t>7. ON THE MERITS OF COMPLAINT 5 ...........................................................................146</w:t>
      </w:r>
    </w:p>
    <w:p>
      <w:r>
        <w:t>8. ON THE IMPLEMENTATION OF THE OBSTRUCTION PROCEDURE ............................147</w:t>
      </w:r>
    </w:p>
    <w:p>
      <w:r>
        <w:t>a) Recall of the principles ............................................................................. 147</w:t>
      </w:r>
    </w:p>
    <w:p>
      <w:r>
        <w:t>b) Application to the case at hand .................................................................. 149</w:t>
      </w:r>
    </w:p>
    <w:p>
      <w:r>
        <w:t>E. ON THE ATTRIBUTION OF LIABILITY ....................................................................150</w:t>
      </w:r>
    </w:p>
    <w:p>
      <w:r>
        <w:t>1. RECALL OF THE APPLICABLE PRINCIPLES ..................................................................150</w:t>
      </w:r>
    </w:p>
    <w:p>
      <w:r>
        <w:t>a) On the attribution of a practice to an economic unit .............. 150</w:t>
      </w:r>
    </w:p>
    <w:p>
      <w:r>
        <w:t>b) On the attribution in case of transformation of companies ............ 150</w:t>
      </w:r>
    </w:p>
    <w:p>
      <w:r>
        <w:t>c) On the attribution within a group of companies ............................ 151</w:t>
      </w:r>
    </w:p>
    <w:p>
      <w:r>
        <w:t>2. APPLICATION TO THE CASE AT HAND ...........................................................................152</w:t>
      </w:r>
    </w:p>
    <w:p>
      <w:r>
        <w:t>a) Attribution of practices to KP1 ........................................................ 152</w:t>
      </w:r>
    </w:p>
    <w:p>
      <w:r>
        <w:t>b) Attribution of practices to Rector .................................................... 153</w:t>
      </w:r>
    </w:p>
    <w:p>
      <w:r>
        <w:t>c) Attribution of practices to A2C ........................................................ 153</w:t>
      </w:r>
    </w:p>
    <w:p>
      <w:r>
        <w:t>d) Attribution of practices to Soprel .................................................... 154</w:t>
      </w:r>
    </w:p>
    <w:p>
      <w:r>
        <w:t>e) Attribution of practices to SEAC ..................................................... 154</w:t>
      </w:r>
    </w:p>
    <w:p>
      <w:r>
        <w:t>f) Attribution of practices to SLM ....................................................... 154</w:t>
      </w:r>
    </w:p>
    <w:p>
      <w:r>
        <w:t>g) Attribution of practices to Strudal ................................................... 154</w:t>
      </w:r>
    </w:p>
    <w:p>
      <w:r>
        <w:t>h) Attribution of practices to FB .......................................................... 155</w:t>
      </w:r>
    </w:p>
    <w:p>
      <w:r>
        <w:t>i) Attribution of practices to IB ........................................................... 155</w:t>
      </w:r>
    </w:p>
    <w:p>
      <w:r>
        <w:t>j) Attribution of practices to Eurobéton ............................................. 156</w:t>
      </w:r>
    </w:p>
    <w:p>
      <w:r>
        <w:t>k) Attribution of practices to SPL ........................................................ 157</w:t>
      </w:r>
    </w:p>
    <w:p>
      <w:r>
        <w:t>F. ON THE FINANCIAL SANCTIONS ..................................................................157</w:t>
      </w:r>
    </w:p>
    <w:p>
      <w:r>
        <w:t>1. THE PRINCIPLES RELATING TO THE DETERMINATION OF SANCTIONS .....................157</w:t>
      </w:r>
    </w:p>
    <w:p>
      <w:r>
        <w:t>a) The applicable law ................................................................................ 157</w:t>
      </w:r>
    </w:p>
    <w:p>
      <w:r>
        <w:t>b) On the application of the sanctions press release of July 30, 2021 ........ 158</w:t>
      </w:r>
    </w:p>
    <w:p>
      <w:r>
        <w:t>c) On the imposition of a single sanction ............................................... 162</w:t>
      </w:r>
    </w:p>
    <w:p>
      <w:r>
        <w:t>2. THE DETERMINATION OF THE BASE AMOUNT OF THE SANCTION ...........................163</w:t>
      </w:r>
    </w:p>
    <w:p>
      <w:r>
        <w:t>a) The value of sales .............................................................................. 164</w:t>
      </w:r>
    </w:p>
    <w:p>
      <w:r>
        <w:t>Complaints 1 and 2 ........................................................................................................165</w:t>
      </w:r>
    </w:p>
    <w:p>
      <w:r>
        <w:t>Complaint 3 ...................................................................................................................167</w:t>
      </w:r>
    </w:p>
    <w:p>
      <w:r>
        <w:t>Complaint 4 ...................................................................................................................167</w:t>
      </w:r>
    </w:p>
    <w:p>
      <w:r>
        <w:t>b) The severity of the practices ....................................................................... 168</w:t>
      </w:r>
    </w:p>
    <w:p>
      <w:r>
        <w:t>Complaints 1 and 2 ........................................................................................................168</w:t>
      </w:r>
    </w:p>
    <w:p>
      <w:r>
        <w:t>Complaint 3 ...................................................................................................................172</w:t>
      </w:r>
    </w:p>
    <w:p>
      <w:r>
        <w:t>Complaint 4 ...................................................................................................................173</w:t>
      </w:r>
    </w:p>
    <w:p>
      <w:r>
        <w:t>c) The consideration of duration ............................................................ 174</w:t>
      </w:r>
    </w:p>
    <w:p>
      <w:r>
        <w:t>Complaints 1 and 2 ........................................................................................................174</w:t>
      </w:r>
    </w:p>
    <w:p>
      <w:r>
        <w:t>Complaint 3 ...................................................................................................................175</w:t>
      </w:r>
    </w:p>
    <w:p>
      <w:r>
        <w:t>Complaint 4 ...................................................................................................................176</w:t>
      </w:r>
    </w:p>
    <w:p>
      <w:r>
        <w:t>d) Conclusion on the base amount of the sanctions ............................... 177</w:t>
      </w:r>
    </w:p>
    <w:p>
      <w:r>
        <w:t>3. ON THE INDIVIDUALIZATION OF SANCTIONS ........................................................177</w:t>
      </w:r>
    </w:p>
    <w:p>
      <w:r>
        <w:t>a) Aggravating and mitigating circumstances .................................... 178</w:t>
      </w:r>
    </w:p>
    <w:p>
      <w:r>
        <w:t>On the circumstance relating to the limited role or small size of the companies ..178</w:t>
      </w:r>
    </w:p>
    <w:p>
      <w:r>
        <w:t>On the existence of pressures from other participants ...........................179</w:t>
      </w:r>
    </w:p>
    <w:p>
      <w:r>
        <w:t>On the ignorance of the illicit nature of the practices ...........................................180</w:t>
      </w:r>
    </w:p>
    <w:p>
      <w:r>
        <w:t>On the role of the free rider that disrupted the functioning of the agreement ......180</w:t>
      </w:r>
    </w:p>
    <w:p>
      <w:r>
        <w:t>On the other circumstances invoked .............................................................184</w:t>
      </w:r>
    </w:p>
    <w:p>
      <w:r>
        <w:t>b) Other elements of individualization .............................................. 184</w:t>
      </w:r>
    </w:p>
    <w:p>
      <w:r>
        <w:t>The membership of IB in a powerful group ......................................................185</w:t>
      </w:r>
    </w:p>
    <w:p>
      <w:r>
        <w:t>The mono-product nature of the companies ...........................................................186</w:t>
      </w:r>
    </w:p>
    <w:p>
      <w:r>
        <w:t>On the other factors of individualization ..............................................................187</w:t>
      </w:r>
    </w:p>
    <w:p>
      <w:r>
        <w:t>4. ON THE RECIDIVISM ............................................................................................189</w:t>
      </w:r>
    </w:p>
    <w:p>
      <w:r>
        <w:t>5. ON THE FINAL ADJUSTMENTS ............................................................................191</w:t>
      </w:r>
    </w:p>
    <w:p>
      <w:r>
        <w:t>a) Verification of compliance with the maximum legal threshold ........................... 192</w:t>
      </w:r>
    </w:p>
    <w:p>
      <w:r>
        <w:t>b) On the consideration of the leniency procedure ................................. 194</w:t>
      </w:r>
    </w:p>
    <w:p>
      <w:r>
        <w:t>Recall of the applicable principles .......................................................................194</w:t>
      </w:r>
    </w:p>
    <w:p>
      <w:r>
        <w:t>Application to the case at hand, concerning KP1 ................................................196</w:t>
      </w:r>
    </w:p>
    <w:p>
      <w:r>
        <w:t>Application to the case at hand, concerning Rector ............................................199</w:t>
      </w:r>
    </w:p>
    <w:p>
      <w:r>
        <w:t>c) On the contributory capacity of the companies involved ............. 201</w:t>
      </w:r>
    </w:p>
    <w:p>
      <w:r>
        <w:t>On the financial situation of FB Group .........................................................201</w:t>
      </w:r>
    </w:p>
    <w:p>
      <w:r>
        <w:t>On the financial situation of Strudal ...............................................................202</w:t>
      </w:r>
    </w:p>
    <w:p>
      <w:r>
        <w:t>On the financial situation of SEAC .................................................................202</w:t>
      </w:r>
    </w:p>
    <w:p>
      <w:r>
        <w:t>On the financial situation of SOPREL ............................................................202</w:t>
      </w:r>
    </w:p>
    <w:p>
      <w:r>
        <w:t>On the financial situation of A2C ....................................................................202</w:t>
      </w:r>
    </w:p>
    <w:p>
      <w:r>
        <w:rPr>
          <w:b/>
        </w:rPr>
        <w:t>[Pages 13–15]</w:t>
      </w:r>
    </w:p>
    <w:p>
      <w:r>
        <w:t xml:space="preserve">On the financial situation of KP1 ....................................................................202  </w:t>
        <w:br/>
        <w:t xml:space="preserve">6. CONCLUSION ON THE FINAL AMOUNT OF FINANCIAL SANCTIONS ..................203  </w:t>
        <w:br/>
        <w:t xml:space="preserve">G. ON OTHER SANCTIONS ..................................................................................204  </w:t>
        <w:br/>
        <w:t xml:space="preserve">H. ON THE IMPLEMENTATION OF THE OBSTRUCTION PROCEDURE REGARDING EUROBETON ..........................................................................................206  </w:t>
        <w:br/>
        <w:t xml:space="preserve">DECISION ........................................................................................................ 208  </w:t>
        <w:br/>
        <w:t>13</w:t>
      </w:r>
    </w:p>
    <w:p>
      <w:r>
        <w:t xml:space="preserve">I. Findings  </w:t>
        <w:br/>
        <w:t xml:space="preserve">A. THE PROCEDURE  </w:t>
        <w:br/>
        <w:t xml:space="preserve">1. On March 11, 2015, the Competition Authority (hereinafter "the Authority") received indications related to anticompetitive practices in the precast concrete elements sector, initially transferred by the interregional competition investigation brigade (hereinafter "BIEC") of Lille to the Directorate General for Competition, Consumer Affairs, and Fraud Control (hereinafter "DGCCRF") on February 2, 2015.  </w:t>
        <w:br/>
        <w:t xml:space="preserve">2. On November 17, 2016, the general rapporteur of the Authority sent a report to the Public Prosecutor of Paris, drafted on the basis of Article 40, paragraph 2 of the Code of Criminal Procedure, implicating the companies A2C Préfa, KP1, Rector Lesage, Saint Léonard Matériaux, and Soprel.  </w:t>
        <w:br/>
        <w:t xml:space="preserve">3. Simultaneous searches based on a commission rogatory issued on April 10, 2017, by an investigating judge of the Paris judicial court were carried out on October 25, 2018, at the premises of the companies A2C Préfa, KP1, Rector Lesage, and Soprel, as well as in a meeting room at the Mercure Paris Roissy Charles de Gaulle hotel (hereinafter "the Mercure hotel in Roissy") by officers of the judicial police from the economic crime repression brigade (hereinafter "BRDE") and rapporteurs from the Authority, requested in the legal forms.  </w:t>
        <w:br/>
        <w:t xml:space="preserve">4. On October 30, 2018, the deputy general rapporteur of the Authority received a request for the implementation of IV of Article L. 464-2 of the Commercial Code made on behalf of the company KP1 and all its subsidiaries, registered under number 18/0161 AC. KP1 submitted a supplementary leniency request on April 4, 2019.  </w:t>
        <w:br/>
        <w:t xml:space="preserve">5. KP1 reported five anticompetitive practices in the precast concrete products sector:  </w:t>
        <w:br/>
        <w:t xml:space="preserve">− Regarding the first practice, which concerns precast concrete products intended for the trade and individual house builders (hereinafter "CMI"), KP1 indicates that it participated with some of its competitors, including Rector Lesage and SEAC, in practices of exchanging sensitive information on prices and sales volumes, as well as in concerted practices regarding the application of price increases and commercial conditions (end-of-year discounts, commercial animation budget, etc.);  </w:t>
        <w:br/>
        <w:t xml:space="preserve">− Regarding the second practice, which concerns the sale of precast concrete products to construction companies, KP1 specifies that it participated with some of its competitors in exchanges of sensitive information on prices and volumes as well as in concerted practices regarding the establishment of sales quotas, market and customer allocation, and the setting of minimum selling prices for precast slabs, inserts, and hollow-core slabs;  </w:t>
        <w:br/>
        <w:t xml:space="preserve">− Regarding the third practice, which concerns the sale of precast concrete products to project owners, project managers, and general contractors in charge of construction sites, KP1 states that it participated, with some of its competitors, including the companies Eurobéton France, L’Industrielle du béton, and Strudal, in exchanges of sensitive information on prices and sales volumes of concrete frameworks (composed of beams, columns, purlins, and panels) as well as in concerted practices regarding market allocation;  </w:t>
        <w:br/>
        <w:t xml:space="preserve">− Regarding the fourth practice, which concerns the sale of thermal precast slabs, the leniency applicant reported "discussions likely to limit competition between the technical solutions proposed by the GIE Thermoprédalle";  </w:t>
        <w:br/>
        <w:t xml:space="preserve">− Finally, regarding the fifth practice, mainly related to precast walls and slabs, KP1 reports, on the one hand, a customer and market allocation, and on the other hand, exchanges of information regarding price increases and resale prices offered to their respective customers on the products and their inserts that would have taken place from 2011 between KP1 and the Société de préfabrication de Landaul, of which KP1 has held 10% of the capital since December 15, 2010.  </w:t>
        <w:br/>
        <w:t xml:space="preserve">6. On October 31, 2018, the deputy general rapporteur of the Authority received a second request for the implementation of IV of Article L. 464-2 of the Commercial Code made by the companies Rector Lesage and Lesage Industrie Du Béton registered under number 18/0166 AC. These companies reported collusive practices with some of their competitors, including KP1 and SEAC, in the precast concrete slabs sector with a view to allocating markets and maintaining a certain price level.  </w:t>
        <w:br/>
        <w:t xml:space="preserve">7. By a leniency notice No. 20-AC-01 dated September 18, 2020, the Authority granted KP1 conditional leniency with a partial exemption from potential sanctions ranging from 25% to 40%.  </w:t>
        <w:br/>
        <w:t xml:space="preserve">8. By a leniency notice No. 20-AC-03 dated December 16, 2020, the Authority granted Rector conditional leniency with a partial exemption from potential sanctions ranging from 15% to 30%.  </w:t>
        <w:br/>
        <w:t xml:space="preserve">9. On March 13, 2020, the Authority initiated proceedings ex officio regarding the practices established in the precast concrete products sector, recorded under number 20/0056 F, and requested the investigating judge at the Paris judicial court, seized of the JIRSOF/17/1 file, to communicate the documents directly related to the facts mentioned in its referral.  </w:t>
        <w:br/>
        <w:t xml:space="preserve">B. THE RELEVANT SECTOR  </w:t>
        <w:br/>
        <w:t xml:space="preserve">10. The practices observed in this case fall within the sector of precast concrete elements for construction. Concrete products are manufactured in various dimensions and thicknesses, in prestressed concrete or reinforced concrete. Prestressed concrete is a composite construction material in which opposing stresses are introduced before it is put into service. As for reinforced concrete, it is concrete in which a steel reinforcement has been incorporated.  </w:t>
        <w:br/>
        <w:t>11. The main precast concrete products are:</w:t>
      </w:r>
    </w:p>
    <w:p>
      <w:r>
        <w:rPr>
          <w:b/>
        </w:rPr>
        <w:t>[Pages 16–18]</w:t>
      </w:r>
    </w:p>
    <w:p>
      <w:r>
        <w:t>− precast slabs and thermal precast slabs: these are thin slabs (minimum 5 cm) allowing for the construction of solid concrete floors for the former, and for the latter, an integrated formwork for concrete floors5;</w:t>
      </w:r>
    </w:p>
    <w:p>
      <w:r>
        <w:t>− hollow-core slabs: these are slabs allowing for the construction of long-span and low-profile floors (they are laid jointly and assembled with a keying concrete)6;</w:t>
      </w:r>
    </w:p>
    <w:p>
      <w:r>
        <w:t>− precast walls: these are walls with integrated formwork, consisting of two prefabricated reinforced concrete panels connected by stiffeners7;</w:t>
      </w:r>
    </w:p>
    <w:p>
      <w:r>
        <w:t>− beams: these are concrete floor beams intended for the construction of frameworks for structures or buildings with one or more levels8;</w:t>
      </w:r>
    </w:p>
    <w:p>
      <w:r>
        <w:t>− concrete framework: prefabricated in a factory with complete industrial tooling, the framework components (beams, columns, etc.) are structural elements made of prestressed concrete or reinforced concrete. They are intended for the construction of frameworks by assembling the elements together, with other horizontal or vertical prefabricated elements, or with cast-in-place parts9.</w:t>
      </w:r>
    </w:p>
    <w:p>
      <w:r>
        <w:t>12. Industry specialists sell their products to a clientele primarily belonging to the building sector, the main outlet for concrete manufacturers. As such, precast concrete products are directly intended for the construction of residential and non-residential buildings.</w:t>
      </w:r>
    </w:p>
    <w:p>
      <w:r>
        <w:t>13. The clients of the companies manufacturing concrete products are large construction firms such as Bouygues or Colas, construction material dealers such as Point P, Chausson Matériaux, Gedimat, or Bigmat, and CMI such as Maison France Confort or Geoxia10.</w:t>
      </w:r>
    </w:p>
    <w:p>
      <w:r>
        <w:t>C. THE COMPANIES INVOLVED</w:t>
      </w:r>
    </w:p>
    <w:p>
      <w:r>
        <w:t>1. KP1</w:t>
      </w:r>
    </w:p>
    <w:p>
      <w:r>
        <w:t>14. KP1 SAS is a simplified joint-stock company (RCS 976 320 309), which markets precast concrete products, such as precast slabs, precast walls, hollow-core slabs, beams, and columns, intended for the construction of collective housing and non-residential buildings. Its capital is 100% owned by the company KP1 Services (RCS 493 103 170), which has been controlled since 2020 by subsidiaries of Blackstone Inc.11.</w:t>
      </w:r>
    </w:p>
    <w:p>
      <w:r>
        <w:t>15. KP1 SAS controls six subsidiaries, four of which are involved in the marketing of precast concrete products – the companies KP1 Bâtiments (RCS 306 187 535), KP1 Développement (RCS 498 141 084), KP1 R&amp;D (RCS 337 661 557), and KP1 Armatures (RCS 976 920 074)12. The companies of the KP1 group will be referred to, collectively or individually, in the remainder of the decision by the term KP1.</w:t>
      </w:r>
    </w:p>
    <w:p>
      <w:r>
        <w:t>2. RECTOR LESAGE</w:t>
      </w:r>
    </w:p>
    <w:p>
      <w:r>
        <w:t>16. The company Rector Lesage (RCS 307 322 214) belongs to the family group Lesage Industrie du Béton (hereinafter "LIB", RCS 431 748 961). It is active in the manufacturing and wholesale trade of construction concrete products, such as hollow-core slabs, precast slabs, beams, concrete blocks, precast walls, and beams13.</w:t>
      </w:r>
    </w:p>
    <w:p>
      <w:r>
        <w:t>17. Rector Lesage controls the capital of several subsidiaries, including the companies Planchers Durandal SAS (RCS 492 115 142) and Planchers Fabre SAS (RCS 509 434 213), both active in the manufacturing and marketing of precast concrete products. In 2016, Rector Lesage carried out a merger-absorption operation of the company LB7-Ligerienne Béton (RCS 323 253 591, dissolved on May 20, 2016). The companies of the LIB group will be referred to, collectively or individually, in the remainder of the decision by the term Rector.</w:t>
      </w:r>
    </w:p>
    <w:p>
      <w:r>
        <w:t>3. A2C</w:t>
      </w:r>
    </w:p>
    <w:p>
      <w:r>
        <w:t>18. The A2C group is a family group active in the construction of buildings and public works. This group consists of four companies that all share the same management14, including:</w:t>
      </w:r>
    </w:p>
    <w:p>
      <w:r>
        <w:t>− A2C Matériaux (RCS 346 480 114), which provides support, control, and administration services to the other companies in the A2C group; and</w:t>
      </w:r>
    </w:p>
    <w:p>
      <w:r>
        <w:t>− A2C Préfa (hereinafter "A2C", RCS 775 737 067), formerly named Corbeil Prédal, which markets precast walls, precast slabs, and hollow-core slabs. A2C is owned respectively by A2C Matériaux at 45.28%, A2C Granulat at 13.99%, and by Mr. X... at 38.08%15.</w:t>
      </w:r>
    </w:p>
    <w:p>
      <w:r>
        <w:t>4. SOPREL</w:t>
      </w:r>
    </w:p>
    <w:p>
      <w:r>
        <w:t>19. The simplified joint-stock company Groupe Soprel (hereinafter "Soprel", RCS 582 090 718), resulting from the merger-absorption of the company Soprelem by the company Soprel, is active in the production and marketing of precast concrete products such as prestressed hollow-core slabs, precast slabs, and linear structural elements16.</w:t>
      </w:r>
    </w:p>
    <w:p>
      <w:r>
        <w:t>20. The capital of the company Groupe Soprel is 100% owned by the Luxembourg company Soprel Group Entreprises SA (RCS Luxembourg B78795).</w:t>
      </w:r>
    </w:p>
    <w:p>
      <w:r>
        <w:t>5. SEAC</w:t>
      </w:r>
    </w:p>
    <w:p>
      <w:r>
        <w:t>21. The Société d’Etudes et Applications de Composants (hereinafter "SEAC", RCS 620 800 581) specializes in the production of prestressed concrete elements, pressed concrete, and reinforced concrete. The company has a total production capacity for prestressed precast slabs, industrial beams, and hollow-core slabs distributed across several production sites in France. It develops a wide range of products for all types of constructions: individual houses, row housing17, collective housing, and tertiary buildings.</w:t>
      </w:r>
    </w:p>
    <w:p>
      <w:r>
        <w:t>22. The capital of the company SEAC is almost entirely owned by the company SOFIB (RCS 348 298 647), which is itself 100% owned by the Guiraud family18.</w:t>
      </w:r>
    </w:p>
    <w:p>
      <w:r>
        <w:t>6. SLM</w:t>
      </w:r>
    </w:p>
    <w:p>
      <w:r>
        <w:t>23. The company Groupe Saint Léonard (hereinafter "GSL", RCS 528 691 975) is active in the sector of precast concrete products through its subsidiaries, the companies Saint Léonard Matériaux (hereinafter "SLM", RCS 345 880 421)19, Structures Préfabrications Services (hereinafter "SPS", RCS 344 196 365), and Comptoir de la Préfabrication (hereinafter "CDLP", RCS 421 163 841).</w:t>
      </w:r>
    </w:p>
    <w:p>
      <w:r>
        <w:t>24. SLM produces and sells, including through SPS, concrete blocks (cinder blocks), ready-mixed concrete, reinforced concrete beams, reinforced concrete beams, reinforced concrete prefabrications, and prestressed precast slabs20. CDLP sells reinforced concrete beams, architectural prefabrications, reinforced concrete slabs, and precast walls.</w:t>
      </w:r>
    </w:p>
    <w:p>
      <w:r>
        <w:t>7. STRUDAL</w:t>
      </w:r>
    </w:p>
    <w:p>
      <w:r>
        <w:t>25. The company Strudal (RCS 334 454 600) is engaged in the manufacture of concrete products, such as prestressed hollow-core floors, prestressed structural products in reinforced concrete (columns, beams, purlins), reinforced concrete wall panels, and architectural concrete elements21.</w:t>
      </w:r>
    </w:p>
    <w:p>
      <w:r>
        <w:rPr>
          <w:b/>
        </w:rPr>
        <w:t>[Pages 19–21]</w:t>
      </w:r>
    </w:p>
    <w:p>
      <w:r>
        <w:t>26. The company Strudal is 31% owned by Mr. Y... and 68% owned by the Belgian company SPRL Dal Industries (BE 0645 695 049), which is itself 96% owned and managed by Mr. Y...22.</w:t>
      </w:r>
    </w:p>
    <w:p>
      <w:r>
        <w:t>8. FB GROUPE FRANCE AND ECHO NV</w:t>
      </w:r>
    </w:p>
    <w:p>
      <w:r>
        <w:t>27. The companies FB Groupe France SAS (RCS 501 161 988) and FB Groupe Luxembourg SA (collectively referred to hereinafter as "FB"), formerly known as Echo France and Echolux, manufacture and market hollow-core slabs in reinforced concrete and prestressed concrete slabs primarily for the North-East of France, from a production site located in Luxembourg23.</w:t>
      </w:r>
    </w:p>
    <w:p>
      <w:r>
        <w:t>28. The companies FB Groupe France SAS and FB Groupe Luxembourg SA were owned by the company Echobel NV, which was itself owned by the company Galm Participaties NV, before being acquired in 2013 by the Luxembourg company Industry Partners SA (RCS Luxembourg B174 624)24, founded by two former executives of the Echo group.</w:t>
      </w:r>
    </w:p>
    <w:p>
      <w:r>
        <w:t>29. In February 2022, Industry Partner sold 100% of the shares of FB Groupe France SAS and FB Groupe Luxembourg SA to the Belgian company Koutermolen NV, a subsidiary of the Willy Naessens group25.</w:t>
      </w:r>
    </w:p>
    <w:p>
      <w:r>
        <w:t>9. L’INDUSTRIELLE DU BÉTON</w:t>
      </w:r>
    </w:p>
    <w:p>
      <w:r>
        <w:t>30. The company L’Industrielle du Béton (hereinafter "IB", RCS 697 380 194) specializes in the production and assembly of concrete structures. It markets hollow-core slabs, precast slabs, ribbed slabs, columns, and beams in concrete26. The company also engages in building construction, specializing in the manufacture of prefabricated concrete frameworks (structures) and their installation, as well as the manufacture of prefabricated concrete floors and facade panels27.</w:t>
      </w:r>
    </w:p>
    <w:p>
      <w:r>
        <w:t>31. Since the end of 2009, the capital of IB has been held by the company CRH France SAS (RCS 420 361 081), which is itself integrated within a succession of parent companies, the ultimate parent company being CRH plc, registered in Ireland (No. 12965).</w:t>
      </w:r>
    </w:p>
    <w:p>
      <w:r>
        <w:t>10. EUROBETON</w:t>
      </w:r>
    </w:p>
    <w:p>
      <w:r>
        <w:t>32. The simplified joint-stock company Eurobéton France (RCS 382 679 124) (hereinafter "Eurobéton") is active in the reinforced concrete, prestressed concrete, and architectural concrete building sector.</w:t>
      </w:r>
    </w:p>
    <w:p>
      <w:r>
        <w:t>33. Eurobéton France belongs to PBM Groupe (RCS 498 107 127), whose parent companies are JAV Investissement Sarl (RCS 449 455 369) and VAMTAJ Sarl (RCS Luxembourg B211011).</w:t>
      </w:r>
    </w:p>
    <w:p>
      <w:r>
        <w:t>11. THE PREFABRICATION COMPANY OF LANDAUL</w:t>
      </w:r>
    </w:p>
    <w:p>
      <w:r>
        <w:t>34. The Prefabrication Company of Landaul (hereinafter "SPL", RCS 503 464 158) manufactures and markets precast walls and precast slabs in Brittany, through its factories located in Landaul, in Morbihan. The company MDSR Participations (RCS 480 260 108) holds the majority of SPL's capital. Furthermore, KP1 holds 10% of the share capital of SPL28.</w:t>
      </w:r>
    </w:p>
    <w:p>
      <w:r>
        <w:t>12. THE FIDAL FIRM</w:t>
      </w:r>
    </w:p>
    <w:p>
      <w:r>
        <w:t>35. Fidal is a liberal professional partnership simplified joint-stock company (RCS 525 031 522) with 90 law offices in France29. The capital of Fidal is controlled by the company Fidal et Associés (RCS 775 726 433)30.</w:t>
      </w:r>
    </w:p>
    <w:p>
      <w:r>
        <w:t>D. OBSERVED PRACTICES</w:t>
      </w:r>
    </w:p>
    <w:p>
      <w:r>
        <w:t>1. ON THE COLLUSIVE PRACTICES RELATED TO PREFABRICATED CONCRETE PRODUCTS SOLD TO CONSTRUCTION COMPANIES</w:t>
      </w:r>
    </w:p>
    <w:p>
      <w:r>
        <w:t>36. The parties involved participated in multilateral meetings organized in hotels, train stations, or airports, as well as in meetings organized within various groups created to promote prefabricated concrete products marketed to construction companies and diverted by their members from their legal objective.</w:t>
      </w:r>
    </w:p>
    <w:p>
      <w:r>
        <w:t>37. Discussions among competitors during the multilateral meetings took the form of roundtable discussions, after which a sharing of business was established and prices were discussed regarding prefabricated concrete products intended for construction companies.</w:t>
      </w:r>
    </w:p>
    <w:p>
      <w:r>
        <w:t>38. These practices, implemented at the regional level, were led by the leaders of the participating companies at the national level.</w:t>
      </w:r>
    </w:p>
    <w:p>
      <w:r>
        <w:t>a) On the national steering of the collusion</w:t>
      </w:r>
    </w:p>
    <w:p>
      <w:r>
        <w:t>39. Two former employees of Rector, interviewed on January 14 and 21, 2016, at the Authority's premises, denounced the existence of anticompetitive meetings in the sector of prefabricated concrete elements, referred to as "tables," concerning the regions Ile-de-France, Normandy, Nord-Pas-de-Calais, Picardy, and Champagne-Ardenne31, while specifying that local managers of Rector participated in the same types of meetings in hotels throughout France (except in Alsace)32. One of these employees specified that "this cartel was well known to the leaders, who are its originators"33, adding that when the participants at the tables could not agree on a business, "the subject was escalated to the level of the CEOs and GMs of the companies concerned who intervened to find a solution"34.</w:t>
      </w:r>
    </w:p>
    <w:p>
      <w:r>
        <w:t>40. The national dimension of these practices was confirmed by the statements of two leniency applicants, KP1 and Rector, who identified the participants in these practices and explained their mode of operation.</w:t>
      </w:r>
    </w:p>
    <w:p>
      <w:r>
        <w:t>41. Three companies participated in the national steering of the collusion35. These companies, as well as their main representatives who took part in these practices, are identified in the following table:</w:t>
      </w:r>
    </w:p>
    <w:p>
      <w:r>
        <w:t>| Companies | Representatives | Positions |</w:t>
        <w:br/>
        <w:t>|-----------|----------------|----------|</w:t>
        <w:br/>
        <w:t>| KP1 | Mr. Z… | President |</w:t>
        <w:br/>
        <w:t>| | M.A... | General Director |</w:t>
        <w:br/>
        <w:t>| | M. B... | National Commercial Director from July 1, 2014 |</w:t>
        <w:br/>
        <w:t>| | M. C... | National Commercial Director from 2013 to 2014 |</w:t>
        <w:br/>
        <w:t>| | M. D... | National Commercial Director from 1985 to 2013 |</w:t>
        <w:br/>
        <w:t>| | M. E... | General Director |</w:t>
        <w:br/>
        <w:t>| Rector | M. F... | Deputy General Director |</w:t>
        <w:br/>
        <w:t>| | M. G... | Regional Director |</w:t>
        <w:br/>
        <w:t>| | M. H... | General Director |</w:t>
        <w:br/>
        <w:t>| SEAC | M. I... | Commercial Director |</w:t>
      </w:r>
    </w:p>
    <w:p>
      <w:r>
        <w:t>42. The two leniency applicants indicated that KP1, Rector, and SEAC initially met in the context of ad hoc meetings, and subsequently on the sidelines of meetings organized within the framework of the GIE France Thermoprédalle (hereinafter "GIE ThermoPrédalle"), which was primarily aimed at developing the "Thermoprédalles," an innovation developed by the parties consisting of a precast slab with integrated insulating blocks36. In the context of these...</w:t>
      </w:r>
    </w:p>
    <w:p>
      <w:r>
        <w:rPr>
          <w:b/>
        </w:rPr>
        <w:t>[Pages 22–24]</w:t>
      </w:r>
    </w:p>
    <w:p>
      <w:r>
        <w:t>meetings, the parties exchanged information regarding the sales volumes achieved with construction companies at the national level and by region, and set the sales quotas to be respected by region. The objective of this agreement was to share the projects in each of these regions, in order to respect the defined market shares and to try to maintain prices in the face of customer pressure, by defining pricing grids by regional market.</w:t>
      </w:r>
    </w:p>
    <w:p>
      <w:r>
        <w:t>43. Several employees of KP1 confirmed that discussions took place between the leaders of the companies KP1, Rector, and SEAC regarding market allocations at the national level, particularly within the framework of the GIE ThermoPrédalle meetings.</w:t>
      </w:r>
    </w:p>
    <w:p>
      <w:r>
        <w:t>44. The commercial director of KP1 responsible for the Ile-de-France region stated, regarding the national functioning of the agreement, that: "The balance between competitors is maintained continuously and not at each meeting. At the end of the year, it is the bosses who set the cursor. That is to say, they discuss past markets and those for the future. The quotas are set among the bosses unless one of them is dissatisfied. In fact, the participants in the meetings allocate the business according to the quotas that have been defined by the company leaders among themselves. But it is not at my level that this is decided (...) I know that [Rector] and [KP1] meet regularly both within the framework of the FIB and approximately monthly within the framework of a GIE in thermo precast slabs that also includes SEAC. (...)"</w:t>
      </w:r>
    </w:p>
    <w:p>
      <w:r>
        <w:t>45. The national commercial director of KP1 stated: "In his capacity as general director, Mr. A… [KP1] could not be unaware of the existence of the tables. I want to point out that he was present at the meetings held between the leaders, meetings that I mentioned during my previous hearing, including the GIE thermo-precast slab meetings, during which we discussed and exchanged information regarding the agreements."</w:t>
      </w:r>
    </w:p>
    <w:p>
      <w:r>
        <w:t>46. He also explained regarding the functioning of the practices and their geographical extent: "It was a chain: the general directors &amp; presidents met, then asked their commercial directors to meet, and these latter asked, in turn, their regional commercial directors to implement the agreement. (...) when I took over C2 [sales of precast concrete products to builders], in 2014, I was able to see that the practices were already established in the three aforementioned areas: West facade, Midi Pyrénées, PACA &amp; Rhône Alpes, Burgundy..."</w:t>
      </w:r>
    </w:p>
    <w:p>
      <w:r>
        <w:t>47. The elements in the file establish that prior to the holding of national meetings, the national commercial departments of KP1 and Rector collected the sales volumes achieved in each of the relevant regions and consolidated them into a summary table. Following the meetings organized at the national level, the national commercial department of KP1 could send to the relevant regional commercial directors the volumes achieved by each competitor, as well as the sales quotas for all the relevant regions. These tables could be used by the regional commercial directors during their meetings organized at the regional level to allocate clients and/or projects.</w:t>
      </w:r>
    </w:p>
    <w:p>
      <w:r>
        <w:t>48. KP1 and Rector provided the investigation services with Excel tables used by their national management to ensure the monitoring of sales volumes allocated to the members, covering periods from December 2010 to June 2018 for KP1 and from 2010 to 2017 for Rector. The two applicants for leniency specified that these tables contained codes to conceal the names of the companies and the content of the anticompetitive discussions, for which they provided the keys for interpretation:</w:t>
        <w:br/>
        <w:t>− the tables of KP1 contain the following code names: (i) "housing" designates KP1, (ii) "Tertiary" designates Rector, (iii) "Other Housing" or "Other Log" designates SEAC, (iv) "Liv" and "% Liv" designate the volumes announced by the operators and the corresponding market shares, (v) "% TH" designates the agreed theoretical quota, (vi) "PDC" and "% PDC" designate the orders taken and the corresponding market share, (vii) "PDC/TH" designates the measure of delay or advance on the agreed quotas;</w:t>
        <w:br/>
        <w:t>− the tables provided by Rector contain: (i) color codes to designate the companies (blue for KP1, red for Rector, and green for SEAC), (ii) a first line designates the volumes of precast slabs in thousands of m², (iii) the term "objective" designates the market shares agreed upon between the companies, (iv) the term "actual" designates the market shares in volume of precast slabs achieved by the companies, (v) the term "difference" designates the difference between the agreed and achieved market shares.</w:t>
      </w:r>
    </w:p>
    <w:p>
      <w:r>
        <w:t>49. The findings in the statement of objections show that the tables provided by KP1 relating to the year 2010 contain the same data as the tables provided by Rector for that same period regarding the sales volumes achieved, the agreed quotas, and the differences between the achieved market shares and the agreed quotas. The Authority observes that the same similarities are found in the tables transmitted by KP1 and Rector concerning other years.</w:t>
      </w:r>
    </w:p>
    <w:p>
      <w:r>
        <w:t>50. For example, the data recorded in the tables provided by KP1 corresponding to the cumulative data at the end of the year 2016 and at the end of January 2017 exactly match those recorded in the tables provided by Rector for those same periods.</w:t>
      </w:r>
    </w:p>
    <w:p>
      <w:r>
        <w:t>Extracts from the tables provided by KP1 corresponding to the months of December 2016 and January 2017.</w:t>
      </w:r>
    </w:p>
    <w:p>
      <w:r>
        <w:rPr>
          <w:b/>
        </w:rPr>
        <w:t>[Pages 25–27]</w:t>
      </w:r>
    </w:p>
    <w:p>
      <w:r>
        <w:t>Extracts from the tables communicated by Rector corresponding to the month of December 2016 (left column) and January 2017 (right column)54</w:t>
      </w:r>
    </w:p>
    <w:p>
      <w:r>
        <w:t>51. In addition to the exchanges on market allocations, the documents in the file also allow for the establishment of discussions on prices, in particular an agreement on the price of the ThermoPrédalle technology, which was to be sold for 1 euro (per m²) more than conventional precast slabs.</w:t>
      </w:r>
    </w:p>
    <w:p>
      <w:r>
        <w:t>52. The general director of KP1 indicated on this point that: "[i]t was true we had set a minimum level of common prices in order not to undervalue this technology. [...] We said that a thermo precast slab should be sold for 1 euro more than the normal precast slab. It is not a minimum price, but a differentiation. This minimum price of €44/ml only applies to the connectors which are a key element of the thermo precast slab technology. There is then an agreement on the principle of selling the thermo precast slab for 1 euro more than the normal precast slab."55.</w:t>
      </w:r>
    </w:p>
    <w:p>
      <w:r>
        <w:t>53. An internal exchange within KP1 dated May 20, 2015, reports discussions on the price of ThermoPrédalles within the GIE ThermoPrédalle: "[t]he official price of RECTOR is 44 euros/ml and this is what is stated in their footer. This is what I saw in the few quotes that the salespeople brought me and what I heard officially... So we will see in GIE... we will talk about it on Friday."56. Regarding this exchange, the national sales director of KP1 confirmed the existence of an agreement on the price of the ThermoPrédalle technology discussed within the GIE57.</w:t>
      </w:r>
    </w:p>
    <w:p>
      <w:r>
        <w:t>54. Another internal exchange within Rector dated October 6, 2017, with the subject "THPD concerns GIE agreement," indicates that KP1 positions the price of the ThermoPrédalle product "outside the agreement." In this exchange, the employee of Rector specifies that he must consequently lower the price of this product, as well as those of conventional precast slabs to maintain the consistency of his pricing policy. He requests that the subject be discussed at the next GIE58.</w:t>
      </w:r>
    </w:p>
    <w:p>
      <w:r>
        <w:t>b) On the implementation of the agreement at the regional level</w:t>
      </w:r>
    </w:p>
    <w:p>
      <w:r>
        <w:t>55. Regarding the implementation of the agreement at the regional level, the two leniency applicants specified that the practices were implemented over most of the national territory, according to characteristics and modalities that may have varied depending on the regions concerned. In particular, the meetings organized at the regional level could bring together other competitors than those participating in the meetings organized at the national level.</w:t>
      </w:r>
    </w:p>
    <w:p>
      <w:r>
        <w:t>56. The two leniency applicants indicated that the consultation meetings organized at the regional level were generally referred to as "Qualiprédal Meetings," which officially corresponds to a service offered by manufacturers in the sector to their clients, under the auspices of the Federation of Concrete Industry (hereinafter "FIB") and the French Building Federation (hereinafter "FFB")59. Two employees of KP1 confirmed that the term "Qualiprédal meetings" was used as a code to refer to consultation meetings between competitors60.</w:t>
      </w:r>
    </w:p>
    <w:p>
      <w:r>
        <w:t>57. The Qualiprédal meetings organized at the regional level aimed to allocate upcoming construction sites among competitors in order to respect the sales quotas listed in the national tables and to discuss prices61, as evidenced by the documents provided by KP1 in support of its leniency application:</w:t>
        <w:br/>
        <w:t>− an internal email from KP1 dated March 16, 2011, reports on a Qualiprédal meeting where sales quotas were discussed among competitors: "[o]n the other hand, I remind you that you asked me to let go a bit regarding my market shares in order to raise prices. This is what I did yesterday at the Qualiprédal meeting"62;</w:t>
        <w:br/>
        <w:t>− an internal email from KP1 dated October 24, 2012, reports on a construction site awarded to KP1, which was discussed during a Qualiprédal meeting: "[w]e had targeted this Qualiprédal site: we continue"63;</w:t>
        <w:br/>
        <w:t>− an internal email from KP1 dated October 3, 2013, states: "[w]here can I find the file containing the distribution of Qualiprédal volumes? The last file you sent me, unless I am mistaken, did not contain these distributions. We have a meeting tomorrow morning, where we will certainly address the subject"64;</w:t>
        <w:br/>
        <w:t>− an internal email from KP1 dated July 22, 2014, regarding the insufficient results of a KP1 salesperson indicates about this employee: "he expects too much from us and our Qualiprédal meetings thinking that it is up to us to 'wrap everything up' in advance: that is not how business works"65;</w:t>
        <w:br/>
        <w:t>− an internal email from KP1 dated February 11, 2015, states: "[e]liminating regional rates, in some regions, that have been in place for decades cannot be done without calling into question the Qualiprédal meetings"66;</w:t>
        <w:br/>
        <w:t>− an internal email from KP1 dated October 21, 2016, states: "as I wrote to you in another email, they are now fighting over 18.50 confirmed in Qualipredal. See the attached email. I have a meeting next week, I will have more information on the price levels for the few ongoing housing operations"67;</w:t>
        <w:br/>
        <w:t>− an internal email from KP1 dated October 23, 2017, regarding the CHU Le Mans market lost by KP1 to Rector states: "[I] am forwarding you this email below because it is important that you have this information regarding the next QualiPrédalle meeting. (I do not know if it is on Monday) We will therefore no longer have any complaints to hear. This is the 'famous' big file of CHU Le Mans. So lost!"68.</w:t>
      </w:r>
    </w:p>
    <w:p>
      <w:r>
        <w:t>58. According to KP1, the implementation of the practices could differ by region:</w:t>
        <w:br/>
        <w:t>− in Aquitaine, Brittany, Pays de la Loire, and Centre-Val de Loire, they were implemented, at least from 2008, by KP1, Rector, and SEAC in particular, and concerned precast slabs in particular;</w:t>
        <w:br/>
        <w:t>− in Midi-Pyrénées and Languedoc-Roussillon, they were implemented, at least from 2009, by KP1, Rector, and SEAC in particular, and concerned precast slabs;</w:t>
        <w:br/>
        <w:t>− in Rhône-Alpes, Auvergne, and Provence-Alpes-Côte d’Azur, the practices were implemented, at least from 2009, by KP1, Rector, and SEAC and concerned precast slabs;</w:t>
      </w:r>
    </w:p>
    <w:p>
      <w:r>
        <w:rPr>
          <w:b/>
        </w:rPr>
        <w:t>[Pages 28–30]</w:t>
      </w:r>
    </w:p>
    <w:p>
      <w:r>
        <w:t xml:space="preserve">− in Ile-de-France, practices concerning precast slabs were implemented, starting in 1996 or 1997 by A2C (directly or through the company Corbeil Prédal, acquired in the early 2000s), KP1, Rector, SLM, and Soprel; whereas those concerning hollow-core slabs were implemented, at least from 2008, by A2C, FB, IB, KP1, Soprel, and Strudal;  </w:t>
        <w:br/>
        <w:t xml:space="preserve">− in the North and Normandy, they were implemented, at least from 2012, by A2C, KP1, Rector, and Soprel and concerned precast slabs69.  </w:t>
        <w:br/>
        <w:t xml:space="preserve">59. According to Rector:  </w:t>
        <w:br/>
        <w:t xml:space="preserve">− in the "Ile-de-France - North" region, practices were implemented by A2C, KP1, Rector, SLM, and Soprel between 2008 and 2018;  </w:t>
        <w:br/>
        <w:t xml:space="preserve">− in the "South-East" (Provence-Alpes-Côte d’Azur – Rhône-Alpes – Auvergne – Burgundy), they were implemented by KP1, Rector, and SEAC between 2008 and 2018;  </w:t>
        <w:br/>
        <w:t xml:space="preserve">− in the Languedoc-Roussillon and Midi-Pyrénées regions, they were implemented by KP1, Rector, and SEAC in particular, between 2008 and 2018;  </w:t>
        <w:br/>
        <w:t xml:space="preserve">− in Aquitaine, they were implemented by KP1, Rector, and SEAC between 2008 and 2018;  </w:t>
        <w:br/>
        <w:t xml:space="preserve">− in the "West" (Brittany, Pays de la Loire, Centre, and Poitou-Charentes), they were implemented by KP1, Rector, and SEAC in particular70.  </w:t>
        <w:br/>
        <w:t xml:space="preserve">On the implementation of the agreement at the level of Ile-de-France and certain neighboring regions (Normandy, Champagne-Ardenne)  </w:t>
        <w:br/>
        <w:t xml:space="preserve">60. The elements of the file attest to the existence of exchanges concerning the allocation of construction sites and the application of minimum prices on precast concrete products marketed to construction companies in Ile-de-France and certain neighboring regions. These exchanges between competitors were organized within the framework of multilateral meetings, called "tables," and also gave rise to numerous bilateral contacts between the participants.  </w:t>
        <w:br/>
        <w:t xml:space="preserve">61. The two leniency applicants confirmed that the national agreement had been implemented at the level of the Ile-de-France and North, Normandy, and Champagne-Ardenne regions by A2C, KP1, Rector, SLM, and Soprel, with a view to allocating markets and agreeing on minimum price grids concerning precast slabs. The first leniency applicant also denounced an additional agreement on market allocations and prices of hollow-core slabs between A2C, FB, IB, KP1, Soprel, and Strudal in Ile-de-France.  </w:t>
        <w:br/>
        <w:t xml:space="preserve">62. Several other companies acknowledged having participated in the practices while attempting to limit their liability, the nature of the information exchanged during the meetings, and the duration of their participation.  </w:t>
        <w:br/>
        <w:t xml:space="preserve">63. In its written submissions in response to the report, SLM indicated that it had "decided to cease participating in the practices in 2003, only to return to them, under pressure from its competitors in May 2008," specifying that its last participation in an anticompetitive meeting dated back to February 11, 201671.  </w:t>
        <w:br/>
        <w:t xml:space="preserve">69 References 26-27, VNC 4437, referral no. 18/0161 AC.  </w:t>
        <w:br/>
        <w:t xml:space="preserve">70 References 40 to 42, referral no. 18/0166 AC.  </w:t>
        <w:br/>
        <w:t xml:space="preserve">71 Reference 37 333.  </w:t>
        <w:br/>
        <w:t>28</w:t>
      </w:r>
    </w:p>
    <w:p>
      <w:r>
        <w:t xml:space="preserve">64. When questioned about the existence of meetings in the precast slab sector, the operational director of A2C acknowledged having participated in two meetings in July and October 2018, concerning the application of a price grid for precast slabs authored by his company A2C72. While A2C contested having discussed market allocation during the 2018 meetings, it acknowledged that "certain things were happening" until 201473.  </w:t>
        <w:br/>
        <w:t xml:space="preserve">On the exchange of information on prices and the application of minimum price grids  </w:t>
        <w:br/>
        <w:t xml:space="preserve">65. The elements in the file attest to the existence of minimum price grids on precast concrete products and exchanges of information on the prices of these products between competitors.  </w:t>
        <w:br/>
        <w:t xml:space="preserve">66. Firstly, a price grid on precast slabs was seized by the agents of the BRDE in the cases of the operational director of Soprel74 and the director of Hauts-de-France/Normandy of KP175 during a multilateral meeting between A2C, KP1, Rector, and Soprel at the Mercure hotel in Roissy on October 25, 2018.  </w:t>
        <w:br/>
        <w:t xml:space="preserve">67. This price grid was prepared by the operational director of A2C on June 19, 2018, and modified on June 21, 201876. He confirmed during his hearing that he was its author77.  </w:t>
        <w:br/>
        <w:t xml:space="preserve">68. The commercial director of Ile-de-France of KP1 confirmed that this grid had been established by A2C, which "took an old grid that was updated"78 and had been distributed to all participants, in April or July 2018, "in order to maintain minimum prices on precast slabs below which we should not go"79.  </w:t>
        <w:br/>
        <w:t xml:space="preserve">69. In the same vein, the commercial director of Hauts-de-France/Normandy of KP1 confirmed that "by handing over this document, the person from A2C requested that the present companies not go below a recommended minimum price"80 and explained, regarding the content of this grid, that "for each type of precast slab, a minimum price appears"81. The president of KP1 stated: "I knew that there were exchanges to set a price grid below which companies should not sell their products."82.  </w:t>
        <w:br/>
        <w:t xml:space="preserve">70. Several versions of price grid tables for precast slabs were seized at A2C. Their analysis shows that this grid has existed at least since 2000. The file  </w:t>
        <w:br/>
        <w:t xml:space="preserve">72 Reference 2 304, VNC 13328.  </w:t>
        <w:br/>
        <w:t xml:space="preserve">73 Reference 2035, VNC 13329.  </w:t>
        <w:br/>
        <w:t xml:space="preserve">74 Reference 12825.  </w:t>
        <w:br/>
        <w:t xml:space="preserve">75 Reference 5436.  </w:t>
        <w:br/>
        <w:t xml:space="preserve">76 References 6400, 6401, 6446 to 6449 and 28723.  </w:t>
        <w:br/>
        <w:t xml:space="preserve">77 Reference 2304, VNC 13328.  </w:t>
        <w:br/>
        <w:t xml:space="preserve">78 Reference 2365, VNC 13283.  </w:t>
        <w:br/>
        <w:t xml:space="preserve">79 References 2358-2359, VNC 13276-13277.  </w:t>
        <w:br/>
        <w:t xml:space="preserve">80 Reference 2387, VNC 13244.  </w:t>
        <w:br/>
        <w:t xml:space="preserve">81 Reference 2395, VNC 13252.  </w:t>
        <w:br/>
        <w:t xml:space="preserve">82 Reference 2668, VNC 13348.  </w:t>
        <w:br/>
        <w:t>29</w:t>
      </w:r>
    </w:p>
    <w:p>
      <w:r>
        <w:t xml:space="preserve">"TABPRIX predalles 2017.xls" shows the upward evolution of prices for precast slabs between 2000 and 201783.  </w:t>
        <w:br/>
        <w:t xml:space="preserve">71. Several elements of the file attest to the existence of an agreement on a price grid for precast slabs in the past.  </w:t>
        <w:br/>
        <w:t xml:space="preserve">72. A recording of a telephone exchange between A2C and Soprel relating to a multilateral meeting organized on June 21, 2018, at Gare de Lyon (in Paris) mentions the application of a price grid in 200784.  </w:t>
        <w:br/>
        <w:t xml:space="preserve">73. The handwritten notes of the commercial director of Ile-de-France of KP1 refer to a meeting of the FIB on May 15, 2008, with a mention "mini-treaty" followed by a price grid.  </w:t>
        <w:br/>
        <w:t xml:space="preserve">74. The notes taken by the general director of A2C on January 31, 2014, in his agenda, titled "% precast slabs," contain mentions of "price levels / price grid" and refer to an appointment between A2C, Rector, and SLM on February 18, 201485.  </w:t>
        <w:br/>
        <w:t xml:space="preserve">75. The national commercial director of KP1 also stated that he participated in a meeting between the end of 2014 and the beginning of 2015, accompanied by the commercial director of Ile-de-France of KP1, during which the only topic discussed was "to set a minimum price level for precast slabs"86. He also stated: "[i]t is something repeated to meet with competitors to try to maintain a minimum price level. That is the objective: to ensure that prices do not drop too much."87  </w:t>
        <w:br/>
        <w:t xml:space="preserve">76. Secondly, the searches conducted on October 25, 2018, allowed for the seizure of elements relating to the application of a price grid on hollow-core slabs.  </w:t>
        <w:br/>
        <w:t xml:space="preserve">77. Several versions of the price grid for hollow-core slabs were seized at the premises of Soprel, including one version of the file "Grille DAP 2016 11 V2 EXT.xlsx," created on January 22, 2013, and last modified on March 28, 201888.  </w:t>
        <w:br/>
        <w:t xml:space="preserve">78. Regarding the origins of this price grid, the commercial director of Ile-de-France of KP1 stated: "[i]t is a price grid for the markets of hollow-core slabs that dates back about 12 or 13 years. This grid was established so that minimum prices are respected." He also specified that Strudal was the origin of this price grid and that it had been transmitted to A2C, FB, IB, KP1, and Soprel89.  </w:t>
        <w:br/>
        <w:t xml:space="preserve">79. In an email exchange on April 5, 2018, the commercial director of Ile-de-France of KP1 transmitted the price grid for hollow-core slabs to the operational director of A2C, who confirmed his intention to apply it: "[n]o problem, I will digest it and I will pass it on to the salespeople next week"90.  </w:t>
        <w:br/>
        <w:t xml:space="preserve">83 References 6397, 6398, and 6402.  </w:t>
        <w:br/>
        <w:t xml:space="preserve">84 Reference 166.  </w:t>
        <w:br/>
        <w:t xml:space="preserve">85 Reference 12136.  </w:t>
        <w:br/>
        <w:t xml:space="preserve">86 References 2764-2765, VNC 13145, 27283.  </w:t>
        <w:br/>
        <w:t xml:space="preserve">87 Reference 2764, VNC 13144.  </w:t>
        <w:br/>
        <w:t xml:space="preserve">88 References 6915 and 13474, VNC 28569.  </w:t>
        <w:br/>
        <w:t xml:space="preserve">89 Reference 2360, VNC 13278.  </w:t>
        <w:br/>
        <w:t xml:space="preserve">90 Reference 6626.  </w:t>
        <w:br/>
        <w:t>30</w:t>
      </w:r>
    </w:p>
    <w:p>
      <w:r>
        <w:rPr>
          <w:b/>
        </w:rPr>
        <w:t>[Pages 31–33]</w:t>
      </w:r>
    </w:p>
    <w:p>
      <w:r>
        <w:t>80. This price grid was sent by the national commercial director of KP1 to three regional commercial directors of KP1 on April 6, 2018, with an attached map indicating where these rates were to be applied. These include the departments of the regions Ile-de-France, Normandy (Lower and Upper), Picardy, Centre, Burgundy (except Saône-et-Loire), and Champagne-Ardenne (except the Ardennes), as well as the department of Sarthe91. A map of France identifying the same departments with a handwritten note "table sector" was seized from the files of the operational director of Soprel92.</w:t>
      </w:r>
    </w:p>
    <w:p>
      <w:r>
        <w:t>81. The national commercial director of KP1 stated regarding this email: "I saw this grid during the meeting of understanding held on hollow-core slabs: at this meeting, besides myself and Mr. J... [the commercial director of Ile-de-France of KP1], perhaps even Mr. K... [the commercial director North/Normandy of KP1], the representatives of the companies A2C (Mr. L...), SOPREL (Mr. M...), IB, and STRUDAL participated. Subject to all reservations, it seems to me that this meeting took place at the end of 2017 - beginning of 2018, in premises located in the Gare de Lyon in Paris. The grid exchanged on this occasion among the participants reported minimum selling prices by thickness of slabs: it was one of the participants who produced... this grid must date from the end of March / beginning of April 2018. During the meeting I referred to earlier, the grid had been communicated, I no longer know at whose initiative, in digital format. By the email of April 6, 2018, which you just read to me, I understand that I had taken care to transmit its content to the attention of the commercial directors of the concerned areas, namely part of the Centre, attached to the West façade (...), as well as North Normandy - Picardy (...) and Ile-de-France (...)."93</w:t>
      </w:r>
    </w:p>
    <w:p>
      <w:r>
        <w:t>82. During an intercepted call on June 13, 2018, the operational director of Soprel informed the general director of FB of an anticompetitive agreement on the price grid of hollow-core slabs: "after all the multiple and varied movements at Strudal, we have more or less all agreed again (...) today we have returned to the starting grid. So we recalculate... we put back on offer the grid that had been set at the time."94</w:t>
      </w:r>
    </w:p>
    <w:p>
      <w:r>
        <w:t>83. Thirdly, the elements of the file show that other products related to precast slabs and hollow-core slabs were involved in price exchanges between competitors. In an email dated July 31, 2014, the commercial director of Ile-de-France of KP1 indicated: "The prices charged for the tubes (safety) are €2.8 at Strudal and €3 at Soprel!! Recently, we have decided within the profession to raise this price to €4 with the long-term target of reaching €5!!! So in accordance with the agreements of the profession (except SEAC and CGM) this price must be €4 today."95</w:t>
      </w:r>
    </w:p>
    <w:p>
      <w:r>
        <w:t>84. Fourthly, the SMS messages and the recording of several phone conversations initiated from or to the phone lines of Mr. L... (A2C), Mr. J... (KP1), and Mr. M... (Soprel) attest to numerous exchanges among the participants of the consultation meetings regarding the prices proposed by each of them during the consultations launched by construction companies and the application of a price grid:</w:t>
        <w:br/>
        <w:t>− messages from Soprel to A2C on November 13, 2017: "why are you doing from €20 to €33?? Eiffage Lognes. Even for 100,000 m² in 20 I do €36.5. + handling... STOP THE LOW PRICES." Response from A2C: "If you want me to give you the list of sites I lost at those prices... Or the TAM site even though you are full you make me lower by €2 and I did not reproach you. So STOP giving lessons!"96;</w:t>
        <w:br/>
        <w:t>− message from February 15, 2018 from Soprel to KP1: "A2C has €38 in DAP24 at 3.. ! Everything is fine he is raising his prices well!"97;</w:t>
        <w:br/>
        <w:t>− messages from March 20, 2018 from KP1 to Soprel: "[i]t's you Safran with GA."98 Response from Soprel: "[o]yes why! The prices are not on the grid?"99;</w:t>
        <w:br/>
        <w:t>− exchange between Soprel and A2C on June 19, 2018: "[I] am willing to make a new price grid and then I told him 'however it is up to you, the bosses there (...), to decide that now no one goes below these prices.'"100;</w:t>
        <w:br/>
        <w:t>− exchange on June 21, 2018 between A2C and SLM: "I [A2C] see N... [President of SLM] tomorrow. (...) To give him a price grid."101;</w:t>
        <w:br/>
        <w:t>− exchange on July 24, 2018 between KP1 and Soprel: "for the prices, for the prices, I, generally in Normandy, I start uh the 5 around €21.80 so it was quite homogeneous compared to the grid too."102;</w:t>
        <w:br/>
        <w:t>− exchange on August 6, 2018 between Soprel and Strudal: "first price... above the grid so that KP1 has room."103;</w:t>
        <w:br/>
        <w:t>− exchange on September 13, 2018 between KP1 and Soprel: "O... [Mr. O...: IB] he called me, but it was for something else but I still asked him the question... So I told him you respond to GEA, he told me: 'I cannot not respond.' And so he did say 50 to SINOR. He tells me that in hollow-core, he will respond to the grid plus transport."104;</w:t>
        <w:br/>
        <w:t>− exchange on September 14, 2018 between Soprel and FB: "after all the multiple and varied movements at Strudal, we have more or less all agreed again for... without talking about market sharing (...) today we have returned to the starting grid. So we recalculate... we put back on offer the grid that had been set at the time (...) Everyone, everyone is playing rather the Game. Except... except A2C who... who said, he said at the beginning 'no, but in a way, I do not want... there you go' and then afterwards he said I will apply the grid if there is a grid."105</w:t>
      </w:r>
    </w:p>
    <w:p>
      <w:r>
        <w:t>On market allocations</w:t>
      </w:r>
    </w:p>
    <w:p>
      <w:r>
        <w:t>85. A former employee of Rector explained the operating modalities of the agreement on market allocations in Ile-de-France: "Each in turn, the people present around the table 'claim' a site. (...) During the 'tables', each brings their documents (purchase orders, site sheets, professional laptops. The Excel tables are modified according to the round table and the discussions that take place among the representatives of the companies."106</w:t>
      </w:r>
    </w:p>
    <w:p>
      <w:r>
        <w:t>86. The commercial director of Ile-de-France of KP1 confirmed the existence of market allocations during the round tables, which he described the operating modalities of107. He specified that the parties allocated the sites based on quotas, in order to maintain a certain equity among them108 and clarified that KP1 had already submitted coverage offers, in order to allow the designated company to win the market that had been allocated to it during the round table109.</w:t>
      </w:r>
    </w:p>
    <w:p>
      <w:r>
        <w:t>87. Tracking tables of market allocations from 2006 to 2018, opened on the computer of the operational director of Soprel, were seized during the multilateral meeting of October 25, 2018110. According to the minutes of partial findings of the BRDE, one of these files lists various cities, markets, and their allocations among competitors, their location, as well as observations on the prices charged and the companies holding the markets. For example, on one of the lines of this table relating to a market...</w:t>
      </w:r>
    </w:p>
    <w:p>
      <w:r>
        <w:rPr>
          <w:b/>
        </w:rPr>
        <w:t>[Pages 34–36]</w:t>
      </w:r>
    </w:p>
    <w:p>
      <w:r>
        <w:t>on Rouen, it is noted "KP1 so that they have something on this site!"111. These tables include columns "affec pre" (for "precast allocation")112 and "affec dap" (for "hollow slab allocation")113 with numbers 2, 4, and 6 on the projects assigned between November 25, 2009, and June 25, 2015.</w:t>
      </w:r>
    </w:p>
    <w:p>
      <w:r>
        <w:t>88. One of the files was open on the computer in front of the operational director of Soprel at the time of the search on October 25, 2018, as evidenced by reference 2204:</w:t>
      </w:r>
    </w:p>
    <w:p>
      <w:r>
        <w:t>89. The operational director of Soprel stated that he completed this table based on information provided by his competitors: "[t]hese pieces of information are provided to me by my competitors. I take advantage of meetings (...) to complete this personal table, particularly to know who won certain contracts."114</w:t>
      </w:r>
    </w:p>
    <w:p>
      <w:r>
        <w:t>90. The seized elements relating to multilateral meetings, as well as numerous recordings of telephone exchanges, of which non-exhaustive examples are reproduced below, refer to market allocations:</w:t>
        <w:br/>
        <w:t>− message from FB to Soprel on December 16, 2016: "[i]n case the Urma site contacts you for a level please do not respond. I have added a markup. Have a good weekend."115;</w:t>
        <w:br/>
        <w:t>− messages between KP1 and Soprel from September 13, 2017:</w:t>
        <w:br/>
        <w:t>message from KP1: "[w]e really need to say which deal you targeted and we will look";</w:t>
        <w:br/>
        <w:t>response from Soprel: "and St Germain en Laye GAGNERAUD, take the beams and leave me the slabs; GCC I am not targeting!! You can go for it!!!";</w:t>
        <w:br/>
        <w:t>− messages between KP1 and Soprel from September 26, 2017:</w:t>
        <w:br/>
        <w:t>message from KP1: "framework (...) Where? there is the installation";</w:t>
        <w:br/>
        <w:t>response from Soprel: "CROISSY yes with the installation! Meeting";</w:t>
        <w:br/>
        <w:t>response from KP1: "Ah damn if there is the installation! It's for 2018; Forbidden for him to take it in order.; We will leave it for Strudal."116;</w:t>
        <w:br/>
        <w:t>− recording of a telephone exchange between the operational director of Soprel and the operational director of A2C on June 19, 2018:</w:t>
        <w:br/>
        <w:t>"Me [A2C] I am in charge of contacting SLM and you [Soprel], to say we meet Thursday, Gare de Lyon, are you interested in coming? I will be very frank with them, I will say here is the price grid, either you guarantee me that you play the game with this grid, and in that case I am willing to talk about the ... big deals and that ... and then you get involved in the big deals. No problem there (...) we talk about the big files and we can share them, but we announce the files."117;</w:t>
        <w:br/>
        <w:t>− recording of a telephone exchange on September 13, 2018, between Soprel and FB:</w:t>
        <w:br/>
        <w:t>"In fact, what I propose to you is that I [Soprel], will probably redo a joint response with KP1, but the idea would be to say, in fact, you... you told me that you would like to recover 20 or 30,000, the idea I propose is that you do not make a response today, but that we commit to you having between 20 and 30,000 to do."118;</w:t>
        <w:br/>
        <w:t>− recording of a telephone exchange between Soprel and Strudal on July 25, 2018:</w:t>
        <w:br/>
        <w:t>"I still stick to what we say... (...) at first this deal was with IB. IB since he was fired, went to take another deal, we said nothing so I am fine, but if we call each other, there are deals, we say yeah I leave it to you, I leave it to you, but at some point, I have to take a deal too."119.</w:t>
      </w:r>
    </w:p>
    <w:p>
      <w:r>
        <w:t>On multilateral meetings</w:t>
      </w:r>
    </w:p>
    <w:p>
      <w:r>
        <w:t>♦ On the meetings between A2C, KP1, Rector, SEAC, SLM, and Soprel</w:t>
      </w:r>
    </w:p>
    <w:p>
      <w:r>
        <w:t>91. The elements of the file attest to the existence of numerous multilateral meetings between A2C, KP1, Rector, SEAC, SLM, and Soprel.</w:t>
      </w:r>
    </w:p>
    <w:p>
      <w:r>
        <w:t>92. First, a notebook belonging to the commercial director of the Ile-de-France region of KP1 was seized in the meeting room at the Mercure hotel in Roissy on October 25, 2018120. Dated references appear on the pages of this notebook. The first recorded corresponds to July 10, 2003, the last to October 17, 2018. This notebook includes, in particular, lists of projects accompanied by estimates corresponding to numbers circled at the end of the line ranging from 1 to 6. This system continues until May 15, 2008121. On this date, the numbers are replaced by letters namely K (for KP1), R (for Rector), C (for Corbeil Prédal which became A2C), or directly by mentions of the companies A2C, SEAC, SLM, and Soprel122.</w:t>
      </w:r>
    </w:p>
    <w:p>
      <w:r>
        <w:t>93. When questioned about the meaning of these letters, the commercial director of Ile-de-France of KP1 indicated that these notes were taken during cartel meetings: "[t]hese are allocations of business on ongoing matters. As an employee of KP1 when I ask for the matter to be marked K for example, during the meeting, I express my wish to take a matter. At this kind of meeting, we do a round table where we put forward what we want according to our preferences. (...) I knew these meetings were illegal, but I was obliged to go and participate."123</w:t>
      </w:r>
    </w:p>
    <w:p>
      <w:r>
        <w:t>94. The handwritten notes from the notebook of the commercial director of Ile-de-France of KP1 notably mention:</w:t>
        <w:br/>
        <w:t>− meetings on September 22 and 25, 2003, November 5 and 24, 2003, January 6 and 13, 2004, December 17, 2004, January 20, 2005, March 1, 2005, and May 3, 2005 described in paragraphs 261 to 340 of the statement of objections124;</w:t>
        <w:br/>
        <w:t>− a FIB meeting on May 15, 2008, between A2C, KP1, Rector, SEAC, SLM, and Soprel with a mention "mini-treaty" followed by a price grid;</w:t>
        <w:br/>
        <w:t>− a meeting on May 27, 2008, including a list of 28 contracts, of which 7 are assigned to "K", 9 to "R", 7 to "C" (including 1 jointly with "SEAC") and 1 contract is assigned to "1" ("free" according to KP1125). Next to certain contracts, it is noted "free"; next to the contract "Hanny Lieusaint 1000m²" assigned to "C" and "SEAC" it is noted "lost". The notes are taken in pencil and updates are made in red pen to confirm the order of an assigned contract or indicate that it has been "lost". Next to the contract "LMP Quincy sous Senard 1500m² (Dubourd)", it is noted "grid (AO)". KP1 confirmed that the letters "K", "R", and "C" correspond respectively to KP1, Rector, and A2C126.</w:t>
      </w:r>
    </w:p>
    <w:p>
      <w:r>
        <w:rPr>
          <w:b/>
        </w:rPr>
        <w:t>[Pages 37–39]</w:t>
      </w:r>
    </w:p>
    <w:p>
      <w:r>
        <w:t>− a meeting on September 15, 2008, including a list of 42 contracts127, of which 8 are awarded to "K", 7 to "R", 4 to "C", and 1 to A2C. KP1 confirmed that the letters "K", "R", and "C" correspond respectively to KP1, Rector, and A2C128;</w:t>
      </w:r>
    </w:p>
    <w:p>
      <w:r>
        <w:t>− a meeting on November 26, 2008, including a list of 36 contracts129, of which 10 are awarded to "K", 8 to "R", 4 to "C", and 1 to "JC". The notes also contain information regarding the prices applied by competitors. Thus, it is noted: "SLM complains -&gt; KP1 at 21.50"; "Mini treated at €25 in 6 / 23.8 in 5"; "ep. 6 → 26 / 24.80 in ep.5→6m"; "&gt;500 to 600 → 27 to 27.50 (01.5) or &gt;7m". KP1 confirmed that the letters "K", "R", and "C" correspond respectively to KP1, Rector, and A2C and that the initials "JC" refer to the operations director of SLM130.</w:t>
      </w:r>
    </w:p>
    <w:p>
      <w:r>
        <w:t>− an undated meeting, which took place between the meetings of November 26, 2008, and February 18, 2009131, including a list of 59 contracts with their volumes and the allocation code, of which 15 were awarded to "K", 17 to "R", 5 to "C", 6 to Soprel, and 4 to "JC" (initials of the representative of SLM132). KP1 confirmed that the letters "K", "R", and "C" correspond respectively to KP1, Rector, and A2C and that the initials "JC" refer to the operations director at SLM133. Regarding certain contracts, after the allocation code, it is noted "lost" with the name of the company that obtained the contract. For certain contracts, it is noted "free" and for others, after their allocation, a price is marked. For example, for the contract "BY prison Peau 15000 inverse → 37000m²" it is noted "26 in 6 floor" or for the contract "Petit Komus (…) 22000m² “K” 24.20 in 5" or for the contract "legendre Bx at Montevin 7300 “R” 25.40 in 6". KP1 confirmed that the letters "K", "R", and "C" correspond respectively to KP1, Rector, and A2C and that the initials "JC" refer to the operations director of SLM;</w:t>
      </w:r>
    </w:p>
    <w:p>
      <w:r>
        <w:t>− an undated meeting, which took place between the meetings of February 18, 2009, and April 7, 2009, including a list of 36 contracts of which 7 were awarded to "K", 10 to "R", 5 to "C", 3 to "JC", and 2 to "S"134. KP1 confirmed that the letters "K", "R", "C", and "S" correspond respectively to KP1, Rector, A2C, and Soprel and that the initials "JC" refer to the operations director at SLM135;</w:t>
      </w:r>
    </w:p>
    <w:p>
      <w:r>
        <w:t>− an undated meeting, which took place between the meetings of April 22, 2009, and June 17, 2009, including a list of 37 contracts shared between "K" (6 contracts), "R" (7 contracts), "C" (4 contracts), "JC" (7 contracts), and "Soprelem" (1 contract)136. For certain contracts, it is indicated that they are free, for others after the note indicating their allocation to a company, it is noted "lost". KP1 confirmed that the letters "K", "R", and "C" correspond respectively to KP1, Rector, and A2C and that the initials "JC" refer to the operations director at SLM137;</w:t>
      </w:r>
    </w:p>
    <w:p>
      <w:r>
        <w:t>− a meeting on June 25, 2009, including a list of 37 contracts, of which 9 were awarded to "K", 7 to "R", 4 to "C", and 5 to "S"138. KP1 indicated that the letters "K", "R", "C", and "S" correspond to KP1, Rector, A2C, and Soprel139;</w:t>
      </w:r>
    </w:p>
    <w:p>
      <w:r>
        <w:t>− an undated meeting, which took place between the meetings of June 25, 2009, and November 9, 2009, including two tables, showing the initials or names of the companies A2C, KP1, Rector, SEAC, SLM, and Soprel. According to KP1, the first table summarizes the production capacities that each company highlighted at the beginning of the meeting and served for the allocation of contracts thereafter. The second table corresponds to the percentage distribution among the different companies. These figures vary from one line to another for the same company as the percentages evolve based on negotiations between the companies during the meeting. The final percentage allocated corresponds to the last line140. The rest of the notes is a table with seven columns over two pages: one column dedicated to the contract with the client's name and volume, five columns dedicated to the companies sharing the contracts (A2C, K, R, SLM, Sop), a star is placed next to the contract in the column of the awarding company, and a last column with comments. The volumes of SEAC were discussed at the beginning of the meeting;</w:t>
      </w:r>
    </w:p>
    <w:p>
      <w:r>
        <w:t>− an undated meeting, which took place between the meetings of December 14, 2009, and February 3, 2010, including information on prices141 and a list of 89 contracts with their volumes, the client's name, and their allocation to K (13 contracts), R (17 contracts), A2C (25 contracts), Soprelem (6 contracts), SLM (11 contracts), or SEAC (14 contracts). At the end of this table is a summary of the business volumes achieved by the 6 competitors.</w:t>
      </w:r>
    </w:p>
    <w:p>
      <w:r>
        <w:t>95. Secondly, the elements of the file show that starting from 2011, the operations director of A2C served as secretary, keeping an Excel table summarizing the discussions, a copy of which was given to the participants142.</w:t>
      </w:r>
    </w:p>
    <w:p>
      <w:r>
        <w:t>96. KP1 produced Excel tables, titled "TABLEAU RELANCE AFFAIRES"143, prepared by the operations director of A2C and summarizing the distribution of construction sites and volumes among the companies participating in the regional meetings on precast slabs in Ile-de-France, over a period from February 9, 2011144 to November 6, 2014145. These tables contain columns on the identity of the client, the name of the site, the department, the total volume (marked with red or blue color code), the volumes in hollow-core slabs and beams, the price of precast slabs, and columns titled 1, 2, 3, 4, and 5146. The mention "Rector leaves this site to A2C" appears next to a line related to the site "LMP" located in Choisy-Le-Roi147. The mention "notify that we are going to take it" appears next to a line related to the site "UNIVERSITE DE CERGY NEUVILLE SUR OISE" on a sheet dated June 10, 2013148.</w:t>
      </w:r>
    </w:p>
    <w:p>
      <w:r>
        <w:t>97. At the end of each table is a follow-up of the market shares of companies 1, 2, 3, 4, and 5, with a calculation of the differential between the market shares achieved and the market shares for the "awarded" sites. The mentions "attribs kotas" and/or "cds kota", referring to the market shares agreed upon between the parties, are expressly noted on the sheets dated from October 16, 2013149 to September 16, 2014150. KP1 identified the companies corresponding to the numbered columns: the numbers 1 to 5 designate respectively KP1, Rector, A2C, SLM, and Soprel (from July 2013).</w:t>
      </w:r>
    </w:p>
    <w:p>
      <w:r>
        <w:t>98. Identical tables were seized from Soprel and A2C:</w:t>
        <w:br/>
        <w:t>− an Excel file, titled "tab affaires 2012.xls"151, consisting of 30 tabs was thus seized in the affairs of the operations director of Soprel. The tabs bear dates from February 8, 2011, to June 11, 2013. The exploitation of the metadata of this Excel file confirms that this file was created on February 10, 2005, and last modified on July 19, 2013, by the operations director of A2C152.</w:t>
        <w:br/>
        <w:t>− paper versions of these same tables, containing handwritten notes, were seized in the office of the operations director of A2C with dates ranging from October 16, 2013, to April 16, 2014153.</w:t>
      </w:r>
    </w:p>
    <w:p>
      <w:r>
        <w:t>99. The tables communicated by the leniency applicant, most of which were also seized among the documents from Soprel and A2C, attest to the existence of 15 meetings between KP1, Rector, A2C, and SLM between February 9, 2011, and June 11, 2013154 and 11 meetings between July 19, 2013, and November 6, 2014, between KP1, Rector, A2C, SLM, and Soprel155.</w:t>
      </w:r>
    </w:p>
    <w:p>
      <w:r>
        <w:rPr>
          <w:b/>
        </w:rPr>
        <w:t>[Pages 40–42]</w:t>
      </w:r>
    </w:p>
    <w:p>
      <w:r>
        <w:t>100. Thirdly, several other handwritten notes, emails, and SMS exchanges attest to the holding of other multilateral meetings between December 19, 2013, and February 11, 2016:</w:t>
        <w:br/>
        <w:t>− an email dated January 29, 2014, sent by KP1 to representatives of A2C, Rector, SLM, Soprel, and FIB reporting on a Qualiprédal meeting held on December 19, 2013, and planning another meeting on February 4, 2014, at the Novotel hotel in the 15th arrondissement of Paris156. The notes of the president of A2C, taken in his agenda on February 4, 2014, confirm that the subject of this meeting was notably about the "price of precast slabs"157;</w:t>
        <w:br/>
        <w:t>− the notes taken by the president of A2C in his 2014 agenda indicate a meeting scheduled for February 18, 2014, between A2C, Rector, and SLM regarding a "price level / price grid"158;</w:t>
        <w:br/>
        <w:t>− a handwritten page on Hôtels Mercure letterhead indicates a meeting on February 11, 2016, between A2C, KP1, Rector, SLM, and Soprel. These notes include information on the market shares of these 5 companies and their average selling prices159.</w:t>
      </w:r>
    </w:p>
    <w:p>
      <w:r>
        <w:t>101. Fourthly, the elements of the file show that 4 anticompetitive meetings took place between A2C, KP1, Rector, and Soprel during the year 2018.</w:t>
      </w:r>
    </w:p>
    <w:p>
      <w:r>
        <w:t>102. On June 19, 2018, a first meeting was held between A2C, KP1, and Rector at the Mercure Paris Porte d'Orléans hotel160.</w:t>
      </w:r>
    </w:p>
    <w:p>
      <w:r>
        <w:t>103. Regarding the subject of this meeting, the general director of KP1 stated: "We discussed the possibility of raising prices in Ile-de-France. We talked about the desire to increase prices and generally that the operational staff should be in contact... There was a meeting at the Mercure hotel on another subject, the steering committee of the GIE thermo precast slab. Someone must have invited A2C because they are not part of it"161.</w:t>
      </w:r>
    </w:p>
    <w:p>
      <w:r>
        <w:t>104. The recording of a telephone exchange on June 19, 2018, between the operational directors of A2C and Soprel confirms that discussions also focused on the distribution of construction sites: "they want us to talk about the big sites we have distributed... I told him okay"162.</w:t>
      </w:r>
    </w:p>
    <w:p>
      <w:r>
        <w:t>105. On the same day, the operational director of Soprel called the commercial director for Ile-de-France of KP1 and informed him of the content of his discussion with the operational director of A2C163.</w:t>
      </w:r>
    </w:p>
    <w:p>
      <w:r>
        <w:t>106. On June 21, 2018, a second meeting was held between A2C, KP1, Rector, and Soprel at the Multiburo offices on the forecourt of the Lyon train station in Paris164. Regarding the participants, the regional director North/Normandy of KP1 indicated that 6 people were present at this meeting, three representatives from KP1165, one representative from Rector, and the operational directors of A2C and Soprel166.</w:t>
      </w:r>
    </w:p>
    <w:p>
      <w:r>
        <w:t>107. Regarding the subject of this meeting, the three representatives from KP1 who attended indicated that discussions focused on the application of a price grid provided by A2C and the distribution of construction sites:</w:t>
        <w:br/>
        <w:t>− the national commercial director stated that the purpose of this meeting was to adopt a method to maintain a minimum price level for precast slabs, which could be accompanied by a distribution of markets among competitors167;</w:t>
        <w:br/>
        <w:t>− the North/Normandy commercial director stated that a representative of A2C had provided a price grid for precast slabs during this meeting, asking the companies present not to charge prices lower than this grid168. He also specified that Rector wanted to discuss a distribution of business volumes based on the production capacities of the companies participating in this meeting169;</w:t>
        <w:br/>
        <w:t>− the commercial director for Ile-de-France indicated that the regional director of Rector wanted to obtain markets during this meeting. He specified that the representatives of KP1, Soprel, and A2C opposed this idea, requesting beforehand that Rector commit to respecting minimum prices before any markets were allocated to him. He also specified that the regional director of Rector had called his management and, following this conversation, agreed to the principle of respecting a minimum price grid and that a new meeting date was agreed upon for July 17, 2018, among the participants170.</w:t>
      </w:r>
    </w:p>
    <w:p>
      <w:r>
        <w:t>108. On June 25, 2018, the operational director of Soprel called the general director of Strudal to inform him about the meeting on June 21, 2018, specifying that it mainly concerned the price of precast slabs, but that the issue of the price grid for hollow-core slabs was also discussed during this meeting and that he would propose that Strudal join them at the next meeting171.</w:t>
      </w:r>
    </w:p>
    <w:p>
      <w:r>
        <w:t>109. On July 17, 2018, a third meeting was held at the Mercure hotel in Roissy between representatives of A2C, KP1, Rector, and Soprel172.</w:t>
      </w:r>
    </w:p>
    <w:p>
      <w:r>
        <w:t>110. Regarding the content of the discussions, a document seized from the operational director of Soprel contains a note "Meeting of 17/07/18" under which appears a first line stating "Agreement on the grid." This document then lists 18 construction sites with their volumes, and for some of them, the names of the competitors who obtained them. Next to the "Montrouge Spie" site, the note "a priori RECTOR has the grid"173 is noted.</w:t>
      </w:r>
    </w:p>
    <w:p>
      <w:r>
        <w:t>111. When questioned about this meeting, the North/Normandy commercial director of KP1 indicated that discussions focused on the distribution of construction sites174.</w:t>
      </w:r>
    </w:p>
    <w:p>
      <w:r>
        <w:t>112. On October 25, 2018, a final meeting was held at the Mercure hotel in Roissy between 7 representatives of KP1, Rector, A2C, and Soprel175. This meeting was interrupted by agents of the BRDE, who proceeded to arrest the participants for their placement in police custody. On this occasion, the agents of the BRDE seized the smartphones and laptops of those involved, as well as paper versions of working documents. The findings allowed for the identification, both in paper format and electronic format, of various tables that served as support for discussions between A2C, KP1, Rector, and Soprel, as well as price grids176.</w:t>
      </w:r>
    </w:p>
    <w:p>
      <w:r>
        <w:t>113. A recording of telephone exchanges on October 18, 2018, between the operational director of Soprel and the commercial director for Ile-de-France of KP1 confirms that the subject of the meeting on October 25, 2018, concerned the distribution of construction sites and discussions on prices177. The recording of a telephone exchange on October 24, 2018, between the operational directors of Soprel and A2C confirms that Soprel wanted to request the allocation of certain construction sites during this meeting: "Take all your stuff, huh. Your 450,000 square meters (laughs). But this time, I might ask for a few after all"178.</w:t>
      </w:r>
    </w:p>
    <w:p>
      <w:r>
        <w:t>♦ On the meetings between A2C, KP1, FB, Soprel, IB, and Strudal</w:t>
      </w:r>
    </w:p>
    <w:p>
      <w:r>
        <w:t>114. The elements of the file attest to the existence of multilateral meetings between A2C, KP1, FB, IB, Soprel, and Strudal aimed at setting prices and distributing markets for hollow-core slabs. According to KP1, these meetings took place approximately every four to six weeks until June 2015, independently of the meetings that could be held between competitors regarding precast slabs. The participants in these meetings established the same system of quotas and minimum price grids as that used for precast slabs in Ile-de-France, with similar business tracking tables179. These meetings then became less frequent over time but continued until May 30, 2018.</w:t>
      </w:r>
    </w:p>
    <w:p>
      <w:r>
        <w:rPr>
          <w:b/>
        </w:rPr>
        <w:t>[Pages 43–45]</w:t>
      </w:r>
    </w:p>
    <w:p>
      <w:r>
        <w:t>115. First, six tables, which were used by the members of the agreement to allocate contracts in 2014 and 2015, were seized in paper form at the premises of the company Soprel180. These tables contain coded numbers (1 to 6) to designate the participants:</w:t>
        <w:br/>
        <w:t>− a first table includes a list of 74 contracts with columns numbered from 1 to 6, on which the initials A, F, I, and K appear next to the columns numbered from 1 to 4181. The cross-referencing of the data from this table with the Excel file "Gestion Des Offres 2018 10 24.Xlsx"182 from Soprel confirms that the sites listed in these two documents were awarded during the years 2013, 2014, and 2015183. This table contains corrections and handwritten notes. Some allocations of volumes are corrected and transferred from one company's column to a competitor's;</w:t>
        <w:br/>
        <w:t>− a second table includes a list of contracts with columns numbered from 1 to 6 above which the initials A2, FB, IB, KP1, SO, and ST184 appear;</w:t>
        <w:br/>
        <w:t>− a third table includes a list of 105 contracts with columns numbered from 1 to 6185. A large part of the sites listed in this table are the same as those in the first table of 74 sites. It includes a list of additional sites, such as the site of the new high court of Paris mentioned in line 78 of the table;</w:t>
        <w:br/>
        <w:t>− two identical versions of a fourth table including a list of 117 contracts with columns numbered from 1 to 6 above which the initials A2, FB, IB, KP1, SO, and ST186 appear;</w:t>
        <w:br/>
        <w:t>− a table including a list of 106 contracts with columns numbered from 1 to 6;</w:t>
        <w:br/>
        <w:t>− a table including a list of 113 contracts with columns numbered from 1 to 5. This table is accompanied by a handwritten page, including a list of contracts numbered from 114 to 128 with columns titled 1, K, SO, and ST and containing crosses next to certain sites187. The cross-referencing of the data in the "allocations" tables from the second sealed file of the operational director of Soprel with those in the "Recap Offres 2013"188 table shows that this table concerned contracts awarded in 2012 and 2013189.</w:t>
      </w:r>
    </w:p>
    <w:p>
      <w:r>
        <w:t>116. These tables contain at the bottom of the page a summary of the "REAL" market shares and the "QUOTA" for each company, as well as a mention "REAL DIFFERENCE / QUOTA" under which the difference between the market shares actually achieved and the quotas assigned to the companies mentioned in these tables190.</w:t>
      </w:r>
    </w:p>
    <w:p>
      <w:r>
        <w:t>117. The leniency applicant provided two examples of tables, the structure of which is identical to that of the tables seized at Soprel's premises:</w:t>
        <w:br/>
        <w:t>− a first table, which has a handwritten note "02/2014" including a list of 191 sites with columns detailing the location, designation, department, construction company, and area of the site. This table also includes columns numbered from 1 to 5 corresponding respectively to the companies A2C, IB, KP1, Soprel, and Strudal as indicated in the handwritten notes at the bottom of this table191;</w:t>
        <w:br/>
        <w:t>− a second table including a list of 106 contracts with columns numbered from 1 to 6. This table is accompanied by a handwritten page, including a list of contracts numbered from 107 to 117. At the top of this handwritten page is a table with the initials "A" (for A2C), "E" (for FB, formerly Echolux), "I" (for IB), "K" (for KP1), "S" (for Soprel), and "ST" (for Strudal) to which volumes and percentages are associated192.</w:t>
      </w:r>
    </w:p>
    <w:p>
      <w:r>
        <w:t>Excerpt from a table seized at Soprel's premises193</w:t>
      </w:r>
    </w:p>
    <w:p>
      <w:r>
        <w:t>118. Like the tables communicated by KP1 in the context of its leniency application described in paragraph 115 above, the "allocations" tables seized at Soprel's premises contain at the bottom of the page a summary of the "REAL" and "QUOTA" market shares for each company, as well as the mention "REAL DIFFERENCE / QUOTA"194.</w:t>
      </w:r>
    </w:p>
    <w:p>
      <w:r>
        <w:t>119. Secondly, a handwritten page from the operational director of Soprel, which has at the top of the page the mention "Bilan 2013 Tables" and, in the middle of the page, the date "February 12, 2014," was seized at Soprel's premises. This handwritten page includes the acronyms A2C, KP, SO, ST, IB, FB with the mention "no one wants to do something." A table associating percentages with these same acronyms is also present on the document195. An email dated November 9, 2013, sent by the national management of KP1 to the commercial director of Ile-de-France of KP1 in view of a "Qualiprédalle" meeting includes percentages that are substantially equal assigned to the companies "A," "I," "K," "SO," and "ST"196.</w:t>
      </w:r>
    </w:p>
    <w:p>
      <w:r>
        <w:t>120. Thirdly, the handwritten notes from February 25, 2014, of the operational director of Soprel indicate the volumes produced by KP1 ("KP1 (Poincy) produced in 2013 = 201,000m²"), A2C ("A2C claims to have produced in 2013 ~ 80,000m²"), and FB ("FB claims 50,000m² in the North"). They also include percentages assigned to the companies "IB," "KP1," "SO," "ST," "FB," and "A2C"197.</w:t>
      </w:r>
    </w:p>
    <w:p>
      <w:r>
        <w:t>121. Fourthly, the first leniency applicant reported on more spaced-out anticompetitive discussions in 2016 and the existence of two meetings on January 4 and 25, 2017, between KP1, IB, Soprel, and Strudal, to discuss prices198.</w:t>
      </w:r>
    </w:p>
    <w:p>
      <w:r>
        <w:t>122. Several elements of the file corroborate the existence of discussions on a price grid at the end of 2016 and the beginning of 2017:</w:t>
        <w:br/>
        <w:t>− SMS exchanges between the commercial director of Ile-de-France of KP1 and the operational director of Soprel199 indicate a scheduled meeting between four competitors on November 15, 2016, in Orly. The leniency applicant specified that the participants were KP1, IB, Soprel, and Strudal200.</w:t>
      </w:r>
    </w:p>
    <w:p>
      <w:r>
        <w:rPr>
          <w:b/>
        </w:rPr>
        <w:t>[Pages 46–48]</w:t>
      </w:r>
    </w:p>
    <w:p>
      <w:r>
        <w:t>− the SMS exchanges of January 24, 2017, between the commercial director of Ile-de-France of KP1 and the operational director of Soprel mention a meeting on January 25, 2017, between KP1, Soprel, and Strudal201. The applicant for leniency indicated that IB also participated202;</w:t>
      </w:r>
    </w:p>
    <w:p>
      <w:r>
        <w:t>− a handwritten note referring to the price grid and the prices charged by Soprel on two construction sites located in "Clichy La Garenne" and "Lieusaint"203. The construction sites listed in this note are detailed in the table "Gestion des offres 2018 10 12.xlsx" seized from the operational director of Soprel204 and date from February 23, 2017 (line 829 relating to the Clichy La Garenne - Zac city entrance case) and January 19, 2017 (line 913 relating to the Lieusaint - medical hub case). The price grid mentioned in these notes refers to the price grid for hollow-core slabs seized from Soprel205;</w:t>
      </w:r>
    </w:p>
    <w:p>
      <w:r>
        <w:t>− an internal email dated March 9, 2017206 sent by the national commercial management of KP1 to a regional commercial director of KP1, which includes a price grid applicable for the sale of hollow-core slabs. This price grid was seized from the operational director of Soprel.</w:t>
      </w:r>
    </w:p>
    <w:p>
      <w:r>
        <w:t>123. Fifthly, a table titled "CAPA DAP.xlsx"207 concerning hollow-core slabs was seized from the affairs of the operational director of Soprel. This table contains 13 columns from A to N. It includes, for the 4 competing companies IB, KP1, Soprel, and Strudal, in addition to the daily and annual capacities of each company, columns relating to the market shares of each competitor:</w:t>
        <w:br/>
        <w:t>− a column J titled "market share in capacity"; a column K titled "market share sales base 2016"; a column M titled "market share retained 2017"; a column N titled "market share proposed 2018";</w:t>
        <w:br/>
        <w:t>− A comment at the bottom of the table states: "COLUMN J; this is the 'market share' in capacity... market share = manufacturer's capacity / total capacity"; "COLUMN K; this is the 'market share' on 2016 sales... market share = reported sales of the manufacturer / total sales"; "COLUMN M; corresponds to the market shares taken into account in 2017" and "COLUMN N: corresponds to the market shares proposed for discussion"208.</w:t>
      </w:r>
    </w:p>
    <w:p>
      <w:r>
        <w:t>124. Sixthly, the elements of the file attest to the existence of two meetings on April 25, 2018209 and May 30, 2018210 between KP1, IB, Soprel, and Strudal near the Porte d'Orléans.</w:t>
      </w:r>
    </w:p>
    <w:p>
      <w:r>
        <w:t>125. When questioned about these two meetings, the general director of Strudal specified that he was the initiator211 and confirmed that he participated along with the commercial director of Ile-de-France of KP1, the general director of IB, and the operational director of Soprel (who was only present at the second meeting)212. Regarding the subject of the discussions, the general director of Strudal indicated that "perhaps, during the meeting of my presentation, which took place in the spring of 2018, near the Porte d'Orléans, I mentioned to my competitors my interest in the Archipel site"213 and "[w]hen they talked about the VINCI headquarters [Archipel site] - by 'they' I mean Messrs. J... [KP1], M... [Soprel], and O... [IB] - in my presence: they told me that this site did not interest them"214.</w:t>
      </w:r>
    </w:p>
    <w:p>
      <w:r>
        <w:t>126. A recording of a telephone exchange on June 13, 2018, between the general director of Strudal and the operational director of Soprel confirms that the discussions during these meetings focused on the allocation of construction sites. During this conversation, the general director of Strudal tells the operational director of Soprel that he wants to respect what was "agreed upon by everyone around the table"215 and mentions two phone calls with the general director of IB regarding the allocation of the VINCI site: "I called O... [Mr. O...: general director of IB] ... and I told him the VINCI headquarters if it interested him (...) I leave it to you, okay? (...) but there is one or two sites behind... that you shouldn't bother me with (…). He told me no problem, I'll look into it. He called me yesterday and told me actually... the VINCI headquarters no longer interests me, I would like the other"216. The general director of Strudal then indicates to the operational director of Soprel his intention to take over the VINCI site, which was originally to be allocated to IB: "I am interested in the VINCI headquarters, given its position I wanted to leave it to O... [general director of IB], so I am taking it back, does that bother you?"217. The operational director of Soprel confirms his agreement to leave this site to him, provided he gets the Bouygues site218.</w:t>
      </w:r>
    </w:p>
    <w:p>
      <w:r>
        <w:t>127. The recording of a telephone exchange on June 25, 2018, between the operational director of Soprel and the general director of IB mentions a new meeting scheduled for June 26, 2018, which was ultimately canceled after the general director of IB indicated that he could not attend. During this conversation, the general director of IB expressed his desire for a new meeting to be organized the following week and ensured that the operational director of Soprel would "check in" with the other participants219. On the same day, the operational director of Soprel contacted the commercial director of Ile-de-France of KP1220 and the general director of Strudal221 to organize a new meeting. The general director of Strudal then proposed "to try to bring P... [FB] to the table"222, with the operational director of Soprel specifying that he had "done the same thing (...) five years ago" while mentioning the existence of a price grid223. The commercial director of KP1 proposed two new dates for this meeting (July 3 and 4, 2018)224. The elements of the file do not establish that this meeting took place.</w:t>
      </w:r>
    </w:p>
    <w:p>
      <w:r>
        <w:t>128. The recording of a telephone exchange on September 21, 2018, between the general director of Strudal and the operational director of Soprel confirms that the Archipel site was ultimately obtained by Soprel. During this conversation, the general director of Strudal expressed his dissatisfaction by referring to the representatives of IB, KP1, and Soprel as "the troops of the deceitful"225 and criticizing the non-respect of the agreements made during the "table": "if we have to meet [inaudible] around a table to say: I take this one, I cover you on that one, that one is for this guy...(…) your way of doing things is that everyone tries to screw everyone"226.</w:t>
      </w:r>
    </w:p>
    <w:p>
      <w:r>
        <w:t>129. On October 5, 2018, the general director of Strudal indicated to the operational director of Soprel that he was ready to participate in a meeting: "[n]o problem for me - you can organize something - let me know when you have dates"227. It emerges from the telephone recordings of the...</w:t>
      </w:r>
    </w:p>
    <w:p>
      <w:r>
        <w:rPr>
          <w:b/>
        </w:rPr>
        <w:t>[Pages 49–51]</w:t>
      </w:r>
    </w:p>
    <w:p>
      <w:r>
        <w:t>5 October 2018, the general director of Strudal wished to organize a meeting between Strudal, FB, KP1, and Soprel. He confirmed that the representative of FB agreed to participate and had requested 20,000 m² of construction sites in the Paris region228.</w:t>
      </w:r>
    </w:p>
    <w:p>
      <w:r>
        <w:t>On bilateral exchanges</w:t>
      </w:r>
    </w:p>
    <w:p>
      <w:r>
        <w:t>130. The elements in the file allow for the establishment of numerous bilateral contacts between the parties, including exchanges of information on prices and market allocations.</w:t>
      </w:r>
    </w:p>
    <w:p>
      <w:r>
        <w:t>131. The elements of the file attest to the existence of:</w:t>
        <w:br/>
        <w:t>− 107 bilateral exchanges between Soprel and KP1, between July 8, 2016, and October 25, 2018, concerning the organization of meetings, the prices charged, ongoing construction sites and their allocation, the content of which is detailed in paragraphs 477 to 600 of the statement of objections229;</w:t>
        <w:br/>
        <w:t>− 7 bilateral exchanges between Soprel and Rector, between January 18, 2016, and October 25, 2018, concerning the organization of meetings and ongoing construction sites, the content of which is detailed in paragraphs 602 to 607 of the statement of objections230;</w:t>
        <w:br/>
        <w:t>− 7 bilateral exchanges between Soprel and A2C, between November 13, 2017, and October 24, 2018, concerning the organization of meetings, the prices charged, ongoing construction sites and their allocation, the content of which is detailed in paragraphs 618 to 628 of the statement of objections231;</w:t>
        <w:br/>
        <w:t>− 13 bilateral exchanges between Soprel and FB, between December 16, 2016, and September 14, 2018, concerning the organization of meetings, the prices charged, ongoing construction sites and their allocation, the content of which is detailed in paragraphs 631 to 646 of the statement of objections232;</w:t>
        <w:br/>
        <w:t>− 6 bilateral exchanges between Soprel and IB between March 28, 2018, and September 13, 2018, concerning the organization of meetings, the prices charged, ongoing construction sites and their allocation, the content of which is detailed in paragraphs 648 to 653 of the statement of objections233;</w:t>
        <w:br/>
        <w:t>− 12 bilateral exchanges between Soprel and Strudal between May 15, 2018, and October 5, 2018, concerning the organization of meetings, the prices charged, ongoing construction sites and their allocation, the content of which is detailed in paragraphs 655 to 677 of the statement of objections234;</w:t>
        <w:br/>
        <w:t>− 9 bilateral exchanges between KP1 and A2C between June 7, 2018, and October 25, 2018, concerning the organization of meetings, the prices charged, ongoing construction sites and their allocation, the content of which is detailed in paragraphs 693 to 703 of the statement of objections235;</w:t>
        <w:br/>
        <w:t>− 2 bilateral exchanges between A2C and SLM, on February 26, 2018236 and June 21, 2018237, concerning the prices charged, ongoing construction sites and their allocation, the content of which is detailed in paragraphs 732 and 734 of the statement of objections.</w:t>
      </w:r>
    </w:p>
    <w:p>
      <w:r>
        <w:t>On the implementation of the agreement in the South-West region (Midi-Pyrénées and Languedoc-Roussillon)</w:t>
      </w:r>
    </w:p>
    <w:p>
      <w:r>
        <w:t>132. The two leniency applicants, as well as a former employee of Rector238, indicated that the companies KP1, Rector, and SEAC in particular had participated in consultation meetings regarding the South-West region (Midi-Pyrénées and Languedoc-Roussillon)239. These practices involved the allocation of markets between competitors on precast slabs and exchanges of information regarding the prices of precast slabs. Regarding the information on prices, these exchanges ensured that the other participants would not submit an offer at a price lower than that at which the participant awarded the construction site intended to submit its offer240.</w:t>
      </w:r>
    </w:p>
    <w:p>
      <w:r>
        <w:t>133. The meetings organized at the regional level, which took place five to seven times a year, aimed to allocate upcoming construction sites among competitors in order to respect the sales quotas decided at the national level. The regional meetings were distinct depending on whether the subject concerned the Midi-Pyrénées region or the Languedoc-Roussillon region241.</w:t>
      </w:r>
    </w:p>
    <w:p>
      <w:r>
        <w:t>134. The elements provided by the two leniency applicants in support of their statements are summarized below:</w:t>
        <w:br/>
        <w:t>− two Excel tables dated October 10, 2018, titled "MP" and "LR," prepared by the regional commercial director of KP1242, to prepare and monitor the allocation of construction sites agreed upon in the framework of the regional meetings concerning the Midi-Pyrénées and Languedoc-Roussillon regions243. They include a coded number ranging from 11 to 47: the tens digit corresponds to the participant to whom the construction site was allocated by the other participants, while the units digit designates the regional meeting during which the construction site in question was allocated. For the tens digit, the numbers 1 to 4 designate KP1, Rector, SEAC, and Polybéton respectively. For the units digit, the number "1" designates the first meeting of the year, the number "2" designates the second meeting of the year, and so on. The column titled "Put in forecast by Nicole" contains the term "OK" or the symbols "µ," "µµ," or "µµµ." The symbol "µ" has two meanings: either that KP1 wishes for the construction site to be allocated to it by the other participants in the regional meetings, or that KP1 wishes for the construction site to be allocated to one of the other participants. The distinction between the two options is made with the previous column which indicates to whom the construction site is allocated (number from 1 to 4). The symbol "µµ" means that KP1 strongly wishes to be allocated this construction site, while the symbol "µµµ" means that KP1 wishes it even more strongly. The last lines of the table contain the cumulative amount of volumes allocated to the different participants (the blue color designating KP1, the red color Rector, and the green color SEAC) in order to verify the consistency of these volumes with respect to the quotas and volumes discussed in the framework of the national meetings244;</w:t>
        <w:br/>
        <w:t>− tables maintained and updated monthly by the director of the South-West region of Rector, including a list of construction sites and their volumes associated with a coded number relating to competitors (1 for KP1, 2 for Rector, 3 for SEAC, among others)245. These tables were not saved on the company's server, but on USB drives and relate to the period from March 1, 2016, to September 1, 2017246;</w:t>
        <w:br/>
        <w:t>− analysis reports from the two mobile phones of the director of the South-West region of Rector247. He communicated with his competitors via a disposable phone. The competitor would ring the professional phone of the regional director one to two times.</w:t>
      </w:r>
    </w:p>
    <w:p>
      <w:r>
        <w:rPr>
          <w:b/>
        </w:rPr>
        <w:t>[Pages 52–54]</w:t>
      </w:r>
    </w:p>
    <w:p>
      <w:r>
        <w:t xml:space="preserve">who understood that his disposable phone had to be turned on in order to correspond with his competitor248;  </w:t>
        <w:br/>
        <w:t xml:space="preserve">− internal email exchanges from KP1 regarding the content of regional meetings:  </w:t>
        <w:br/>
        <w:t xml:space="preserve">− email dated March 16, 2011, stating the necessity for KP1 to cede volumes to its competitors: "[o]n the other hand, I remind you what you asked me to let go a bit regarding my market shares in order to raise prices. This is what I did yesterday at the Qualipredal meeting"249;  </w:t>
        <w:br/>
        <w:t xml:space="preserve">− email dated October 21, 2016, stating the level of prices at which certain construction sites discussed in the context of regional meetings are treated: "as I wrote to you in another email, they are now fighting around €18.50 confirmed in Qualiprédal. See attached email. I have a meeting next week, I will have more information on the price levels for the few ongoing housing operations"250;  </w:t>
        <w:br/>
        <w:t xml:space="preserve">− email dated March 20, 2018, stating construction sites awarded to certain participants in the regional meetings and the price levels proposed by these competitors: "I have extracted from my C2TOTAL the first construction sites handled by Préfabos, Pr Polybéton, P Seac V, or Rector R. In the comments column, I had put for some operations the prices of precast slabs"251.  </w:t>
        <w:br/>
        <w:t xml:space="preserve">On the implementation of the agreement at the level of the West region (Brittany, Pays de la Loire, Centre-Val de Loire) and the Aquitaine region  </w:t>
        <w:br/>
        <w:t xml:space="preserve">135. The two leniency applicants indicated that the companies KP1, Rector, and SEAC in particular participated in practices concerning market allocations and exchanges of information on prices in the West region (Brittany, Pays de la Loire, Centre, Val de Loire) and in Aquitaine from 2008 to 2018252.  </w:t>
        <w:br/>
        <w:t xml:space="preserve">136. The elements of the file attest to numerous multilateral meetings between the companies KP1, Rector, and SEAC aimed at allocating markets between 2010 and 2018.  </w:t>
        <w:br/>
        <w:t xml:space="preserve">137. The first leniency applicant produced handwritten notes253 taken by the regional commercial director of KP1 during regional Qualiprédal meetings held between December 2010254 and March 2018255. These notes include summary tables containing information related to the sales volumes of competitors. To designate the companies, the regional commercial director of KP1 sometimes uses initials (K for KP1, R for Rector, S for SEAC) or the same code names used in the national summary table, namely "housing"248 for KP1, "Tertiary" for Rector, "Other housing" for SEAC256 (see paragraph 48 above).  </w:t>
        <w:br/>
        <w:t xml:space="preserve">138. The meetings between KP1, Rector, and SEAC identified based on these handwritten notes are listed in the table below:  </w:t>
        <w:br/>
        <w:t xml:space="preserve">2010 2011 2012 2013 2014 2015 2016 2018  </w:t>
        <w:br/>
        <w:t xml:space="preserve">17/02  </w:t>
        <w:br/>
        <w:t xml:space="preserve">08/02 29/01 February  </w:t>
        <w:br/>
        <w:t xml:space="preserve">14/03 07/03 06/02 12/01 March  </w:t>
        <w:br/>
        <w:t xml:space="preserve">16/03 April 19/03 03/04 19/02 01/04  </w:t>
        <w:br/>
        <w:t xml:space="preserve">30/04 26/04 10/04 23/06 February April  </w:t>
        <w:br/>
        <w:t xml:space="preserve">07/12 04/05 19/06 23/05 September 01/04 May March  </w:t>
        <w:br/>
        <w:t xml:space="preserve">30/06 11/09 26/06 12/11 19/05 01/06  </w:t>
        <w:br/>
        <w:t xml:space="preserve">15/09 22/11 19/09 June 15/09 15/06  </w:t>
        <w:br/>
        <w:t xml:space="preserve">07/12 26/11 07/11 10/11 13/09  </w:t>
        <w:br/>
        <w:t xml:space="preserve">17/12 11/02 09/11  </w:t>
        <w:br/>
        <w:t xml:space="preserve">December  </w:t>
        <w:br/>
        <w:t xml:space="preserve">139. Furthermore, KP1 also communicated SMS exchanges from April 2015 to October 2018 between the regional commercial director of KP1 and its competitors, concerning the organization of these regional meetings. Some of these SMS relate to exchanges of information on prices257. For example, on April 20, 2017, the commercial director of SEAC sent an SMS to KP1 regarding the price of a construction site named "Inspuration": "[c]an you give me your prices on Inspuration? Thanks"258.  </w:t>
        <w:br/>
        <w:t xml:space="preserve">140. KP1 also communicated:  </w:t>
        <w:br/>
        <w:t xml:space="preserve">− Excel files titled "C2 Tracking" prepared by the regional commercial director during the years 2012 to 2018 and including the allocation of construction sites between KP1, Rector, and SEAC. Code names are used in these files to identify the allocation of business. The "Segts" column indicates whether the construction site has already been handled (using the number 1), if the construction site is for KP1 (using the number 2), or for one of the other participants (using the number 5). To know the identity of the participant to whom the parties decided to entrust the construction site, one must refer to the "ABC" column, with B designating Rector and C designating SEAC259;  </w:t>
        <w:br/>
        <w:t xml:space="preserve">− internal email exchanges from December 2012 to August 2018 that refer to allocations of construction sites and "targeted" markets in the context of the regional Qualiprédal meetings260;  </w:t>
        <w:br/>
        <w:t xml:space="preserve">− email exchanges related to these tables and the identification of "targeted" businesses261.  </w:t>
        <w:br/>
        <w:t xml:space="preserve">141. The first leniency applicant also communicated emails sent by the regional commercial directors to the national commercial management, in order to alert it to the difficulties encountered in winning certain construction sites and to have it mentioned in the context of meetings organized at the national level:  </w:t>
        <w:br/>
        <w:t xml:space="preserve">− in an email dated July 29, 2016, the commercial director of Brittany for KP1 asks the national commercial director of KP1 to help him "stabilize" the situation, after losing a construction site to Rector, mentioning meetings within a GIE262;  </w:t>
        <w:br/>
        <w:t xml:space="preserve">− in an email dated August 1, 2016, the commercial director of Brittany for KP1 asks the national commercial director of KP1 to intervene, indicating that his competitors have "no respect for prices"263;  </w:t>
        <w:br/>
        <w:t xml:space="preserve">− in an email dated October 23, 2017, the commercial director of Aquitaine for KP1 complains to the national commercial director of KP1 about an important contract lost to Rector and asks him to bring up this issue at the "next QualiPrédalle meeting"264.  </w:t>
        <w:br/>
        <w:t xml:space="preserve">On the implementation of the agreement at the level of the Rhône-Alpes, Auvergne, Provence-Alpes-Côte d'Azur regions  </w:t>
        <w:br/>
        <w:t xml:space="preserve">142. Within the Rhône-Alpes, Auvergne, and Provence-Alpes-Côte d'Azur regions, the practices were implemented by KP1, Rector, and SEAC265. As in other regions, these practices concerned the allocation of markets and the prices charged by competitors266.  </w:t>
        <w:br/>
        <w:t xml:space="preserve">143. The main elements attesting to the existence of practices in the Rhône-Alpes, Auvergne, Provence-Alpes-Côte d'Azur regions are summarized below:  </w:t>
        <w:br/>
        <w:t>− an email dated October 24, 2012, sent by one of the regional sales managers of KP1 to the regional sales director of KP1, stating that a construction site had been awarded to KP1: "[w]e had targeted this Qualiprédale site: we continue"267;</w:t>
      </w:r>
    </w:p>
    <w:p>
      <w:r>
        <w:rPr>
          <w:b/>
        </w:rPr>
        <w:t>[Pages 55–57]</w:t>
      </w:r>
    </w:p>
    <w:p>
      <w:r>
        <w:t xml:space="preserve">− exchanges of emails relating to these tables and the identification of "targeted" cases268;  </w:t>
        <w:br/>
        <w:t xml:space="preserve">− internal email exchanges at KP1, referring to "targeted" markets, "affected," "wishes," "needs," dated December 12, 2014, January 7, 2015269, June 15, 2015270, July 17, 2015271, September 8, 2015272, October 26, 2015273, December 8, 2015274, February 5, 2016275, March 7, 2016276, July 1, 2016277, September 12, 2016278, January 15, 2017279; February 15, 2017280, February 21, 2017281, May 19, 2017282, July 3, 2017283, July 7, 2017284, September 12, 2017285, October 12, 2017286, November 10, 2017287, December 15, 2017288, January 24, 2018289, February 28, 2018290, June 26, 2018291:  </w:t>
        <w:br/>
        <w:t xml:space="preserve">− February 5, 2016: "WARNING ==&gt; we must not talk about the CHAMBON files (wish 4): you drop it ==&gt; it will be RECTOR"; "Targeted KP1 files: 1 KP1 file processed and 1 lost recto"; "Other files to target and wishes"292;  </w:t>
        <w:br/>
        <w:t xml:space="preserve">− January 24, 2018: "[f]or the already listed sites: nothing processed on our side (but to keep) For the new ones: see below, our wishes (knowing that there are 2 Soulier more that I have almost processed today _. So if you don't hear about them!!!) Note: the 74 logts polygon: these are 5600 m2 of precast slabs of which 5100 of THP (so there are 500 m2 of PR left)"293;  </w:t>
        <w:br/>
        <w:t xml:space="preserve">− an email dated March 9, 2017, sent by the national sales management of KP1 to the regional sales director of KP1, which includes a price list applicable for the sale of hollow-core slabs; the file was created by Soprel on January 22, 2013294;  </w:t>
        <w:br/>
        <w:t xml:space="preserve">− an Excel table, titled "PACA," created by the regional sales director of KP1295, to prepare and monitor the distribution of the agreed construction sites in the context of regional meetings concerning the Provence-Alpes-Côte d’Azur region. The communicated Excel table includes two tabs: "2018 5" and "2018 6," indicating that these are the fifth and sixth meetings of the year 2018296;  </w:t>
        <w:br/>
        <w:t xml:space="preserve">− an Excel table, titled "RAB" (Rhône-Alpes, Bourgogne), created by the regional sales director of KP1 297, to prepare and monitor the distribution of the agreed construction sites in the context of regional meetings concerning the Rhône-Alpes and Bourgogne regions298.  </w:t>
        <w:br/>
        <w:t xml:space="preserve">144. Rector confirmed that exchanges of information between competitors took place via the Qualiprédal meetings. As in other regions, tables were developed to share the market. For example, "business tracking" tables allocated the volume of precast slabs and thus ultimately the market shares among competitors299. Rector explained in his statement the necessary codes for the proper reading and understanding of these tables: "1st line = KP1; 2nd line = RL [Rector] and 3rd line = SEAC"300. Regarding contacts between competitors aimed at organizing the Qualiprédal meetings, invitations were sent via emails or phone messages301.  </w:t>
        <w:br/>
        <w:t xml:space="preserve">292 Cotes 2553, 2555, saisine n° 18/0161 AC.  </w:t>
        <w:br/>
        <w:t xml:space="preserve">293 Cote 2641, saisine n° 18/0161 AC.  </w:t>
        <w:br/>
        <w:t xml:space="preserve">294 Cotes 59, 2436 et 2437, saisine n° 18/0161 AC.  </w:t>
        <w:br/>
        <w:t xml:space="preserve">295 Regional sales director of the C2 sector in the regions Occitanie, PACA, Corsica, Rhône-Alpes, Bourgogne, and part of Auvergne.  </w:t>
        <w:br/>
        <w:t xml:space="preserve">296 Cotes 58 et 2395 à 2409, saisine n° 18/0161 AC.  </w:t>
        <w:br/>
        <w:t xml:space="preserve">297 Regional sales director of the C2 sector in the regions Occitanie, PACA, Corsica, Rhône-Alpes, Bourgogne, and part of Auvergne.  </w:t>
        <w:br/>
        <w:t xml:space="preserve">298 Cotes 58 et 2410 à 2428, saisine n° 18/0161 AC.  </w:t>
        <w:br/>
        <w:t xml:space="preserve">299 Cote 1248, saisine n° 18/0166 AC.  </w:t>
        <w:br/>
        <w:t xml:space="preserve">300 Cotes 54-55, saisine n° 18/0166 AC.  </w:t>
        <w:br/>
        <w:t>301 Cote 55, saisine n° 18/0166 AC.</w:t>
      </w:r>
    </w:p>
    <w:p>
      <w:r>
        <w:t xml:space="preserve">2. ON THE PRACTICES RELATING TO THE SALE OF PREFABRICATED CONCRETE PRODUCTS TO CMI AND TRADING COMPANIES  </w:t>
        <w:br/>
        <w:t xml:space="preserve">145. KP1, the first applicant for leniency, reported an agreement regarding the rate increases applicable to trading companies, which was implemented during meetings held at the national level between the management of KP1, Rector, and SEAC and at the regional level since 2000302. These exchanges took place once a year, at the time of the announcement of annual increases (between September and early November). They could also occur several times a year if, due to the increase in raw material prices, price increases were made multiple times within the same year. This was notably the case during the years 2011 and 2017303.  </w:t>
        <w:br/>
        <w:t xml:space="preserve">146. These exchanges also concerned net prices (i.e., after discounts) and certain commercial conditions granted to trading companies, on sales volumes to trading companies, as well as the pass-through of price increases on prices charged to CMIs304.  </w:t>
        <w:br/>
        <w:t xml:space="preserve">147. These exchanges took place between the management of KP1, Rector, and SEAC during meetings, sometimes on the sidelines of GIE ThermoPrédalle meetings, or through phone discussions305. The products concerned were those in concrete as well as the void formers306 and the thermal breaks in polystyrene and polypropylene and covered the entire national territory307.  </w:t>
        <w:br/>
        <w:t xml:space="preserve">148. The implementation of decisions made at the national level was ensured by the regional management.  </w:t>
        <w:br/>
        <w:t xml:space="preserve">149. The main elements attesting to the existence of multilateral meetings and bilateral contacts between KP1, Rector, and SEAC are reproduced below:  </w:t>
        <w:br/>
        <w:t xml:space="preserve">− the meeting notes of the Southwest sales director of KP1 dated April 18, 2011308: this document presents a table summarizing the average prices of different models of beams and polystyrene products practiced by Rector, for itself and its subsidiary Planchers Fabre (now "Neo") designated by the letters "R" and "F," by KP1, designated by the letter "K," and by SEAC, designated by the letter "S"309;  </w:t>
        <w:br/>
        <w:t xml:space="preserve">− the meeting notes of the Southwest sales director of KP1 taken during a phone exchange on May 19, 2011, between KP1 and Rector310, relating to year-end discounts granted to a trader311;  </w:t>
        <w:br/>
        <w:t xml:space="preserve">− the meeting notes of July 13, 2011, from the Southwest sales director of KP1 with representatives of SEAC and Rector on the revenues generated and the prices  </w:t>
        <w:br/>
        <w:t xml:space="preserve">302 Cote 33, saisine n° 18/0161 AC.  </w:t>
        <w:br/>
        <w:t xml:space="preserve">303 Cote 34, saisine n° 18/0161 AC.  </w:t>
        <w:br/>
        <w:t xml:space="preserve">304 Cotes 35, 36 et 41, saisine n° 18/0161 AC.  </w:t>
        <w:br/>
        <w:t xml:space="preserve">305 Cote 34, saisine n° 18/0161 AC.  </w:t>
        <w:br/>
        <w:t xml:space="preserve">306 A void former is a floor formwork element placed between 2 beams.  </w:t>
        <w:br/>
        <w:t xml:space="preserve">307 Cote 34, saisine n° 18/0161 AC.  </w:t>
        <w:br/>
        <w:t xml:space="preserve">308 Cote 229, saisine n° 18/0161 AC.  </w:t>
        <w:br/>
        <w:t xml:space="preserve">309 Cotes 37, 43, saisine n° 18/0161 AC.  </w:t>
        <w:br/>
        <w:t xml:space="preserve">310 Cote 231, saisine n° 18/0161 AC.  </w:t>
        <w:br/>
        <w:t>311 Cote 37, saisine n° 18/0161 AC.</w:t>
      </w:r>
    </w:p>
    <w:p>
      <w:r>
        <w:rPr>
          <w:b/>
        </w:rPr>
        <w:t>[Pages 58–60]</w:t>
      </w:r>
    </w:p>
    <w:p>
      <w:r>
        <w:t>constructors of the three companies in the departments of Indre-et-Loire (37), Deux-Sèvres (79), and Vendée (85), as well as on the commercial conditions312;</w:t>
      </w:r>
    </w:p>
    <w:p>
      <w:r>
        <w:t>− the meeting notes from September 1, 2011, of the commercial director for the South-West of KP1, including the prices of "R" (Rector) for different categories of products for the clients Socomat and Baffet313;</w:t>
      </w:r>
    </w:p>
    <w:p>
      <w:r>
        <w:t>− the notes taken during a telephone exchange on November 9, 2011, between KP1 and Rector regarding the rates applied to several trading brands (Socomat, Copreco, Chausson, and Baffet)314;</w:t>
      </w:r>
    </w:p>
    <w:p>
      <w:r>
        <w:t>− the notes taken during a telephone exchange on December 14, 2011, between KP1 and Rector concerning the increase applied by Rector to CMI Maison France Confort (designated by the acronym "MFC"), presented as a "classic increase"315;</w:t>
      </w:r>
    </w:p>
    <w:p>
      <w:r>
        <w:t>− the notes taken during discussions on the prices of polystyrene products ("PSE") in Charente (South-West region), which took place during a meeting held on August 2, 2012, in a room at Lyon Saint-Exupéry airport in the presence of representatives from KP1 and Rector. The prices of KP1 are mentioned "per piece" while the prices of Rector are mentioned per unit. During this meeting, KP1 and Rector also discussed the prices of breakers practiced by Rector ("R") with the CMIs ("€9/m² CMI") and the trading companies ("€7.20 Trading"), as well as certain rates applied by Rector ("R") to the trading brand Camozzi316 and to the builder Villas et Maisons de France ("VMF")317;</w:t>
      </w:r>
    </w:p>
    <w:p>
      <w:r>
        <w:t>− the notes taken during a meeting in Toulouse on November 14, 2012, between KP1 and Rector, which concern exchanges on the sales volumes achieved by KP1 ("K"), Rector ("R"), and its subsidiary Planchers Fabre ("F") in the Haute-Garonne department (31). For each of the participants, the notes mention the percentage of increase or decrease achieved since the previous meeting318;</w:t>
      </w:r>
    </w:p>
    <w:p>
      <w:r>
        <w:t>− the tables established by KP1, covering the period from the end of March 2012 to the end of December 2012, containing data related to sales volumes, average selling prices, and revenues generated by KP1 and Rector for the marketing of beams in the North-Normandy area319;</w:t>
      </w:r>
    </w:p>
    <w:p>
      <w:r>
        <w:t>− the tables created by KP1 covering the period from December 2012 to March 2018 containing data related to sales volumes, average selling prices ("PVM"), revenues generated by KP1 (blue color code) and by Rector (red color code), and market shares in volume and value for the marketing of beams in the North-Normandy area. The information320</w:t>
      </w:r>
    </w:p>
    <w:p>
      <w:r>
        <w:t>contained in these tables was obtained by KP1 during meetings with Rector. The dates of some of these meetings were identified by KP1 based on the agenda of one of its employees: these are April 9, 2013, December 10, 2014, May 12, 2015, September 2, 2015, and May 4, 2018320;</w:t>
      </w:r>
    </w:p>
    <w:p>
      <w:r>
        <w:t>− the internal email exchanges within KP1 between February 28 and March 4, 2013 (South-West region) reporting a discussion between KP1 and Rector. These exchanges confirm that Rector did not apply the announced increase: "in reality for 2013 the increase has not yet been applied" and refer to the "transparency" (i.e., the exchange of information) organized between competitors: "for now it hurts - transparency does not pay"321;</w:t>
      </w:r>
    </w:p>
    <w:p>
      <w:r>
        <w:t>− the notes of a regional director of KP1 (South-West region) from March 5, 2013, taken during a meeting with Rector and SEAC concerning price increases322. A table indicates the increases announced by Rector, for itself and its subsidiary Planchers Fabre designated by the letters "R" and "F", by KP1, designated by the letter "K", and by SEAC, designated by the letter "S"323;</w:t>
      </w:r>
    </w:p>
    <w:p>
      <w:r>
        <w:t>− the notes taken during a meeting on November 18, 2013 (South-West region) between Rector and KP1. These notes concern the prices practiced for different types of products324;</w:t>
      </w:r>
    </w:p>
    <w:p>
      <w:r>
        <w:t>− the meeting notes from December 6, 2013 (South-West region) between KP1 and Rector, which concern volumes and prices325;</w:t>
      </w:r>
    </w:p>
    <w:p>
      <w:r>
        <w:t>− the notes from 2013 taken during telephone conversations that took place during the year 2013 between KP1, Rector, and SEAC, confirming exchanges of information on prices326;</w:t>
      </w:r>
    </w:p>
    <w:p>
      <w:r>
        <w:t>− the meeting notes from February 23, 2015, of a regional director of KP1 (South-West region) with a representative of Rector, at the Ibis hotel in Saintes, concerning the prices applied by Rector and KP1 by type of products in different departments327;</w:t>
      </w:r>
    </w:p>
    <w:p>
      <w:r>
        <w:t>− the notes taken during a telephone exchange on March 11, 2015, between the regional director of KP1 (South-West region) and a representative of Rector, concerning the price of the entrevous328;</w:t>
      </w:r>
    </w:p>
    <w:p>
      <w:r>
        <w:t>− the notes taken during a meeting in June 2015 between KP1 and Rector containing exchanged information on the prices practiced with trading companies located in the departments of Charente-Maritime (17), Lot (46), Lot-et-Garonne (47), and Tarn-et-Garonne (82)329;</w:t>
      </w:r>
    </w:p>
    <w:p>
      <w:r>
        <w:t>− an email from the national commercial director of KP1 to the general director of KP1 dated March 13, 2017, reporting a "Price Increases" meeting on the same day330;</w:t>
      </w:r>
    </w:p>
    <w:p>
      <w:r>
        <w:t>− two files created on September 25, 2017, and April 26, 2018, containing the prices of KP1 and Rector practiced with two CMIs, which were constituted from exchanges of information between KP1 and Rector331;</w:t>
      </w:r>
    </w:p>
    <w:p>
      <w:r>
        <w:t>− email exchanges between February 2 and 7, 2018 (South-West region) in which the lack of consistency between the announced price increase ("from 3 to 3.5%") by Rector at the national level for a client and the increase actually applied ("1.5%"), as it could be observed on the ground332;</w:t>
      </w:r>
    </w:p>
    <w:p>
      <w:r>
        <w:t>− an Excel file created by a regional commercial director of KP1 (West region). This file covers the period from January 1, 2017, to the end of May 2018 and contains data related to the monitoring of the volumes of the two competitors and the average selling prices practiced by Rector at the end of May 2018 in the departments of Ille-et-Vilaine (35) and Loire-Atlantique (44)333.</w:t>
      </w:r>
    </w:p>
    <w:p>
      <w:r>
        <w:t>150. The computer seizures carried out at KP1 contain email exchanges concerning the negotiation of commercial relations between KP1 and Point P. An internal email from KP1 dated December 11, 2012, mentions a price increase passed by KP1, which was accepted by Point P334. In a subsequent exchange, the commercial director of KP1 writes to the general director of KP1 that the differences in average selling prices "with Rector are concerning"335. Finally, a presentation from April 2014 regarding the client Point P, seized at Rector, states: "EST: What needs to be improved: Degradation CA+Margin =&gt; strong competition among manufacturers only the end customer benefits!!! Collusion with our teams; we lose market share together: Rector better than us and we better in flooring than with Rector. Less clear policy depending on the area. On-site presence with the end customer and margin too low for the trading service. Leader thus difficulties in displaying with us =&gt; no help for development"336.</w:t>
      </w:r>
    </w:p>
    <w:p>
      <w:r>
        <w:t>3. ON THE PRACTICES RELATED TO CONCRETE FRAMEWORK</w:t>
      </w:r>
    </w:p>
    <w:p>
      <w:r>
        <w:t>151. The first applicant for leniency reported the existence of anticompetitive practices between Eurobéton, IB, KP1, and Strudal taking the form of exchanges of sensitive information on prices and sales volumes of concrete frameworks and coordinated practices on market allocation within the framework of meetings organized within the association for the</w:t>
      </w:r>
    </w:p>
    <w:p>
      <w:r>
        <w:rPr>
          <w:b/>
        </w:rPr>
        <w:t>[Pages 61–63]</w:t>
      </w:r>
    </w:p>
    <w:p>
      <w:r>
        <w:t>development of the framework and concrete structure (hereinafter referred to as the "ACOB") or within the framework of bilateral exchanges337. The elements of the file attest to the existence of several meetings at the ACOB premises or near its registered office (see paragraphs 121 and 124 above).</w:t>
      </w:r>
    </w:p>
    <w:p>
      <w:r>
        <w:t>152. According to KP1, the exchanges concerning market allocations were conducted via emails sometimes using coded expressions referring to the handling of subcontracted or co-contracted projects. This method would serve as a cover allowing each participant to transmit their offer to their competitors without it appearing at first glance as an exchange of information338.</w:t>
      </w:r>
    </w:p>
    <w:p>
      <w:r>
        <w:t>153. The leniency applicant produced an Excel file listing 308 projects that would have been the subject of discussions during ACOB meetings or within the framework of bilateral exchanges for the period from 2011 to 2018. This file was prepared by KP1's counsel based on the statements of several KP1 employees who participated in the practices339.</w:t>
      </w:r>
    </w:p>
    <w:p>
      <w:r>
        <w:t>154. In support of these statements, KP1 communicated an internal exchange dated April 26, 2013, indicating that KP1 submitted an offer for a project without a technical study "to help our friends from Isère" (Eurobéton France)340.</w:t>
      </w:r>
    </w:p>
    <w:p>
      <w:r>
        <w:t>155. KP1 also communicated email exchanges from May 2013 including attached tables related to projects for the period from February 2012 to May 2013341. These Excel files were completed by KP1's project managers to identify priority projects for KP1342.</w:t>
      </w:r>
    </w:p>
    <w:p>
      <w:r>
        <w:t>156. Furthermore, KP1 communicated several tracking files of projects listing the estimates considered during internal meetings by KP1 relating to framework projects. These files indicate the dates of sending the estimates, the name and city of the project, the project owner, as well as the price proposed by KP1343.</w:t>
      </w:r>
    </w:p>
    <w:p>
      <w:r>
        <w:t>157. Finally, KP1 communicated email exchanges with its competitors, in which they exchanged their offers for concrete framework projects. These exchanges, as well as the dates of sending the estimates, are listed below:</w:t>
        <w:br/>
        <w:t>− project "Ethical café": KP1 sent its offer to IB by email on March 30, 2011 "so that they can present a coverage offer to the project owner"344;</w:t>
        <w:br/>
        <w:t>− project "SCI Flowers wood": KP1 sent its offer to IB by email on December 9, 2011, "the project was discussed and awarded in the same way as for Ethical coffee"345;</w:t>
        <w:br/>
        <w:t>− project "Garonor N02": email dated December 14, 2011 sent by KP1 to IB and Eurobéton, including KP1's offer dated December 6, 2011346;</w:t>
        <w:br/>
        <w:t>− project "Cold Storage": email dated February 27, 2012 sent by KP1 to Eurobéton, including an undated offer from KP1347;</w:t>
        <w:br/>
        <w:t>− project "SCI Monschal": email dated March 26, 2012 sent by KP1 to Eurobéton, including KP1's offer dated March 20, 2012348;</w:t>
        <w:br/>
        <w:t>− project "Mercedes Loubet": email from KP1 to Eurobéton sent on June 18, 2012, including an undated offer amounting to €410,700 and two emails sent by Eurobéton to KP1, one of which is dated July 20, 2012, including Eurobéton's offer dated July 19, 2012 amounting to €518,272349;</w:t>
        <w:br/>
        <w:t>− project "Garden": email dated July 24, 2012 sent by Eurobéton to KP1, including Eurobéton's offer dated July 11, 2012350;</w:t>
        <w:br/>
        <w:t>− project "Iko": emails dated September 5 and 6, 2012 sent respectively to Strudal and Eurobéton, including KP1's offer dated September 4, 2012 (amount illegible)351;</w:t>
        <w:br/>
        <w:t>− project "Ikea Bayonne": email dated October 30, 2012 sent by KP1 to Eurobéton, including an offer dated October 30, 2012352;</w:t>
        <w:br/>
        <w:t>− project "Ext. Desamais": email dated November 8, 2012 sent by KP1 to Eurobéton, including KP1's offer dated November 7, 2012353;</w:t>
        <w:br/>
        <w:t>− project "A Raymond": email dated February 6, 2013 including elements of Eurobéton's offer dated January 31, 2013 and email dated September 20, 2013, including Eurobéton's offer dated September 4, 2013354;</w:t>
        <w:br/>
        <w:t>− project "Le Catamaran – Lesieur": email dated March 22, 2013 sent by Eurobéton to KP1, including Eurobéton's offer dated March 19, 2013 amounting to €2,984,158355;</w:t>
        <w:br/>
        <w:t xml:space="preserve">− projects "SCI Delhan" and "SCI Carvey": email dated March 25, 2013 sent by Eurobéton to KP1, including Eurobéton's offers dated March 22, 2013 amounting to €372,621 and March 19, 2013 amounting to €109,388356; </w:t>
        <w:br/>
        <w:t>− project "FM Logistique": email dated March 25, 2013 sent by KP1 to IB, Strudal, and Eurobéton, including an offer dated March 21, 2013 amounting to €488,800357;</w:t>
        <w:br/>
        <w:t>− project "O Marché frais": email dated March 25, 2013, sent by KP1 to Strudal, including an undated offer from KP1 amounting to €1,160,000358;</w:t>
        <w:br/>
        <w:t>− project "Onival": email dated March 28, 2013 sent by KP1 to Strudal and IB, including an undated offer from KP1 amounting to €619,000359;</w:t>
        <w:br/>
        <w:t>− project "Carré Costières": email dated April 30, 2013 sent by Eurobéton to KP1, including Eurobéton's offer dated April 30, 2013360;</w:t>
        <w:br/>
        <w:t>− project "Mustang": email dated May 2, 2013 sent by Eurobéton to KP1, including Eurobéton's offer dated April 30, 2013361;</w:t>
        <w:br/>
        <w:t>− project "SEDE Environnement": (i) email dated September 24, 2012 from KP1 to Eurobéton including an undated offer from KP1 amounting to €564,002, (ii) email dated May 21, 2013 from KP1 to Eurobéton, including KP1's offer dated May 21, 2013 amounting to €678,900, (iii) email dated May 31, 2013 sent by Eurobéton to KP1, including estimates dated October 17, 2012 amounting to €606,406 and March 29, 2013 amounting to €615,751362;</w:t>
        <w:br/>
        <w:t>− project "SCI Crampon", email dated July 8, 2013 sent by Eurobéton to KP1, including Eurobéton's offer dated June 17, 2013363;</w:t>
        <w:br/>
        <w:t>− project "Lavalin": email dated July 18, 2013 sent by Eurobéton to KP1, including Eurobéton's offer dated July 2, 2013364;</w:t>
        <w:br/>
        <w:t>− projects "Eco Riverparc-Gamblin" and "Eco Riverparc-Dhollandia": emails dated September 13, 2013 sent by KP1 to IB, Eurobéton, CGM, and Strudal, including KP1's offer dated September 12, 2013365;</w:t>
        <w:br/>
        <w:t>− project "St Symphorien-de-Lay", email dated September 16, 2013 sent by Eurobéton to KP1, including Eurobéton's offer dated September 11, 2013366;</w:t>
        <w:br/>
        <w:t>− project "Cultural and Sports Center", email dated October 11, 2013 sent by KP1 to Eurobéton, including an undated offer from KP1367;</w:t>
      </w:r>
    </w:p>
    <w:p>
      <w:r>
        <w:rPr>
          <w:b/>
        </w:rPr>
        <w:t>[Pages 64–66]</w:t>
      </w:r>
    </w:p>
    <w:p>
      <w:r>
        <w:t xml:space="preserve">− site "Rocadest", email dated January 8, 2016 sent by KP1 to Eurobéton, including an undated offer from KP1 for an amount of €5,436,000368. Eurobéton sent a quote to KP1 on February 9, 2016, amounting to €537,268 related to this site for the supply of panels369;  </w:t>
        <w:br/>
        <w:t xml:space="preserve">− site "Sorofi": email dated November 22, 2016 sent by KP1 to Eurobéton, including KP1's offer dated November 22, 2016370;  </w:t>
        <w:br/>
        <w:t xml:space="preserve">− site "Feytiat (Super U)": emails dated January 23 and 26, 2017 sent by KP1 to Strudal and Eurobéton, including "the best offer" from KP1371;  </w:t>
        <w:br/>
        <w:t xml:space="preserve">− site "Socamil", email dated January 27, 2017 sent by KP1 to Eurobéton, including KP1's offer dated January 24, 2017 for an amount of €5 million372. Eurobéton sent a quote to KP1 on January 25, 2017, amounting to €1,341,420 for the supply of panels373;  </w:t>
        <w:br/>
        <w:t xml:space="preserve">− site "ITM", email dated April 5, 2017 sent by KP1 to Eurobéton, including KP1's offer dated April 3, 2017374. This site was co-managed by KP1 and Eurobéton, with both companies signing a contract with the project owner on June 1, 2017;  </w:t>
        <w:br/>
        <w:t xml:space="preserve">− site "Lidl Logistics Platform - Cestas", email dated June 20, 2017 sent by Strudal to KP1, including Strudal's offer dated June 20, 2017 for an amount of €6,134,510375;  </w:t>
        <w:br/>
        <w:t xml:space="preserve">− site "Leroy Merlin": email dated January 8, 2018 sent by KP1 to Strudal, including an undated offer from KP1 for an amount of €6,150,000376 and email dated January 10, 2018 sent by Eurobéton to KP1, including Eurobéton's offer dated December 20, 2017 for an amount of €5,250,960377;  </w:t>
        <w:br/>
        <w:t xml:space="preserve">− site "Disney", email dated March 5, 2018 sent by KP1 to Strudal, including an undated offer from KP1378;  </w:t>
        <w:br/>
        <w:t xml:space="preserve">− site "PRD Corbas", email dated October 3, 2018 sent by Eurobéton to KP1, including an offer dated September 26, 2018 for an amount of €6,555,427379. Quotes were sent by KP1 to Eurobéton related to this site on April 30, 2019, and May 23, 2019.  </w:t>
        <w:br/>
        <w:t xml:space="preserve">368 Cotes 3477 to 3485, referral no. 18/0161 AC.  </w:t>
        <w:br/>
        <w:t xml:space="preserve">369 Cote 35202.  </w:t>
        <w:br/>
        <w:t xml:space="preserve">370 Cotes 3382 to 3392, referral no. 18/0161 AC.  </w:t>
        <w:br/>
        <w:t xml:space="preserve">371 Cotes 3494 to 3502, referral no. 18/0161 AC.  </w:t>
        <w:br/>
        <w:t xml:space="preserve">372 Cotes 3486 to 3493 and 3559, referral no. 18/0161 AC.  </w:t>
        <w:br/>
        <w:t xml:space="preserve">373 Cote 35204.  </w:t>
        <w:br/>
        <w:t xml:space="preserve">374 Cotes 3430 to 3476, referral no. 18/0161 AC.  </w:t>
        <w:br/>
        <w:t xml:space="preserve">375 Cotes 3393 to 3429, referral no. 18/0161 AC.  </w:t>
        <w:br/>
        <w:t xml:space="preserve">376 Cotes 3528 to 3536, referral no. 18/0161 AC.  </w:t>
        <w:br/>
        <w:t xml:space="preserve">377 Cotes 3537 to 3554, referral no. 18/0161 AC.  </w:t>
        <w:br/>
        <w:t xml:space="preserve">378 Cotes 3523 to 3527, referral no. 18/0161 AC.  </w:t>
        <w:br/>
        <w:t>379 Cotes 3504 to 3522, referral no. 18/0161 AC.</w:t>
      </w:r>
    </w:p>
    <w:p>
      <w:r>
        <w:t xml:space="preserve">4. ON THE PRACTICE OF BILATERAL AGREEMENT  </w:t>
        <w:br/>
        <w:t xml:space="preserve">158. On April 4, 2019, KP1 submitted a supplementary leniency application in which it denounced an agreement with SPL concerning prices, customer allocation, as well as SPL's outlets. The leniency application also denounced exchanges of commercially sensitive information380.  </w:t>
        <w:br/>
        <w:t xml:space="preserve">159. The practices denounced primarily concerned the marketing of precast walls during the period from 2010 to 2019. These practices were framed within a contractual context since KP1 has held a minority stake of 10% in the capital of SPL since December 2010 (see below paragraph 161) and were corroborated by numerous pieces of evidence.  </w:t>
        <w:br/>
        <w:t xml:space="preserve">a) On the contractual relationship between KP1 and SPL  </w:t>
        <w:br/>
        <w:t xml:space="preserve">160. In 2010, SPL launched a precast wall manufacturing unit in Morbihan. At the time of this launch, SPL did not have internal resources to provide technical advice on its products. It also did not have a design office or planning service to offer a complete service for the design, manufacture, and delivery of precast walls. Thus, it approached KP1 to leverage its customer base to expand the outlets of its production unit and its technical expertise. It was in this context that KP1 entered the capital of SPL381.  </w:t>
        <w:br/>
        <w:t xml:space="preserve">161. The relationship between KP1 and SPL is based on several contracts signed on December 15, 2010:  </w:t>
        <w:br/>
        <w:t xml:space="preserve">− a memorandum of understanding providing for the acquisition of 10% of the share capital of SPL by KP1382. This stake does not confer a veto right to KP1383;  </w:t>
        <w:br/>
        <w:t xml:space="preserve">− a supply and procurement contract under which SPL must reserve 50% of its precast wall production for KP1 and is prohibited from selling "directly or indirectly the production not purchased by KP1 to a competitor precast wall reseller"384;  </w:t>
        <w:br/>
        <w:t xml:space="preserve">− a technical service provision contract under which KP1 commits to make its pricing study service (for estimates and valuations prior to the issuance of purchase orders), its design office (for the execution studies post-order), and its scheduling service (load management of the factory, definition of the provisional delivery schedule)385 available to SPL;  </w:t>
        <w:br/>
        <w:t xml:space="preserve">− a transport service provision contract under which SPL manages the transport of precast walls to KP1's customers386;  </w:t>
        <w:br/>
        <w:t xml:space="preserve">− a technical assistance contract and promise of technical advice license under which KP1 authorizes SPL to use its technical advice "Premurs KP1"387.  </w:t>
        <w:br/>
        <w:t xml:space="preserve">162. These contracts contain a number of clauses that restrict the commercial freedom of the parties, listed in the table below:  </w:t>
        <w:br/>
        <w:t xml:space="preserve">CONTRACTS DISPUTED CLAUSES  </w:t>
        <w:br/>
        <w:t xml:space="preserve">Article 4 – Volume  </w:t>
        <w:br/>
        <w:t xml:space="preserve">"4.1. In accordance with the orders placed by KP1, SPL commits to reserve 50% of its production for KP1, it is specified that, occasionally (in the context of an important site or if SPL has no other sites to supply), this percentage may be exceeded. KP1 commits to make its best efforts to market the production quota thus reserved for it, it is specified that if, extraordinarily, this quota is not reached, this will not give rise to any right to compensation from SPL to KP1, except in the case of gross negligence by KP1. Furthermore, monthly meetings will be held to provide visibility on the workload in order to optimally size the factory's capacity388. (emphasis added)  </w:t>
        <w:br/>
        <w:t xml:space="preserve">Article 6 – Price  </w:t>
        <w:br/>
        <w:t xml:space="preserve">Contract of "6.2 The Transfer Price is calculated based on an average gross margin for supply and the factory of 20%. An attached table in Appendix 1 provides an example of the calculation of the Transfer Price. This is a "factory gate" price. (emphasis added)  </w:t>
        <w:br/>
        <w:t xml:space="preserve">The items contributing to the determination of the Transfer Price are fixed for a period of 12 months after which they will be revised, except for steel prices which are indexed monthly to the GRYMAFER Cold Wire index. (…)  </w:t>
        <w:br/>
        <w:t xml:space="preserve">6.3 To take into account the costs incurred by the startup of the factory and the learning curve that will impact productivity at the beginning of operations, the Transfer Price will be increased by the following coefficient389"  </w:t>
        <w:br/>
        <w:t xml:space="preserve">Article 7 – Exclusivity  </w:t>
        <w:br/>
        <w:t xml:space="preserve">"7. SPL commits not to sell directly or indirectly the production not purchased by KP1 to a precast wall reseller."390  </w:t>
        <w:br/>
        <w:t xml:space="preserve">Article 7 – Non-solicitation  </w:t>
        <w:br/>
        <w:t xml:space="preserve">Contract of "7.1 Each Party commits, as long as this contract remains in force and for a period of 24 months following the date on which it ceases,  </w:t>
        <w:br/>
        <w:t xml:space="preserve">387 Cotes 3867 to 3871, referral no. 18/0161 AC.  </w:t>
        <w:br/>
        <w:t xml:space="preserve">388 Cote 3843, referral no. 18/0161 AC.  </w:t>
        <w:br/>
        <w:t xml:space="preserve">389 Cote 3844, referral no. 18/0161 AC.  </w:t>
        <w:br/>
        <w:t>390 Cote 3844, referral no. 18/0161 AC.</w:t>
      </w:r>
    </w:p>
    <w:p>
      <w:r>
        <w:rPr>
          <w:b/>
        </w:rPr>
        <w:t>[Pages 67–69]</w:t>
      </w:r>
    </w:p>
    <w:p>
      <w:r>
        <w:t xml:space="preserve">- Not to poach or cause to be poached, directly or indirectly, for itself or for any person whatsoever and for any purpose, employees or corporate officers of the other Party and/or its subsidiaries; </w:t>
        <w:br/>
        <w:t>- And this, personally or through an intermediary, for a fee or free of charge, on its own behalf or on behalf of any third parties.391</w:t>
      </w:r>
    </w:p>
    <w:p>
      <w:r>
        <w:t>2.4. "SPL undertakes to contract only with carriers belonging to the KP1 carrier network."392 (emphasis added)</w:t>
      </w:r>
    </w:p>
    <w:p>
      <w:r>
        <w:t>Article 8 – Fee</w:t>
      </w:r>
    </w:p>
    <w:p>
      <w:r>
        <w:t>"Considering the existing agreements between SPL and KP1, the technical assistance contract (supply and technical services) with which this contract forms an inseparable whole, and as long as KP1 is a shareholder of SPL, the remuneration for the obligations incumbent on KP1 is set at the symbolic sum of 1 (one) euro per year."393</w:t>
      </w:r>
    </w:p>
    <w:p>
      <w:r>
        <w:t>163. In its leniency statement, KP1 indicated that, following negotiations in 2016 and 2017, the parties agreed on a new contractual basis during a meeting on January 26, 2017, in Donges. The minutes of this meeting show that the negotiations primarily focused on the price level and the quantities of products purchased by KP1 from SPL394.</w:t>
      </w:r>
    </w:p>
    <w:p>
      <w:r>
        <w:t>164. It is undisputed that the contractual framework between KP1 and SPL remained in effect until December 15, 2017.</w:t>
      </w:r>
    </w:p>
    <w:p>
      <w:r>
        <w:t>b) On the other pieces of evidence</w:t>
      </w:r>
    </w:p>
    <w:p>
      <w:r>
        <w:t>165. The leniency applicant presented several documents, contemporaneous with the practices, attesting to the existence of an agreement between KP1 and SPL on prices, customer allocation, the outlets for SPL's production, as well as the existence of exchanges of sensitive information.</w:t>
      </w:r>
    </w:p>
    <w:p>
      <w:r>
        <w:t>166. Regarding customer allocation, it appears from the submitted elements that this agreement began a few months before the conclusion of the commercial partnership between the two companies.</w:t>
      </w:r>
    </w:p>
    <w:p>
      <w:r>
        <w:t>167. Thus, in a note from September 2010, titled "SPL-KP1 Partnership," the parties decided, to avoid "unnecessary tensions," notably:</w:t>
        <w:br/>
        <w:t>"the allocation of volumes produced by the factory between the two commercial networks of SPL and KP1;</w:t>
        <w:br/>
        <w:t>[…]</w:t>
        <w:br/>
        <w:t>the allocation of commercial actions between SPL and KP1 via a shared file of prospects updated twice a year, covering Brittany and the Loire region:</w:t>
        <w:br/>
        <w:t>- small and medium-sized enterprises directly or possibly via distribution for SPL,</w:t>
        <w:br/>
        <w:t>- medium-sized and major companies directly for KP1,</w:t>
        <w:br/>
        <w:t>SPL or KP1 reserving the possibility to sell beyond to their clientele or particular relationships."396</w:t>
      </w:r>
    </w:p>
    <w:p>
      <w:r>
        <w:t>168. Some exchanges attest that this allocation was effective in 2011397. From 2012, KP1 and SPL developed a customer allocation table, which was regularly updated during meetings or telephone exchanges398. According to KP1's statements, within this table, "customers can be (i) either allocated to SPL (yellow line), (ii) or allocated to KP1 (blue line) (iii) or free of any allocation and subject to possible 'densification' (white line)."399</w:t>
      </w:r>
    </w:p>
    <w:p>
      <w:r>
        <w:t>169. The elements in the table below in paragraph 174 illustrate the regular monitoring of market allocations.</w:t>
      </w:r>
    </w:p>
    <w:p>
      <w:r>
        <w:t>170. Regarding the agreement on prices, the leniency applicant indicated that the "concerted practices aimed at exchanging information regarding price increases and resale prices offered to their respective customers on products and their inserts ('bottom of the page')."400</w:t>
      </w:r>
    </w:p>
    <w:p>
      <w:r>
        <w:t>171. The implementation of this agreement is illustrated by the exchanges mentioned in the table below in paragraph 174.</w:t>
      </w:r>
    </w:p>
    <w:p>
      <w:r>
        <w:t>172. Regarding the limitation of SPL's outlets, this practice results from the exclusivity clause provided for in Article 7 of the supply contract cited in the table above, but also from certain exchanges provided by KP1 illustrating that the latter requested SPL not to sell its production through trading brands (Point P, Gedimat), but directly to builders as KP1 usually did, thus aligning the commercial policy of the two companies.</w:t>
      </w:r>
    </w:p>
    <w:p>
      <w:r>
        <w:t>173. Finally, regarding the exchanges of sensitive information, these also emerge from the exchanges mentioned in the table below.</w:t>
      </w:r>
    </w:p>
    <w:p>
      <w:r>
        <w:t>174. Thus, without being exhaustive, the following table summarizes examples of exchanges and agreements between SPL and KP1 from 2010 to 2018:</w:t>
      </w:r>
    </w:p>
    <w:p>
      <w:r>
        <w:t>DOCUMENT CONTENT</w:t>
        <w:br/>
        <w:t>"Decisions made:</w:t>
        <w:br/>
        <w:t>- Schedule a monthly commercial meeting on a fixed date (e.g., 1st Tuesday of the month)</w:t>
        <w:br/>
        <w:t>- KP1 will transmit its quantified orders to SPL</w:t>
        <w:br/>
        <w:t>- Systematically inform JYT of KP1's contacts with SPL companies</w:t>
        <w:br/>
        <w:t>- Assist JYT in entering its dedicated companies (joint visit)</w:t>
        <w:br/>
        <w:t>Retro-planning:</w:t>
        <w:br/>
        <w:t>SPL requests compliance with the retro-planning and milestones, namely informing customers of a 10-day notice for production, even if in reality it is often possible to do better, due to excellent relations between SPL and the Rennes Order (5… and 6…).</w:t>
        <w:br/>
        <w:t>[…]</w:t>
        <w:br/>
        <w:t>Volume allocation:</w:t>
        <w:br/>
        <w:t>Reminder: commitment to allocate the volume 50/50 between KP1 and SPL. JYT announces it cannot keep up with the pace of production capacity increase with its small companies.</w:t>
        <w:br/>
        <w:t>* Allocation of companies to be studied."401</w:t>
      </w:r>
    </w:p>
    <w:p>
      <w:r>
        <w:t>"- Price trends 2012</w:t>
        <w:br/>
        <w:t>Cement 3.5% announced by Calcia</w:t>
        <w:br/>
        <w:t>Steel</w:t>
        <w:br/>
        <w:t>Email from</w:t>
        <w:br/>
        <w:t>Aggregates 4%?</w:t>
        <w:br/>
        <w:t>14/10/2011 from KP1</w:t>
        <w:br/>
        <w:t>Transport Negative impact expected</w:t>
        <w:br/>
        <w:t>to SPL regarding</w:t>
        <w:br/>
        <w:t>KP1 increases its price offers by about 3% to anticipate these increases</w:t>
        <w:br/>
        <w:t>the notes taken</w:t>
        <w:br/>
        <w:t>[…]</w:t>
        <w:br/>
        <w:t>during the meeting</w:t>
        <w:br/>
        <w:t>between KP1 and SPL on - Volume allocation</w:t>
        <w:br/>
        <w:t>13/10/2011 List of companies to be validated in the meeting on 20/10 CA/JYTs see</w:t>
        <w:br/>
        <w:t>The CAEs must help JYT enter its dedicated companies by visiting them together."402</w:t>
      </w:r>
    </w:p>
    <w:p>
      <w:r>
        <w:t>Email from</w:t>
        <w:br/>
        <w:t>Transmission of an Excel file containing a customer list and indicating</w:t>
        <w:br/>
        <w:t>24/02/2012 from SPL "I leave it to you to fill in for your companies."403</w:t>
      </w:r>
    </w:p>
    <w:p>
      <w:r>
        <w:t>"I am increasingly worried about SPL because:</w:t>
        <w:br/>
        <w:t>Too much sale of large projects by Trading (Point P mainly) in Precast ==&gt; this 'pollutes' our commercial strategy regarding the sale of this product by Trading and Point P does not stop 'harassing us' on this subject.</w:t>
        <w:br/>
        <w:t>Internal email from</w:t>
        <w:br/>
        <w:t>KP1 30/05/2013</w:t>
        <w:br/>
        <w:t>For your information: last week I agreed with JY Tranvaux that all projects &gt; 200 m² in Precast must go directly. He accepted it, which is a first step, but I am waiting to see."</w:t>
      </w:r>
    </w:p>
    <w:p>
      <w:r>
        <w:t>"SPL noted that the ANGEVIN group would be welcome (he saw the virgin!!) if we could leave them (DONADA, ANGEVIN, PERSONNIC), which for me remains inconceivable because we (the 3 CAEs) have excellent contacts with this company, and even if RECTOR applies abnormal rates, we maintain the preference.</w:t>
        <w:br/>
        <w:t>This request will be presented at the meeting with KP1 in July, in order to start rebalancing sales."404</w:t>
      </w:r>
    </w:p>
    <w:p>
      <w:r>
        <w:rPr>
          <w:b/>
        </w:rPr>
        <w:t>[Pages 70–72]</w:t>
      </w:r>
    </w:p>
    <w:p>
      <w:r>
        <w:t>« PRICING</w:t>
        <w:br/>
        <w:t>See above</w:t>
        <w:br/>
        <w:t>-Objective: price studies: minimum €45/m²</w:t>
        <w:br/>
        <w:t>-Negotiation: &gt;€43/m</w:t>
        <w:br/>
        <w:t>Minutes of</w:t>
        <w:br/>
        <w:t>-on a case-by-case basis</w:t>
        <w:br/>
        <w:t>the meeting of</w:t>
        <w:br/>
        <w:t>February 17, 2015, between CLIENT FILE</w:t>
        <w:br/>
        <w:t>- KP1 wishes to keep Guicheteau</w:t>
        <w:br/>
        <w:t>KP1 and SPL</w:t>
        <w:br/>
        <w:t>- Issues to address: FESTINI, LANG, BALINEAU: we should give back 3 companies"; "Pricing Objective: price studies: minimum €45/m² / Negotiation: &gt;€43/m² / on a case-by-case basis"405</w:t>
      </w:r>
    </w:p>
    <w:p>
      <w:r>
        <w:t>« PRICING</w:t>
        <w:br/>
        <w:t>Objective: price studies: minimum €43/m² to €45/m²</w:t>
        <w:br/>
        <w:t>Our prices: we slightly raise our prices and we see</w:t>
        <w:br/>
        <w:t>Billing Racks: no consignment for their best clients SPL</w:t>
        <w:br/>
        <w:t>Check footers: everything must be written</w:t>
        <w:br/>
        <w:t>Increase in footers:</w:t>
        <w:br/>
        <w:t>CFA steels: €1.85/kg</w:t>
        <w:br/>
        <w:t>Common steels: €1.55/kg</w:t>
        <w:br/>
        <w:t>Loops and GC tubes: €7.7/unit</w:t>
        <w:br/>
        <w:t>Minutes of</w:t>
        <w:br/>
        <w:t>Sockets: €6.80/unit</w:t>
        <w:br/>
        <w:t>the meeting of</w:t>
        <w:br/>
        <w:t>Waiting boxes: €16.50/meter</w:t>
        <w:br/>
        <w:t>November 22, 2016, between</w:t>
        <w:br/>
        <w:t>Single-use slings: €3.85/m²</w:t>
        <w:br/>
        <w:t>KP1 and SPL</w:t>
        <w:br/>
        <w:t>Applicable from June 15 on new offers</w:t>
        <w:br/>
        <w:t>[…]</w:t>
        <w:br/>
        <w:t>5) Billing for BE and BPO services to SPL</w:t>
        <w:br/>
        <w:t>Status:</w:t>
        <w:br/>
        <w:t>• SEP billing: ok</w:t>
        <w:br/>
        <w:t>• BE service billing: works, few cases</w:t>
        <w:br/>
        <w:t>• BPO billing: still issues: billing with delivery notes is not respected ^ ThL =&gt; see G2A »406</w:t>
      </w:r>
    </w:p>
    <w:p>
      <w:r>
        <w:t>« CLIENT FILE</w:t>
        <w:br/>
        <w:t>Properly RESPECT our "clients"</w:t>
        <w:br/>
        <w:t>Minutes of</w:t>
        <w:br/>
        <w:t>- SCBM: 4… tried to work with them! (with JY Tranvaux's agreement)</w:t>
        <w:br/>
        <w:t>the meeting of</w:t>
        <w:br/>
        <w:t>July 5, 2017, between</w:t>
        <w:br/>
        <w:t>- BOUYGUES: between JYT and NP: agreement and agreement to share)</w:t>
        <w:br/>
        <w:t>KP1 and SPL</w:t>
        <w:br/>
        <w:t>PRICING</w:t>
        <w:br/>
        <w:t>- Objective: price studies: minimum €43/m² to €45/m² »407</w:t>
      </w:r>
    </w:p>
    <w:p>
      <w:r>
        <w:t>175. Finally, it should be noted that a number of documents reveal that when it began to develop its business, SPL sought, in some cases, to detach itself from the agreement and adopt competitive behavior.</w:t>
      </w:r>
    </w:p>
    <w:p>
      <w:r>
        <w:t>176. Thus, in an internal email to KP1 dated May 30, 2013, an employee stated: "I am increasingly worried about SPL because:</w:t>
        <w:br/>
        <w:t>405 Cotes 3909 and 3910, saisine n° 18/0161 AC.</w:t>
        <w:br/>
        <w:t>406 Cotes 4003 to 4005, saisine n° 18/0161 AC.</w:t>
        <w:br/>
        <w:t>407 Cotes 4032 to 4037, saisine n° 18/0161 AC.</w:t>
      </w:r>
    </w:p>
    <w:p>
      <w:r>
        <w:t>- Too much sale of large projects by the Trading (mainly Point P) in Precast ==&gt; this "pollutes" our commercial strategy regarding the sale of this product by the Trading and Point P does not stop "harassing us" on this subject.</w:t>
        <w:br/>
        <w:t>For your information: last week I agreed with JY Tranvaux that all projects &gt; 200 m² in Precast must imperatively go direct. He accepted it, which is a first step, but I am waiting to see.</w:t>
        <w:br/>
        <w:t>- They are doing precast on tables: their objectives would be 40,000 m² over 1 year ==&gt; here too, I tried to have them apply our pricing conditions because the first projects were treated at around €20/m² or less (to be confirmed). For now, our pricing grids seem to be respected.</w:t>
        <w:br/>
        <w:t>- They hired a Price Study / Precast drawing designer: duly noted. We thought "he wouldn't make it," but apparently everything is working very well.</w:t>
        <w:br/>
        <w:t>- Now, S Renaudin is talking to me about hiring a Precast designer to help us in the future in Rennes, but also to have someone available to draw SPL projects ==&gt; here, I am really starting to have questions because at this rate, they will start to set up a real BE at SPL ==&gt; I sincerely believe this is their goal.</w:t>
        <w:br/>
        <w:t>- By constantly talking about our client files, all companies are currently being seen by SPL ==&gt; their sales network is seriously starting to expand.</w:t>
        <w:br/>
        <w:t>I felt it was necessary to alert you on all these subjects, even if points 1 and 2 seem to be functioning correctly at the moment.</w:t>
        <w:br/>
        <w:t>I do not know what we have in our contracts, but I am almost certain that SPL wants to gain more and more autonomy.</w:t>
        <w:br/>
        <w:t>Should we not fear that SPL will abandon us in the coming years? »408.</w:t>
      </w:r>
    </w:p>
    <w:p>
      <w:r>
        <w:t>177. Similarly, in an internal email to KP1 dated June 19, 2013, the KP1 employee stated: "[m]auve color, SPL noted that the ANGEVIN group would be welcome (he saw the virgin!!), if we could leave them (DONADA, ANGEVIN, PERSONNIC), which for me remains inconceivable because we have (the 3 CAE) excellent contacts with this company, and even if RECTOR applies abnormal rates, we maintain the preference. [sic] »409.</w:t>
      </w:r>
    </w:p>
    <w:p>
      <w:r>
        <w:t>178. It appears from these elements that KP1 and SPL established, starting in 2010, within the framework of a contractual relationship marked by KP1's minority stake in SPL and commercial cooperation, an agreement covering all aspects of SPL's commercial policy.</w:t>
      </w:r>
    </w:p>
    <w:p>
      <w:r>
        <w:t>5. ON THE PRACTICES ALLEGED AGAINST THE FIDAL FIRM</w:t>
      </w:r>
    </w:p>
    <w:p>
      <w:r>
        <w:t>a) On the elements seized during the searches</w:t>
      </w:r>
    </w:p>
    <w:p>
      <w:r>
        <w:t>179. On October 25, 2018, a document prepared by the Fidal firm for a training session held at the FIB on November 22, 2007, was seized at Rector's premises.</w:t>
      </w:r>
    </w:p>
    <w:p>
      <w:r>
        <w:t>180. A number of slides aimed to prevent the detection of anticompetitive practices by the competition authorities:</w:t>
        <w:br/>
        <w:t>"[Slide 12]: The constitution of practices:</w:t>
        <w:br/>
        <w:t>Formal and informal meetings</w:t>
        <w:br/>
        <w:t> Particular vigilance:</w:t>
        <w:br/>
        <w:t> To the minutes or agenda of meetings whose purpose would be:</w:t>
        <w:br/>
        <w:t>Exchanges of information on prices, discussion of minimum prices…,</w:t>
        <w:br/>
        <w:t>o</w:t>
        <w:br/>
        <w:t>The establishment of common strategies,</w:t>
        <w:br/>
        <w:t>o</w:t>
        <w:br/>
        <w:t>A limitation of sources of supply, (…)</w:t>
        <w:br/>
        <w:t>o</w:t>
        <w:br/>
        <w:t> To the implementation of decisions made</w:t>
        <w:br/>
        <w:t> To telephone conversations and related memos;</w:t>
        <w:br/>
        <w:t> To documents that may be seized such as notebooks, agendas, minutes, notes, computer messages…".</w:t>
      </w:r>
    </w:p>
    <w:p>
      <w:r>
        <w:t>"[Slide 42]: Good management measures</w:t>
        <w:br/>
        <w:t>Principles</w:t>
        <w:br/>
        <w:t> For the past</w:t>
        <w:br/>
        <w:t>- Clearing the situation internally whether in your offices or at home; for this purpose, it is advisable, with your secretariat, to:</w:t>
        <w:br/>
        <w:t>Review each file</w:t>
        <w:br/>
        <w:t>o</w:t>
        <w:br/>
        <w:t>Review all computerized documents: e-emails, hard drives, floppy disks, CDs,</w:t>
        <w:br/>
        <w:t>o</w:t>
        <w:br/>
        <w:t>Review all documents, notebooks and diaries, notes, post-its"</w:t>
        <w:br/>
        <w:t>o</w:t>
      </w:r>
    </w:p>
    <w:p>
      <w:r>
        <w:t>"[Slide 44]: Good management measures</w:t>
        <w:br/>
        <w:t>Practical advice</w:t>
        <w:br/>
        <w:t> Use binders rather than notebooks because the competition authorities can only seize the sheets related to the subject of the investigation, while they will seize an entire notebook.</w:t>
        <w:br/>
        <w:t> Be careful with the names given to files on your PC and the names of binders (for example, names of competitors/ folder named "Agreement").</w:t>
        <w:br/>
        <w:t> The competition authorities conduct their computer searches by keywords: avoid any suspicious name.</w:t>
        <w:br/>
        <w:t> Check the documents that need to be kept and those that are unnecessary (drafts).</w:t>
        <w:br/>
        <w:t>Regularly archive all documents outside of PCs (once a year, by completely clearing the memory of the PC).</w:t>
        <w:br/>
        <w:t>Place the archives outside the company's premises."</w:t>
      </w:r>
    </w:p>
    <w:p>
      <w:r>
        <w:t>"[Slide 45]: Good management measures</w:t>
        <w:br/>
        <w:t>Always keep in mind"</w:t>
      </w:r>
    </w:p>
    <w:p>
      <w:r>
        <w:rPr>
          <w:b/>
        </w:rPr>
        <w:t>[Pages 73–75]</w:t>
      </w:r>
    </w:p>
    <w:p>
      <w:r>
        <w:t> That one must be careful:</w:t>
        <w:br/>
        <w:t> About the content of the notes you write: it is better not to write anything / write on sheets (avoid notebooks)</w:t>
        <w:br/>
        <w:t> About the memos you send (meeting minutes, ...)</w:t>
        <w:br/>
        <w:t> About the content of the emails you send to your competitors and other members of the company</w:t>
        <w:br/>
        <w:t> About the content of your agendas / palms / messaging systems</w:t>
        <w:br/>
        <w:t> About the content of the emails sent to you by your secretary to remind you of an appointment</w:t>
        <w:br/>
        <w:t> That all electronic documents leave lasting traces on the hard drive, even when they have been deleted.</w:t>
        <w:br/>
        <w:t> That, despite these precautions, one never knows what one might find with other participants in the meetings.</w:t>
        <w:br/>
        <w:t>Ignorance of the unlawful nature of a behavior is not an admissible defense argument.410</w:t>
      </w:r>
    </w:p>
    <w:p>
      <w:r>
        <w:t>181. The searches established that the Fidal firm also provided training to the Rector teams on June 28, 2012411, June 19, 2013412, March 4, 2014413, June 24, 2014414, and April 8, 2015415 on topics related to competition law and preparation for searches and police custody. Several emails also report the organization of training within the regional teams of Rector in 2012416 and 2014417.</w:t>
      </w:r>
    </w:p>
    <w:p>
      <w:r>
        <w:t>b) On the statements of former employees of Rector</w:t>
      </w:r>
    </w:p>
    <w:p>
      <w:r>
        <w:t>182. During his hearing by the investigative services on January 21, 2016, Mr. Q..., a former employee of Rector, stated: "In 2014, a law firm came to provide training on anticompetitive practices in Compiègne (factory and offices of the L2P region) at the request of Mr. R.... All the salespeople, Mr. R... and the sales manager participated in this training. The lawyer gave us instructions on how to manage documents that could constitute evidence of collusion. She had been informed evidently before the meeting of the existence of the 'tables' and the related documents. Specifically, she asked us to establish a code of discussion among ourselves. For example, if we had to mention the 'tables' or the 'charts', we had to find other terms. For physical documents, she asked us to destroy them after each 'table'. She also asked us to tear out the pages of our notebooks as we went along to avoid leaving a history. Similarly, she encouraged us to erase all traces in the messaging systems and other computer files. The lawyer also provided us with the procedure to follow in case of intervention by the administration or a search. We were to immediately call Mr. R..., our regional director. We did not have any written support for the training. After this training, Mr. R... asked us to implement these recommendations. To my knowledge, the salespeople did not comply. In fact, if we destroyed our working documents, we no longer had access to our historical records of appointments for construction sites."418 (emphasis added).</w:t>
      </w:r>
    </w:p>
    <w:p>
      <w:r>
        <w:t>183. Mr. Q... confirmed these statements during a hearing conducted by the investigative services on March 14, 2019, stating: "Question: You referred to a training on competition law conducted by a lawyer, do you remember if it was a RECTOR Lesage or FIB training? Answer: It was not FIB, this training took place at RECTOR's premises in Compiègne, moreover I do not remember the name of the law firm, I just remember that it was a woman who was alone. The entire sales department attended this training, all the project managers and their boss, namely Mr. R..., during this training we were explained which documents we could keep and which we had to destroy. For us, it was not operational and impossible to implement, indeed we needed the client history. Question: Were you told during this training that what you were doing was illegal and that it should stop? Answer: No, in fact no one mentioned these tables in front of us, and I can say that as salespeople we suffered the consequences and we were indeed led to apply the decisions made during these arrangements. This situation went against my convictions in the commercial field, which is why I resigned in 2014. I specify that one of my colleagues, S..., resigned at the same time as me and for the same reasons. I add that the situation deteriorated after the departure of T..., who, in a way, protected us."419 (emphasis added)</w:t>
      </w:r>
    </w:p>
    <w:p>
      <w:r>
        <w:t>184. During his hearing by the investigative services on March 14, 2019, Mr. T..., former sales manager of Rector, stated: "One or two years before my dismissal, I confided to my late father, a former police commissioner, that I was practicing illegal 'round tables'... I reported to Messrs. U..., F..., and E..., gathered at the LONGUEIL SAINTE MARIE site, the conversation I had with my father. In response, they told me that we should continue because it was going well. Three or four months later, a lawyer from a Parisian firm came to meet us at the LONGUEIL SAINTE MARIE site: in front of all the sales managers, regional directors &amp; salespeople, this lawyer gave us instructions in case we were caught by the judicial police, namely the following: - be silent, - immediately notify headquarters, - prohibit access to the offices, - destroy all elements in our possession: by 'elements' this lawyer clearly referred to the tables used for the round tables, but also to all computer supports (USB keys, etc...) likely to contain incriminating data, for my part I did not destroy the evidence I had, in this case it was Excel spreadsheets. I commit to send them to you as soon as possible - adopt codes to communicate with our competitors, and especially avoid ostentatiously communicating by phone with competitors about these practices. Question: During this training, did this lawyer encourage you to put an end to these illegal collusion practices? Answer: Although this lawyer seemed to know that we were practicing these tables, in no way, just like our leaders, did she ask us to put an end to these illegal agreements."420 (emphasis added)</w:t>
      </w:r>
    </w:p>
    <w:p>
      <w:r>
        <w:t>185. It emerges from these elements that the Fidal firm provided training to the FIB in 2007 proposing a method for concealing anticompetitive collusion practices. The Fidal firm subsequently provided several trainings on topics concerning competition law at Rector between 2012 and 2015. It appears from the consistent statements of two former employees of Rector that during a training provided in 2014, a lawyer from the Fidal firm, who, according to them, seemed to be aware of the collusion targeted by grievance 1, would have given them advice to conceal this anticompetitive practice.</w:t>
      </w:r>
    </w:p>
    <w:p>
      <w:r>
        <w:t>E. NOTIFIED GRIEVANCES</w:t>
      </w:r>
    </w:p>
    <w:p>
      <w:r>
        <w:t>186. On March 23, 2022, the investigative services notified the following grievances:</w:t>
      </w:r>
    </w:p>
    <w:p>
      <w:r>
        <w:t>GRIEVANCE 1</w:t>
      </w:r>
    </w:p>
    <w:p>
      <w:r>
        <w:t>"It is alleged against the companies KP1, Rector, A2C, Soprel, Strudal, SEAC, SLM, FB, and IB that they participated in a unique and continuous collusion in the market for prefabricated concrete products in France, by implementing agreements and coordinated practices aimed, on the one hand, at jointly fixing the selling prices of prefabricated concrete products and, on the other hand, at allocating customers and customer volumes, from construction companies, through the awarding of tenders, the establishment of volume quotas, and the use of cover offers. This collusion has harmed the setting of prices by the free play of competition and has obstructed the free choice of customers regarding their supplier of prefabricated concrete products. These horizontal agreements on the prices of prefabricated concrete products and on the..."</w:t>
      </w:r>
    </w:p>
    <w:p>
      <w:r>
        <w:rPr>
          <w:b/>
        </w:rPr>
        <w:t>[Pages 76–78]</w:t>
      </w:r>
    </w:p>
    <w:p>
      <w:r>
        <w:t>this agreement has harmed the setting of prices by the free play of competition and has obstructed the free choice of customers regarding their supplier of precast concrete products. These horizontal agreements on the prices of precast concrete products and on the distribution of tenders among construction companies have distorted two of the essential parameters for the competitive functioning of the precast concrete products market and constitute infringements by object within the meaning of Article L. 420-1 of the Commercial Code and Article 101, paragraph 1, TFEU.</w:t>
      </w:r>
    </w:p>
    <w:p>
      <w:r>
        <w:t>The agreement was implemented, at the very least, between September 22, 2003, and October 25, 2018. The grievance is notified according to the following periods:</w:t>
      </w:r>
    </w:p>
    <w:p>
      <w:r>
        <w:t>1. Within the KP1 group:</w:t>
        <w:br/>
        <w:t xml:space="preserve">   - KP1 SAS (RCS 976 320 309);</w:t>
        <w:br/>
        <w:t xml:space="preserve">   - KP1 Bâtiments (RCS 306 187 535);</w:t>
        <w:br/>
        <w:t xml:space="preserve">   - KP1 Développement (RCS 498 141 084);</w:t>
        <w:br/>
        <w:t xml:space="preserve">   - KP1 R&amp;D (RCS 337 661 557);</w:t>
        <w:br/>
        <w:t xml:space="preserve">   - KP1 Armatures (RCS 976 920 074);</w:t>
        <w:br/>
        <w:t>for their direct participation in the practices between 2003 and October 25, 2018 and to the companies:</w:t>
        <w:br/>
        <w:t xml:space="preserve">   - KP1 SAS (RCS 976 320 309);</w:t>
        <w:br/>
        <w:t xml:space="preserve">   - KP1 Services SAS (RCS 493 103 170) for the entire duration of the practices, from the beginning of 2003 to October 25, 2018;</w:t>
        <w:br/>
        <w:t xml:space="preserve">   - K Alpha (RCS Luxembourg B 121 968) for the period from January 26, 2007, to September 2018;</w:t>
        <w:br/>
        <w:t xml:space="preserve">   - K Alpha 1 SARL (RCS Luxembourg B 217 898) for the period from September to October 2018;</w:t>
        <w:br/>
        <w:t>in their capacity as parent companies;</w:t>
      </w:r>
    </w:p>
    <w:p>
      <w:r>
        <w:t>2. Within the Rector group:</w:t>
        <w:br/>
        <w:t xml:space="preserve">   - Planchers Durandal (RCS 492 115 142), for the period from October 12, 2006, to October 25, 2018;</w:t>
        <w:br/>
        <w:t xml:space="preserve">   - Planchers Fabre (RCS 509 434 213), for the period from July 6, 2009, to October 25, 2018;</w:t>
        <w:br/>
        <w:t xml:space="preserve">   - for their direct participation during the indicated periods and to:</w:t>
        <w:br/>
        <w:t xml:space="preserve">   - Rector Lesage SAS (RCS 307 322 214), for its direct participation during the entire duration of the practices, from 2003 to October 25, 2018, and in its capacity as the parent company of Planchers Durandal and Planchers Fabre during the indicated periods of their participation in the practices;</w:t>
        <w:br/>
        <w:t xml:space="preserve">   - the company Lesage Industrielle du Béton SAS [sic] (hereinafter "LIB", RCS 431 748 961), in its capacity as the parent company of Rector Lesage SAS during the entire duration of the practices, from 2003 to October 25, 2018, and of Planchers Durandal and Planchers Fabre during the indicated periods of their participation in the practices;</w:t>
      </w:r>
    </w:p>
    <w:p>
      <w:r>
        <w:t>3. A2C Prefa (RCS 775 737 067), for its direct participation during the entire duration of the practices, from the beginning of 2003 to October 25, 2018, and to the company A2C Matériaux for the period from 2003 to October 25, 2018 (RCS 346 480 114), in its capacity as the parent company of A2C Prefa;</w:t>
      </w:r>
    </w:p>
    <w:p>
      <w:r>
        <w:t>4. Groupe Soprel (RCS 582 090 718), for its direct participation in the practices from the beginning of 2003 to October 25, 2018, and to the company Soprel Group Entreprises SA (RCS Luxembourg B78795), as the parent company of Groupe Soprel during the entire duration of the practices, from the beginning of 2003 to October 25, 2018;</w:t>
      </w:r>
    </w:p>
    <w:p>
      <w:r>
        <w:t>5. SAS Strudal (RCS 334 454 600), for its direct participation in the practices between September 22, 2003, and October 5, 2018, and to the company SPRL DAL Industries (BCE no. 0645695049), as the parent company exercising a determining influence over its subsidiary SAS Strudal during the entire duration of the practices, from September 22, 2003, to October 5, 2018;</w:t>
      </w:r>
    </w:p>
    <w:p>
      <w:r>
        <w:t>6. SA SEAC Guiraud Frères (RCS 620 800 581), for its direct participation in the practices from 2003 to October 25, 2018, and to the company SOFIB (RCS 348 298 647), as the parent company of SEAC Services and SEAC Guiraud Frères during the entire duration of the practices, from 2003 to October 25, 2018;</w:t>
      </w:r>
    </w:p>
    <w:p>
      <w:r>
        <w:t>7. Within the GSL group:</w:t>
        <w:br/>
        <w:t xml:space="preserve">   - SLM (Siren 345 880 421), for its direct participation during the entire duration of the practices, from the beginning of 2003 to October 25, 2018;</w:t>
        <w:br/>
        <w:t xml:space="preserve">   - Structures Préfabrications Services (RCS 344 196 365), for its direct participation from 2004 to October 25, 2018;</w:t>
        <w:br/>
        <w:t xml:space="preserve">   - Comptoir de la Préfabrication (RCS 421 163 841), for its direct participation from December 2016 to October 25, 2018;</w:t>
        <w:br/>
        <w:t xml:space="preserve">   - S.E.G. (Siren 332 455 195) from 2003 to 2011 and to GSL (Siren 528 691 975) for the period from 2012 to 2018, in their capacity as parent companies of the subsidiaries SLM, Structures Préfabrication Services, and Comptoir de la Préfabrication during the specified periods;</w:t>
      </w:r>
    </w:p>
    <w:p>
      <w:r>
        <w:t>8. FB Groupe France SAS and the companies of the Echo group:</w:t>
        <w:br/>
        <w:t xml:space="preserve">   - the company Echolux SA and the company Echo NV, for their direct participation in the practices from November 24, 2003, to the end of 2007;</w:t>
        <w:br/>
        <w:t xml:space="preserve">   - the company FB Groupe France SAS (RCS 501 161 988), for its direct participation in the practices, from the beginning of 2008 to October 25, 2018;</w:t>
        <w:br/>
        <w:t xml:space="preserve">   - the company Echobel NV (no. 0401 294 443) and the company Galm Participaties NV (no. 0463 583 586), in their capacity as parent companies of Echolux SA, Echo NV, and FB Groupe France (formerly Echo France) from 2003 to January 2013;</w:t>
        <w:br/>
        <w:t xml:space="preserve">   - the company Industry Partner SA (RCS B174 624), in its capacity as the parent company of FB Groupe France from January 2013 to October 25, 2018.</w:t>
      </w:r>
    </w:p>
    <w:p>
      <w:r>
        <w:t>9. Industrielle de béton (RCS 697 380 194) for its direct participation in the practices between September 25, 2003, and October 25, 2018 and in their capacity as parent companies to:</w:t>
        <w:br/>
        <w:t xml:space="preserve">   - Willemen Groep NV for the period from 2003 to June 2004;</w:t>
        <w:br/>
        <w:t xml:space="preserve">   - Plakabeton N.V. and Imprecon N.V. for the period from June 2004 to 2009;</w:t>
        <w:br/>
        <w:t xml:space="preserve">   - Marlux Klaps NV for the period from 2005 to 2009;</w:t>
        <w:br/>
        <w:t xml:space="preserve">   - CRH France SAS and CRH plc, for the period from December 10, 2009, to October 25, 2018.</w:t>
      </w:r>
    </w:p>
    <w:p>
      <w:r>
        <w:t>GRIEVANCE 2</w:t>
        <w:br/>
        <w:t>The companies KP1, Rector, and SEAC are accused of having implemented agreements and concerted practices relating to the prices of products sold to CMIs and trading companies, aimed at eliminating the uncertainty inherent in any commercial negotiation with customers and which constitute infringements by object prohibited by Article L. 420-1 of the Commercial Code and Article 101, paragraph 1, TFEU.</w:t>
      </w:r>
    </w:p>
    <w:p>
      <w:r>
        <w:t>These practices were implemented, at the very least, between April 2011 and October 25, 2018. The grievance is notified to the following companies according to the following periods:</w:t>
      </w:r>
    </w:p>
    <w:p>
      <w:r>
        <w:t>1. KP1 SAS (RCS 976 320 309), KP1 Bâtiments (RCS 306 187 535), KP1 Développement (RCS 498 141 084), KP1 R&amp;D (RCS 337 661 557), and KP1 Armatures (RCS 976 920 074) for their direct participation in the practices between April 2011 and October 25, 2018 and to the companies:</w:t>
        <w:br/>
        <w:t xml:space="preserve">   - KP1 SAS (RCS 976 320 309);</w:t>
        <w:br/>
        <w:t xml:space="preserve">   - KP1 Services SAS (RCS 493 103 170), for the entire duration of the practices;</w:t>
        <w:br/>
        <w:t xml:space="preserve">   - K Alpha (RCS Luxembourg B 121 968), for the period from April 2011 to October 25, 2018;</w:t>
        <w:br/>
        <w:t xml:space="preserve">   - K Alpha 1 SARL (RCS Luxembourg B 217 898), for the period of September and October 2018;</w:t>
        <w:br/>
        <w:t>in their capacity as parent companies;</w:t>
      </w:r>
    </w:p>
    <w:p>
      <w:r>
        <w:t>2. Within the Rector group:</w:t>
        <w:br/>
        <w:t xml:space="preserve">   - Planchers Durandal (RCS 492 115 142);</w:t>
        <w:br/>
        <w:t xml:space="preserve">   - Planchers Fabre (RCS 509 434 213);</w:t>
        <w:br/>
        <w:t xml:space="preserve">   - for their direct participation between April 2011 and October 25, 2018 and to:</w:t>
        <w:br/>
        <w:t xml:space="preserve">   - Rector Lesage SAS (RCS 307 322 214), for its direct participation during the entire duration of the practices, from April 2011 to October 25, 2018, and in its capacity as the parent company of Planchers Durandal and Planchers Fabre, during the indicated periods of their participation in the practices and to:</w:t>
        <w:br/>
        <w:t xml:space="preserve">   - the company Lesage Industrielle du Béton SAS [sic] (hereinafter "LIB", RCS 431 748 961), in its capacity as the parent company of Rector Lesage SAS during the entire duration of the practices, from April 2011 to October 25, 2018, and of Planchers Durandal and Planchers Fabre during the indicated periods of their participation in the practices;</w:t>
      </w:r>
    </w:p>
    <w:p>
      <w:r>
        <w:t>3. SA SEAC Guiraud Frères (RCS 620 800 581), for its direct participation in the practices between April 2011 and October 25, 2018, and to the company SOFIB (SIREN 348 298 647), as the parent company of SEAC Services and SEAC Guiraud Frères during the entire duration of the practices, from April 2011 to October 25, 2018.</w:t>
      </w:r>
    </w:p>
    <w:p>
      <w:r>
        <w:rPr>
          <w:b/>
        </w:rPr>
        <w:t>[Pages 79–81]</w:t>
      </w:r>
    </w:p>
    <w:p>
      <w:r>
        <w:t>GRIEVANCE 3</w:t>
      </w:r>
    </w:p>
    <w:p>
      <w:r>
        <w:t>It is alleged against the companies KP1, Eurobéton, Strudal, Soprel, and IB that they implemented agreements and coordinated practices aimed at coordinating their pricing policy and dividing up tenders related to concrete framing. These practices constitute prohibited infringements by object under Article L. 420-1 of the Commercial Code and Article 101, paragraph 1, TFEU. These practices were implemented, at the very least, between March 2011 and October 25, 2018. The grievance is notified to the following companies according to the periods set out below:</w:t>
      </w:r>
    </w:p>
    <w:p>
      <w:r>
        <w:t>1. KP1 SAS (RCS 976 320 309), KP1 Bâtiments (RCS 306 187 535), KP1 Développement (RCS 498 141 084), KP1 R&amp;D (RCS 337 661 557), and KP1 Armatures (RCS 976 920 074) for their direct participation in the practices between March 2011 and October 25, 2018 and to the companies:</w:t>
        <w:br/>
        <w:t xml:space="preserve">   − KP1 SAS (RCS 976 320 309);</w:t>
        <w:br/>
        <w:t xml:space="preserve">   − KP1 Services SAS (RCS 493 103 170), for the entire duration of the practices;</w:t>
        <w:br/>
        <w:t xml:space="preserve">   − K Alpha (RCS Luxembourg B 121 968);</w:t>
        <w:br/>
        <w:t xml:space="preserve">   − K Alpha 1 SARL (RCS Luxembourg B 217 898)</w:t>
        <w:br/>
        <w:t xml:space="preserve">   in their capacity as parent companies;</w:t>
      </w:r>
    </w:p>
    <w:p>
      <w:r>
        <w:t>2. Eurobéton France (RCS 382 679 124), for its direct participation during the entire duration of the practices, namely from December 14, 2011, to October 25, 2018 and to:</w:t>
        <w:br/>
        <w:t xml:space="preserve">   − JAV Investissement Sarl (RCS 449 455 369), for the period from November 25, 2013, to October 25, 2018 and</w:t>
        <w:br/>
        <w:t xml:space="preserve">   − VAMTAJ Sarl. (n° B211011), for the period from September to October 2018;</w:t>
        <w:br/>
        <w:t xml:space="preserve">   in their capacity as parent companies of Eurobéton;</w:t>
      </w:r>
    </w:p>
    <w:p>
      <w:r>
        <w:t>3. Groupe Soprel (RCS 582 090 718), for its direct participation in the practices, from November 2016 to October 25, 2018, and to the company Soprel Group Entreprises SA (RCS Luxembourg B78795), as the parent company of Groupe Soprel during the entire duration of the practices;</w:t>
      </w:r>
    </w:p>
    <w:p>
      <w:r>
        <w:t>4. SAS Strudal (RCS 334 454 600), for its direct participation in the practices from September 2012 to October 25, 2018 and to the company SPRL DAL Industries (n° 0645695049), as the parent company exercising a determining influence over its subsidiary SAS Strudal during the entire duration of the practices;</w:t>
      </w:r>
    </w:p>
    <w:p>
      <w:r>
        <w:t>5. Industrielle de béton (RCS 697 380 194), for its direct participation in the practices from March 2011 to October 25, 2018 and in their capacity as parent companies to CRH France SAS and CRH plc, during the entire duration of the practices.</w:t>
      </w:r>
    </w:p>
    <w:p>
      <w:r>
        <w:t>GRIEVANCE 4</w:t>
      </w:r>
    </w:p>
    <w:p>
      <w:r>
        <w:t>It is alleged against the companies KP1 and SPL that they implemented collusive practices related to pricing, the setting of prices for precast concrete products, the sharing of clients, and the mutual non-poaching of employees. These practices persisted, at the very least, between September 2010 and April 4, 2019. This grievance is notified to:</w:t>
      </w:r>
    </w:p>
    <w:p>
      <w:r>
        <w:t>1. KP1 SAS (RCS 976 320 309), for its direct participation in the practices and to the companies:</w:t>
        <w:br/>
        <w:t xml:space="preserve">   − KP1 Services SAS (RCS 493 103 170), for the entire duration of the practices;</w:t>
        <w:br/>
        <w:t xml:space="preserve">   − K Alpha (RCS Luxembourg B 121 968), for the entire duration of the practices;</w:t>
        <w:br/>
        <w:t xml:space="preserve">   − K Alpha 1 SARL (RCS Luxembourg B 217 898), for the period from September to October 2018,</w:t>
        <w:br/>
        <w:t xml:space="preserve">   in their capacity as parent companies of KP1;</w:t>
      </w:r>
    </w:p>
    <w:p>
      <w:r>
        <w:t>2. SPL (RCS n°503 464 158), for its direct participation in the practices, from September 2010 to April 4, 2019;</w:t>
      </w:r>
    </w:p>
    <w:p>
      <w:r>
        <w:t>These behaviors have an anticompetitive object and are prohibited by Articles 101, paragraph 1, TFEU and L. 420-1 of the Commercial Code.</w:t>
      </w:r>
    </w:p>
    <w:p>
      <w:r>
        <w:t>GRIEVANCE 5</w:t>
      </w:r>
    </w:p>
    <w:p>
      <w:r>
        <w:t>It is alleged against the firm Fidal SELAS (RCS 525 031 522) that it participated in the unique and continuous agreement in the market for precast concrete products in France, by facilitating the implementation of agreements and coordinated practices by the manufacturers of precast concrete products (aiming, on the one hand, to set selling prices for the products and, on the other hand, to divide clients and volumes among construction companies), by providing them with advice aimed at concealing these practices, notably through the use of codes and the destruction of documents, in order to make them undetectable by the competition authorities.</w:t>
      </w:r>
    </w:p>
    <w:p>
      <w:r>
        <w:t>This grievance is notified to:</w:t>
        <w:br/>
        <w:t xml:space="preserve">   − Fidal SELAS (RCS 525 031 522), for its direct participation during the entire duration of the practices, namely from 2007 to March 2014;</w:t>
        <w:br/>
        <w:t xml:space="preserve">   − Fidal et Associés SPFPL (RCS 755 726 433), in its capacity as the parent company that exercised a determining influence over Fidal SELAS between March 31, 2011, and March 2014.</w:t>
      </w:r>
    </w:p>
    <w:p>
      <w:r>
        <w:t>These practices constitute infringements by object within the meaning of Article L. 420-1 of the Commercial Code and Article 101, paragraph 1, TFEU.</w:t>
      </w:r>
    </w:p>
    <w:p>
      <w:r>
        <w:t>II. Discussion</w:t>
      </w:r>
    </w:p>
    <w:p>
      <w:r>
        <w:t>A. ON THE PROCEDURE</w:t>
      </w:r>
    </w:p>
    <w:p>
      <w:r>
        <w:t>1. ON THE REPORT TO THE PUBLIC PROSECUTOR</w:t>
      </w:r>
    </w:p>
    <w:p>
      <w:r>
        <w:t>187. A2C, Eurobéton, IB, SEAC, Soprel, Strudal, and Fidal consider that by making a report to the Public Prosecutor based on Article 40 of the Code of Criminal Procedure, the Authority misused the procedure provided for in this article solely to benefit from the investigative and inquiry powers of the criminal judge (b) and violated their right to an effective judicial remedy (c).</w:t>
      </w:r>
    </w:p>
    <w:p>
      <w:r>
        <w:t>188. Before responding to the arguments of the accused, it is appropriate to recall the main stages of the criminal procedure that preceded the referral to the Authority (a).</w:t>
      </w:r>
    </w:p>
    <w:p>
      <w:r>
        <w:t>a) Recall of the main stages of the criminal procedure</w:t>
      </w:r>
    </w:p>
    <w:p>
      <w:r>
        <w:t>189. Following the report by the BIEC of Lille and the DGCCRF recalled in paragraphs 1 and 2 above, the Authority collected, in January 2016, anonymous testimonies from two former employees of Rector.</w:t>
      </w:r>
    </w:p>
    <w:p>
      <w:r>
        <w:t>190. Given the elements at its disposal, the general rapporteur of the Authority sent to the Public Prosecutor, on November 17, 2016, a report drafted based on the second paragraph of Article 40 of the Code of Criminal Procedure (hereinafter the "Report"). This report targeted actions implemented by A2C, KP1, Rector, SLM, and Soprel421.</w:t>
      </w:r>
    </w:p>
    <w:p>
      <w:r>
        <w:t>191. On March 22, 2017, the Public Prosecutor requested, based on this Report, the opening of an investigation against X for acts provided for and punished by Articles L. 420-1, L. 420-2, and L. 420-6 of the Commercial Code422.</w:t>
      </w:r>
    </w:p>
    <w:p>
      <w:r>
        <w:t>192. On April 10, 2017, the investigating magistrate issued a commission rogatory to the BRDE in co-referral with rapporteurs from the Authority423. Several investigative acts were carried out, including the interception of telephone conversations exchanged on the lines of employees of the implicated companies and simultaneous searches conducted on October 25, 2018, by judicial police officers and agents of the Authority, in the premises of the companies A2C, KP1, Rector, and Soprel as well as at the Mercure Hotel in Roissy where a meeting was to be held between representatives of several companies involved in the pursued practices. Following these searches, several employees were arrested and placed in police custody.</w:t>
      </w:r>
    </w:p>
    <w:p>
      <w:r>
        <w:t>193. On July 1, 2021, the second chamber of the investigating court of the Court of Appeal of Paris, ruling on annulment requests made by certain defendants, issued two rulings by...</w:t>
      </w:r>
    </w:p>
    <w:p>
      <w:r>
        <w:rPr>
          <w:b/>
        </w:rPr>
        <w:t>[Pages 82–84]</w:t>
      </w:r>
    </w:p>
    <w:p>
      <w:r>
        <w:t>placed in police custody.</w:t>
      </w:r>
    </w:p>
    <w:p>
      <w:r>
        <w:t>193. On July 1, 2021, the second chamber of the investigating court of the Paris Court of Appeal, ruling on annulment requests made by certain defendants, issued two judgments confirming, among other things, the regularity of the introductory indictment based on the Report424.</w:t>
      </w:r>
    </w:p>
    <w:p>
      <w:r>
        <w:t>194. On June 3, 2020425 as well as on October 1st426 and 8th427, the vice-presidents of the Paris judicial court responsible for the investigation transmitted to the Authority, at its request, the criminal file of the various implicated employees.</w:t>
      </w:r>
    </w:p>
    <w:p>
      <w:r>
        <w:t>195. On May 4, 2023, the reporting advisor of the Authority issued, at the request of Soprel, an opinion considering that the competent jurisdiction had already ruled and confirmed the regularity of the report.</w:t>
      </w:r>
    </w:p>
    <w:p>
      <w:r>
        <w:t>b) On the misuse of procedure</w:t>
      </w:r>
    </w:p>
    <w:p>
      <w:r>
        <w:t>196. A2C, Eurobéton, IB, SEAC, Soprel, Strudal, and Fidal consider that by proceeding with the Report, the Authority misused the criminal procedure solely to benefit from the extended investigative and inquiry powers provided by the Code of Criminal Procedure, to investigate a violation of Article L. 420-1 of the Commercial Code.</w:t>
      </w:r>
    </w:p>
    <w:p>
      <w:r>
        <w:t>Reminder of the principles</w:t>
      </w:r>
    </w:p>
    <w:p>
      <w:r>
        <w:t>197. According to the second paragraph of Article 40 of the Code of Criminal Procedure, “[a]ny constituted authority, any public officer or official who, in the exercise of their functions, becomes aware of a crime or an offense is required to notify the Public Prosecutor without delay and to transmit to this magistrate all information, reports, and acts related thereto.”</w:t>
      </w:r>
    </w:p>
    <w:p>
      <w:r>
        <w:t>198. The second paragraph of Article L. 462-6 of the Commercial Code provides that “When the facts appear to justify the application of Article L. 420-6, it sends the file to the Public Prosecutor. This transmission interrupts the limitation period for public action.”</w:t>
      </w:r>
    </w:p>
    <w:p>
      <w:r>
        <w:t>199. The first paragraph of Article L. 420-6 of the Commercial Code targets the offense consisting of “any natural person fraudulently taking a personal and decisive part in the design, organization, or implementation of practices referred to in Articles L. 420-1, L. 420-2, and L. 420-2-2.”</w:t>
      </w:r>
    </w:p>
    <w:p>
      <w:r>
        <w:t>200. In a judgment dated May 4, 2016, the Council of State declined its jurisdiction to consider an opinion transmitted to the Public Prosecutor based on Article 40 of the Code of Criminal Procedure, considering that the latter was inseparable from the subsequent criminal procedure428. It follows that the Authority's board does not have the capacity to rule on the regularity of a report made by one of its agents to the Public Prosecutor based on Article 40 of the Code of Criminal Procedure.</w:t>
      </w:r>
    </w:p>
    <w:p>
      <w:r>
        <w:t>201. In its conclusions rendered during the request for transmission by the Court of Cassation of a priority question of constitutionality (hereinafter “QPC”) concerning Article L. 420-6 of the Commercial Code, the Advocate General indicated that the contentious procedure of the Authority and the criminal procedure implementing Article L. 420-6 of the Commercial Code are “two independent procedures: the one taking place before the Competition Authority targets companies, through the corresponding legal entities, and, at its conclusion, only financial penalties and injunctions can be imposed on these companies; the one taking place before the correctional court targets only natural persons and, at its conclusion, the penalty incurred is the pronouncement of a prison sentence and a fine as well as accessory penalties. Consequently, the procedure followed before the judicial judge is not exclusive of that initiated before the Authority, so that the rule ne bis in idem does not seem to apply” (emphasis added)429.</w:t>
      </w:r>
    </w:p>
    <w:p>
      <w:r>
        <w:t>202. It follows that the contentious procedure of the Authority, aimed at sanctioning the violations referred to in Articles L. 420-1, L. 420-2, and L. 420-2-2, and the criminal procedure aimed at sanctioning the offense provided for in Article L. 420-6 of the Commercial Code are two parallel and independent procedures that can lead to cooperation between the administrative authority and the criminal judge, without the legislator having provided any specific timing for their respective implementation.</w:t>
      </w:r>
    </w:p>
    <w:p>
      <w:r>
        <w:t>Application in this case</w:t>
      </w:r>
    </w:p>
    <w:p>
      <w:r>
        <w:t>Arguments of the parties</w:t>
      </w:r>
    </w:p>
    <w:p>
      <w:r>
        <w:t>204. Firstly, the parties believe that the Authority proceeded with the Report solely to benefit from the extended investigative powers of the criminal judge to characterize the existence of an offense under Article L. 420-1 of the Commercial Code, for which it is solely competent. The parties rely, in particular, on a judgment of the Court of Cassation dated June 2, 1984, which qualified as a blatant misuse of procedure the act of conducting a search based on the provisions of the Customs Code with a view to detecting tax fraud.</w:t>
      </w:r>
    </w:p>
    <w:p>
      <w:r>
        <w:t>205. In this case, the parties consider that the misuse of procedure is demonstrated by:</w:t>
        <w:br/>
        <w:t>- the wording of the Report itself, which would indicate the impossibility for the Authority to gather the necessary elements to detect practices contrary to Article L. 420-1 of the Commercial Code;</w:t>
        <w:br/>
        <w:t>- the absence of a request by the Authority for authorization from the judge of freedoms and detention (hereinafter the “JLD”) to carry out search and seizure operations based on Article L. 450-4 of the Commercial Code. In this regard, Strudal considers that the Authority had all the necessary elements to obtain such authorization;</w:t>
        <w:br/>
        <w:t>- the involvement of the rapporteurs in the investigative acts carried out under the aegis of the investigating judge; and by</w:t>
        <w:br/>
        <w:t>- the public statements of the general rapporteur of the Authority, who allegedly expressed the intention of the Authority's investigative services to use the tools of the criminal procedure to enhance the effectiveness of their action431.</w:t>
      </w:r>
    </w:p>
    <w:p>
      <w:r>
        <w:t>206. Secondly, several parties consider that the Authority could not proceed with a report based on Article 40 of the Code of Criminal Procedure due to the existence of a special rule, Article L. 462-6 of the Commercial Code, which provides, in its second paragraph, that “[w]hen the facts appear to justify the application of Article L. 420-6, it sends the file to the Public Prosecutor. This transmission interrupts the limitation period for public action.” According to them, the report by the Authority of a possible violation of Article L. 420-6 of the Commercial Code can only be made based on this latter article.</w:t>
      </w:r>
    </w:p>
    <w:p>
      <w:r>
        <w:t>207. In this regard, the parties consider that the report of a possible offense mentioned in Article L. 420-6 of the Commercial Code implies a prior finding of violation of Articles L. 420-1, L. 420-2, and L. 420-2-2 of the Commercial Code, for which only the Authority is competent. Thus, the investigation or prosecution of the offense referred to in Article L. 420-6 of the Commercial Code should only begin after the Authority's decision finding the existence of an anticompetitive practice. According to Soprel, the fact that the third paragraph of Article L. 420-6 of the Commercial Code provides for the suspension of the limitation period for public action in the event of a file being transmitted by the Authority to the Public Prosecutor would confirm the necessity of a prior finding of violation by the Authority to proceed with the criminal qualification.</w:t>
      </w:r>
    </w:p>
    <w:p>
      <w:r>
        <w:t>208. Thirdly, and in any case, the parties believe that the conditions set out in Article 40 of the Code of Criminal Procedure for making a report to the Public Prosecutor were not met in this case. Indeed, the Report would not indicate the reasons why the Authority suspected a violation of Article L. 420-6 of the Commercial Code, which, as they indicate elsewhere, could only be characterized following the Authority's finding of an anticompetitive practice.</w:t>
      </w:r>
    </w:p>
    <w:p>
      <w:r>
        <w:t>209. Fourthly, the parties believe that by failing to communicate to the Public Prosecutor the report of the BIEC of Lille dated March 11, 2015, through which the anonymous statements of former employees of Rector, to which the Report refers, were communicated to him, the Authority violated Article 40 of the Code of Criminal Procedure.</w:t>
      </w:r>
    </w:p>
    <w:p>
      <w:r>
        <w:t>210. Lastly, IB and Soprel remind that companies must be able to contest the manner in which the elements opposed to them were obtained by the Authority, which is required to ensure compliance with the fairness of the procedure. Thus, the Authority's board should rule on the regularity of the entire procedure that allowed the investigative services to obtain the documents on which they based the notification of grievances. Soprel also criticizes the fact that the criminal judge communicated the entire criminal file to...</w:t>
      </w:r>
    </w:p>
    <w:p>
      <w:r>
        <w:rPr>
          <w:b/>
        </w:rPr>
        <w:t>[Pages 85–87]</w:t>
      </w:r>
    </w:p>
    <w:p>
      <w:r>
        <w:t>the Authority, in violation of Article L. 463-5 of the Commercial Code, which allows it to communicate only the elements directly related to the offenses mentioned in the Authority's request.</w:t>
      </w:r>
    </w:p>
    <w:p>
      <w:r>
        <w:t>Response of the Authority</w:t>
      </w:r>
    </w:p>
    <w:p>
      <w:r>
        <w:t>211. First of all, it follows from the case law of the Council of State recalled in paragraph 200 above, that the notice given by an administrative authority to the Public Prosecutor based on Article 40 of the Code of Criminal Procedure is inseparable from the assessment that the judicial authority will make of subsequent prosecution acts. Thus, the criminal judge is solely competent to judge the regularity of the referral to the Public Prosecutor and the subsequent procedural acts. Consequently, the college of the Authority does not have the capacity to rule on the regularity of the Report.</w:t>
      </w:r>
    </w:p>
    <w:p>
      <w:r>
        <w:t>212. Therefore, it is appropriate to dismiss all the arguments of the accused contesting the regularity of the latter – on the grounds that it would result from a misuse of procedure by the General Rapporteur – and the investigative acts carried out by the agents of the Authority within the framework of the criminal procedure.</w:t>
      </w:r>
    </w:p>
    <w:p>
      <w:r>
        <w:t>213. Moreover, the Authority notes that, in this case, as recalled in paragraph 193 above, the investigating chamber of the Court of Appeal of Paris, seized with annulment requests presented by various accused parties, has already ruled on the regularity of the Report. It explicitly responded to the argument based on misuse of procedure by stating "that noting the impossibility for its rapporteurs to exploit the information collected under the cover of anonymity, the Authority transmitted them to the Public Prosecutor. There is no misuse of procedure resulting from this, as the Authority has only made use of the provisions of Article 40 which require it, when it becomes aware of a crime or offense, to notify the Public Prosecutor without delay and to transmit to this magistrate all information, reports, and acts related to it. In this case, the anonymous statements, although they could not be exploited by the Authority's rapporteurs, contained sufficiently precise and detailed elements allowing for the consideration that an offense of unlawful agreement as provided for by Article L 420-6 of the Commercial Code had been committed. Therefore, there has been no infringement of the right to the presumption of innocence enshrined in Article 6§2 of the European Convention on Human Rights nor of the principle of accessibility and foreseeability of criminal law enshrined in Article 7 of the Convention" (emphasis added).</w:t>
      </w:r>
    </w:p>
    <w:p>
      <w:r>
        <w:t>214. Thus, the arguments of the accused on this point amount to challenging judicial decisions which, not having been the subject of an appeal, have the authority of res judicata.</w:t>
      </w:r>
    </w:p>
    <w:p>
      <w:r>
        <w:t>215. If, as the parties indicate, the college must be able to rule on the regularity of the obtaining of the documents on which the grievances against the accused are based, it should be noted that, in this case, as noted in paragraph 194 above, the documents of the criminal file were regularly communicated to the investigative services, on June 3, 2010, as well as on October 1 and 8, 2021, by the vice-presidents in charge of the investigation of the Paris judicial court in accordance with Article L. 463-5 of the Commercial Code. As for the exhaustive nature of this communication, criticized by Soprel, the Authority cannot revisit the sovereign decision of the criminal judge, who is the only one competent to decide on the scope and timing of such transmission. Moreover, Strudal does not invoke any grievance due to the completeness of the sending.</w:t>
      </w:r>
    </w:p>
    <w:p>
      <w:r>
        <w:t>216. By way of surplus, the Authority notes, first, that the Court of Cassation has recognized the existence of a misuse of procedure in very specific cases where a procedure had been mobilized solely for the purpose of establishing offenses outside its scope.</w:t>
      </w:r>
    </w:p>
    <w:p>
      <w:r>
        <w:t>217. However, in this case, the Report led to the opening of a judicial investigation against individuals for participation in an unlawful agreement, the scope of which has also been extended to facts likely to characterize the offense of private corruption. Therefore, if the Report and the investigative acts conducted jointly with the agents of the Authority allowed the latter to be communicated documents used in the context of the present administrative procedure, their primary purpose was to allow the opening and implementation of a judicial investigation against individuals that was still ongoing at the date of adoption of this decision.</w:t>
      </w:r>
    </w:p>
    <w:p>
      <w:r>
        <w:t>218. In this regard, the investigative services cannot be reproached for having mentioned, in the Report, the possible qualification of anticompetitive agreement within the meaning of Article L. 420-1 of the Commercial Code, insofar as, as indicated by the accused, this is a necessary prerequisite for the criminal qualification of fraudulent participation in an unlawful agreement. Moreover, the Report specifically names several individuals and details the role played by them in the suspected practice, thus presenting concrete reasons for suspicion of violation of Article L. 420-6 of the Commercial Code.</w:t>
      </w:r>
    </w:p>
    <w:p>
      <w:r>
        <w:t>219. Secondly, regarding the articulation between the administrative procedure and the criminal procedure, the Authority notes that the arguments of the accused are based on a false premise, which leads to adding a condition to the law. Indeed, the parties consider that, since the qualification of an offense under Articles L. 420-1, L. 420-2, or L. 420-2-2 of the Commercial Code is a prerequisite for the qualification of the offense referred to in Article L. 420-6 of the same code, the criminal procedure could only intervene at the end of the administrative procedure before the Authority that would have led to such qualification.</w:t>
      </w:r>
    </w:p>
    <w:p>
      <w:r>
        <w:t>220. But, aside from the fact that the legislator did not foresee such articulation, firstly, while it is established that only the Authority is competent to impose the sanctions provided for in Article L. 464-2 of the Commercial Code in case of violation of Articles L. 420-1, L. 420-2, or L. 420-2-2 of the Commercial Code, the criminal judge is fully competent to assess the constitutive elements of the offense of Article L. 420-6 of the Commercial Code, including to qualify a violation of these articles or Articles 101 and 102 of the Treaty on the Functioning of the European Union (hereinafter "TFEU") which are provisions of direct effect.</w:t>
      </w:r>
    </w:p>
    <w:p>
      <w:r>
        <w:t>221. Secondly, in contradiction with the independence of the criminal and administrative procedures recognized by the case law of the Court of Cassation recalled in paragraphs 201 and 202, the approach proposed by the accused would lead to making the competence that the criminal judge derives from Article L. 420-6 of the Commercial Code dependent on a prior decision of the Authority on the merits and to give the latter the initiative for the prosecution of the offense referred to in this article since, in the absence of a decision establishing an anticompetitive practice, the criminal judge could not know of the aforementioned offense.</w:t>
      </w:r>
    </w:p>
    <w:p>
      <w:r>
        <w:t>222. Thirdly and finally, the report provided for by Article L. 462-6 of the Commercial Code cannot constitute a lex specialis in relation to Article 40 of the Code of Criminal Procedure.</w:t>
      </w:r>
    </w:p>
    <w:p>
      <w:r>
        <w:t>223. It should indeed be noted that Article L. 462-6 of the Commercial Code concerns only the Authority, whereas Article 40 of the Code of Criminal Procedure addresses "any constituted authority, any public officer or official." Thus, the fact that the legislator has provided a specific procedure allowing the referral of the criminal judge by the Authority at the end cannot have any impact on the obligations imposed on each of its agents based on Article 40.</w:t>
      </w:r>
    </w:p>
    <w:p>
      <w:r>
        <w:t>224. The Court of Cassation has also confirmed in a judgment of June 17, 2009, that the criminal judge remained seized, based on Articles 40 and 41 of the Code of Criminal Procedure, of the offense referred to in Article L. 420-6 of the Commercial Code following the annulment of the report provided for in Article L. 462-6 of the Commercial Code.</w:t>
      </w:r>
    </w:p>
    <w:p>
      <w:r>
        <w:t>225. The arguments based on misuse of procedure will be dismissed.</w:t>
      </w:r>
    </w:p>
    <w:p>
      <w:r>
        <w:t>c) On the violation of the right to an effective remedy</w:t>
      </w:r>
    </w:p>
    <w:p>
      <w:r>
        <w:t>Reminder of the principles</w:t>
      </w:r>
    </w:p>
    <w:p>
      <w:r>
        <w:t>226. Article 6, paragraph 1, of the Convention for the Protection of Human Rights and Fundamental Freedoms (hereinafter "ECHR") relating to the fair trial is applicable to procedures before the Authority. It states that "everyone is entitled to a fair hearing, publicly and within a reasonable time, by an independent and impartial tribunal established by law, which will decide on the disputes concerning their civil rights and obligations or on the merits of any criminal charge against them."</w:t>
      </w:r>
    </w:p>
    <w:p>
      <w:r>
        <w:t>227. The right to a fair trial is particularly reflected in the requirement of the right to an effective judicial remedy.</w:t>
      </w:r>
    </w:p>
    <w:p>
      <w:r>
        <w:t>228. Regarding procedures conducted by competition authorities that may lead to a sanction, the European Court of Human Rights (hereinafter "ECHR") has considered that "the respect of Article 6 of the Convention does not exclude that in an administrative procedure, a 'penalty' may first be imposed by an administrative authority. However, it implies that the decision of an administrative authority not itself fulfilling the conditions of Article 6 § 1 is subject to subsequent review by a judicial body of full jurisdiction" and specified that "[a]mong the characteristics of a full jurisdiction judicial body is the power to reform in all respects, in fact as in law, the decision challenged, rendered by the lower body. It must also have the competence to address all relevant questions of fact and law for the dispute before it" (emphasis added).</w:t>
      </w:r>
    </w:p>
    <w:p>
      <w:r>
        <w:rPr>
          <w:b/>
        </w:rPr>
        <w:t>[Pages 88–90]</w:t>
      </w:r>
    </w:p>
    <w:p>
      <w:r>
        <w:t>229. Under domestic law, the Court of Appeal of Paris recalled that "[t]he effective judicial remedy, guaranteed by Article 6 of the ECHR as well as by Article 47, second paragraph, of the Charter of Fundamental Rights of the European Union, requires the implementation of effective judicial review of the decisions by which the Authority imposes sanctions in cases of violations of competition rules. This judicial review is implemented in domestic law by allowing sanctioned companies to appeal to this Court of Appeal, which exercises a legality review of the decision adopted by the Authority and also has, in the event of its annulment, the obligation to rule both in law and in fact on the practices alleged and on their sanction."440</w:t>
      </w:r>
    </w:p>
    <w:p>
      <w:r>
        <w:t>230. Article 13 of the ECHR states that "[e]veryone whose rights and freedoms recognized in this Convention have been violated has the right to an effective remedy before a national authority, even if the violation has been committed by persons acting in an official capacity."</w:t>
      </w:r>
    </w:p>
    <w:p>
      <w:r>
        <w:t>231. The ECHR has specified that "Article 13 does not have an independent existence; it merely complements the other normative clauses of the Convention and its Protocols [...]. It can only be applied in conjunction with or in relation to one or more articles of the Convention or its Protocols whose violation has been invoked. To invoke Article 13, the applicant must also have a defensible grievance arising from another provision of the Convention."441</w:t>
      </w:r>
    </w:p>
    <w:p>
      <w:r>
        <w:t>Application in this case</w:t>
      </w:r>
    </w:p>
    <w:p>
      <w:r>
        <w:t>Arguments of the parties</w:t>
      </w:r>
    </w:p>
    <w:p>
      <w:r>
        <w:t>232. The parties argue that by making the Report and submitting to the Authority documents from the subsequent criminal procedure, the Authority violated their right to an effective remedy.</w:t>
      </w:r>
    </w:p>
    <w:p>
      <w:r>
        <w:t>233. On the one hand, they allege that the criminal procedure does not offer equivalent guarantees to those existing within the framework of the administrative procedure (presence of counsel during searches, establishment of a report listing the seized documents, access to the file before being charged).</w:t>
      </w:r>
    </w:p>
    <w:p>
      <w:r>
        <w:t>234. On the other hand, they consider that the lack of recourse, for the legal entities involved in this case, against the Report and against the transmission of the criminal file based on Article L. 463-5 of the Commercial Code, constitutes a violation of Articles 6 and 13 of the ECHR. They refer in this regard to the Janssen de Jong v. Netherlands case442, pending at the time of the adoption of this decision before the Grand Chamber of the ECHR, in which the ECHR is seized of the compatibility with Articles 8 and 13 of the ECHR of the absence of recourse against the transmission, by a Dutch criminal judge to the Dutch competition authority, of documents seized in the context of the criminal procedure.443</w:t>
      </w:r>
    </w:p>
    <w:p>
      <w:r>
        <w:t>235. They argue that this infringement is all the more serious because, as legal entities foreign to the criminal procedure, they cannot contest the validity of the seizure of documents nor access the file to identify any exculpatory elements.</w:t>
      </w:r>
    </w:p>
    <w:p>
      <w:r>
        <w:t>Response of the Authority</w:t>
      </w:r>
    </w:p>
    <w:p>
      <w:r>
        <w:t>236. Regarding the right to an effective remedy, it is necessary to distinguish between the recourse against the seizure of documents and that against the use of these documents in the qualification of an offense and a potential sanction. Indeed, while the legislator, in certain cases, such as in the case of criminal searches or Article L. 450-4 of the Commercial Code, has provided for autonomous judicial review over the obtaining of documents by the prosecuting authorities, this recourse belongs only to the individual or legal entity that has been subject to these investigative measures. Furthermore, this recourse only concerns the regularity and conduct of such a seizure and does not overlap with that which may be filed against the potential subsequent use of the seized documents.</w:t>
      </w:r>
    </w:p>
    <w:p>
      <w:r>
        <w:t>237. In this regard, it is useful to recall that the investigating services can, in support of a notification of grievances, mobilize evidence obtained through various mechanisms that do not give rise to a recourse on the very principle of their obtaining. This evidence may result, in particular, from a communication from the DGCCRF, complaints from companies, documents spontaneously submitted by parties to the procedure, responses to requests for information based on Article L. 450-3, or hearings. Only the search and seizure operations conducted under Article L. 450-4 of the Commercial Code give rise, for the only companies visited, to a recourse, based on the same article, which concerns only the authorization of the operations by the JLD and their conduct.</w:t>
      </w:r>
    </w:p>
    <w:p>
      <w:r>
        <w:t>238. The absence of autonomous recourse against the obtaining of a document by the Authority does not deprive the companies involved of their right to an effective remedy. Indeed, it follows from the European and national case law recalled in paragraphs 228 and 229 above that this right is guaranteed by access to judicial review of the legality of the decision. In the context of this recourse, the parties, who have access to the documents that are opposed to them to substantiate a potential sanction, can contest the regularity of the obtaining of a document and its probative value.</w:t>
      </w:r>
    </w:p>
    <w:p>
      <w:r>
        <w:t>239. In this case, the disputed documents, namely the documents from the criminal procedure conducted against certain employees of the companies A2C, KP1, Rector, and Soprel, were regularly transmitted to the investigating services, at their request, on June 3, 2020, as well as on October 1 and 8, 2021, from the criminal file.</w:t>
      </w:r>
    </w:p>
    <w:p>
      <w:r>
        <w:t>240. Thus, on the one hand, the Authority cannot be criticized for the criminal procedure that preceded this transmission, which was conducted entirely independently by the criminal judge and which, moreover, did not personally concern any of the parties involved in the procedure before the Authority. Indeed, it is only upon receipt of the documents from the criminal file that the Authority can exercise its control over the regularity of their exploitation by the investigating services. Thus, the arguments of the parties regarding the insufficiency of the guarantees offered by the criminal procedure are ineffective.</w:t>
      </w:r>
    </w:p>
    <w:p>
      <w:r>
        <w:t>241. On the other hand, regarding the absence of autonomous recourse against the transmission of the documents from the criminal file by the investigating judges, which in any case could only be exercised before the judge controlling its author, namely, the criminal jurisdiction, it should be noted that the parallel with the Janssen de Jong case, mentioned above, is irrelevant in the context of this case. Indeed, the ECHR is not seized of a violation of the rights of the defense guaranteed by Article 6 of the ECHR that the parties invoke before the Authority, but of a violation of Article 8 concerning the protection of private life. For all useful purposes, the Authority notes that, on the question of Article 13 of the ECHR, which is invoked in conjunction with Article 8, the judgment of May 16, 2023, dismisses any violation, noting that "there is extensive ex post facto judicial oversight in place. In the administrative proceedings concerning the NMA's decision to impose a fine, the applicant companies could, and did, challenge the lawfulness and Convention compliance of the data transmission. As far as the transmitted data that were used for the NMA's decision are concerned, the applicant companies' complaints could thus be redressed."444</w:t>
      </w:r>
    </w:p>
    <w:p>
      <w:r>
        <w:t>242. In any case, the parties have been able to access the documents on which the grievances notified to them are based and present observations on how these documents were obtained by the Authority as well as on their probative value. They will also be able to exercise a recourse against the decision of the Authority's board before the Court of Appeal of Paris based on Article L. 464-8 of the Commercial Code. Therefore, the present procedure complies with the requirements established by European and national case law based on Article 6 of the ECHR.</w:t>
      </w:r>
    </w:p>
    <w:p>
      <w:r>
        <w:t>243. The arguments relating to the violation of the right to an effective judicial remedy will be dismissed.</w:t>
      </w:r>
    </w:p>
    <w:p>
      <w:r>
        <w:t>2. ON ACCESS TO DOCUMENTS FROM THE CRIMINAL PROCEDURE</w:t>
      </w:r>
    </w:p>
    <w:p>
      <w:r>
        <w:t>a) Reminder of the principles</w:t>
      </w:r>
    </w:p>
    <w:p>
      <w:r>
        <w:t>244. The right to a fair trial guaranteed by Article 6, paragraph 1 of the ECHR, as mentioned above, also translates into the requirement to respect the rights of the defense and, in particular, the principle of adversarial proceedings.</w:t>
      </w:r>
    </w:p>
    <w:p>
      <w:r>
        <w:t>245. According to the first paragraph of Article L. 463-1 of the Commercial Code, "[t]he investigation and the procedure before the Competition Authority are adversarial (...) subject to the provisions of Articles L. 463-4 and L. 464-10," the latter two articles concerning business secrecy and the leniency procedure.</w:t>
      </w:r>
    </w:p>
    <w:p>
      <w:r>
        <w:rPr>
          <w:b/>
        </w:rPr>
        <w:t>[Pages 91–93]</w:t>
      </w:r>
    </w:p>
    <w:p>
      <w:r>
        <w:t>246. However, the opening of adversarial proceedings only occurs from the notification of grievances445. Prior to this notification, it is the principle of fairness that guarantees the parties the right to a fair trial446.</w:t>
      </w:r>
    </w:p>
    <w:p>
      <w:r>
        <w:t>247. Article L. 463-5 of the Commercial Code allows the investigating and adjudicating jurisdictions to "communicate to the Competition Authority, at its request, the minutes, investigation reports, or other documents from the criminal investigation that have a direct link to the facts brought before the Authority."</w:t>
      </w:r>
    </w:p>
    <w:p>
      <w:r>
        <w:t>248. In a ruling dated October 13, 2009, the Court of Cassation held that the transmission, based on Article L. 463-5 of the Commercial Code, of documents from a criminal procedure to the Authority was consistent with the principle of equality of arms, provided that "it is established that the documents on which [the rapporteur] based the grievances were subject to an inventory, that they were numbered, added to the file, made available for consultation, and submitted to the contradiction of the accused parties, and that these latter had, after the notification of grievances, the opportunity to present arguments and produce documents they deemed useful for the defense of their interests" (emphasis added).</w:t>
      </w:r>
    </w:p>
    <w:p>
      <w:r>
        <w:t>249. In the same ruling, the Court of Cassation considered that "no irregularity could result from the fact that, following the request of the Council [of Competition], the investigating judge informed the rapporteur that he could review the file and then transmitted the requested documents after ensuring their direct relation to the facts brought before the Council" (emphasis added)447.</w:t>
      </w:r>
    </w:p>
    <w:p>
      <w:r>
        <w:t>b) Application in this case</w:t>
      </w:r>
    </w:p>
    <w:p>
      <w:r>
        <w:t>Arguments of the parties</w:t>
      </w:r>
    </w:p>
    <w:p>
      <w:r>
        <w:t>250. Firstly, the parties consider that it constitutes a violation of Article 6 of the ECHR to oppose them with documents of which they cannot contest the seizure and which originate from a criminal file to which they have never had access.</w:t>
      </w:r>
    </w:p>
    <w:p>
      <w:r>
        <w:t>251. In this regard, Strudal alleges that it did not have access to the entire file transmitted by the criminal judge, as the investigating services made certain documents inaccessible by only providing a fully redacted version. By doing so, the accused parties would have been unable to verify whether these documents contained elements that could be favorable to them.</w:t>
      </w:r>
    </w:p>
    <w:p>
      <w:r>
        <w:t>252. Fidal and SEAC emphasize that the litigation regarding the annulment of the criminal seizures was still open at the time of the transmission of the file by the criminal judge to the Authority, allowing the latter to oppose the accused parties with documents that could later have been subject to annulment. According to them, it was therefore up to the Authority to wait for the end of the judicial investigation before sending the notification of grievances.</w:t>
      </w:r>
    </w:p>
    <w:p>
      <w:r>
        <w:t>253. Secondly, the parties consider that there is a breach of equality among the various accused parties since those whose employees were involved in the criminal procedure were aware as early as 2017 of the investigation conducted against them, were able to access the file445 and prepare their defense, while the other accused parties were only informed of the existence of the present procedure shortly before the sending of the notification of grievances in March 2022 and therefore would not have had the necessary time to effectively prepare their defense.</w:t>
      </w:r>
    </w:p>
    <w:p>
      <w:r>
        <w:t>Response of the Authority</w:t>
      </w:r>
    </w:p>
    <w:p>
      <w:r>
        <w:t>254. Firstly, regarding the transmission of the criminal file by the criminal judge, which is explicitly provided for in Article L. 463-5 of the Commercial Code, the Authority notes, first, that no party contests its regularity. Strudal, however, contests its modalities and, in particular, the fact that the criminal judge transmitted the entire file. Nevertheless, the Authority cannot revisit the sovereign decision of the criminal judge, who is solely competent to decide on the extent and timing of such transmission. For all practical purposes, it should be noted that the Court of Cassation has considered the consultation of the entire criminal file by the rapporteur of the Competition Council prior to the transmission of the file by the judge448 (see above, paragraph 249).</w:t>
      </w:r>
    </w:p>
    <w:p>
      <w:r>
        <w:t>255. Secondly, regarding the use of the file transmitted by the investigating services before the end of the criminal investigation, it should be emphasized that Article L. 463-5 of the Commercial Code does not require them to wait for the closure of the criminal investigation to review and utilize the documents in the context of their investigation. On the contrary, as recalled above in paragraphs 201 and 202, the criminal procedure and the administrative procedure are independent.</w:t>
      </w:r>
    </w:p>
    <w:p>
      <w:r>
        <w:t>256. Furthermore, in accordance with the letter transmitting the criminal file449, it appears from point 115 of the Report, not contested by the accused parties, that the investigating services took into account the annulments of documents pronounced by the investigating chamber of the Court of Appeal of Paris by removing them from the investigation file. Thus, since no document that was excluded by the criminal judge was used to support the notified grievances, the fact that the investigating services utilized the criminal file without waiting for the closure of the investigation had no impact on the situation of the accused parties and, on the contrary, allowed for a shortening of the investigation period of the file, the length of which is criticized by these same companies.</w:t>
      </w:r>
    </w:p>
    <w:p>
      <w:r>
        <w:t>257. Thirdly, regarding access to the documents of the criminal file, it is first necessary to dismiss the parties' argument that they could not verify whether there were exculpatory elements in it. On the one hand, it appears from the letter transmitting the file dated October 8, 2021, that it contains "the entirety of this procedure"450. On the other hand, and in any case, in accordance with the case law recalled above in paragraph 248, the notified grievances are based solely on the elements added to the investigation file to which the parties could have access under the conditions provided for in Article L. 463-4 of the Commercial Code. Therefore, if the criminal file contained other elements than those appearing in the investigation file, these could not, in any case, have been taken into account by the investigating services.</w:t>
      </w:r>
    </w:p>
    <w:p>
      <w:r>
        <w:t>258. Next, regarding Strudal's argument concerning the redaction of certain documents from the criminal file by the investigating services, they explained, in paragraphs 138 to 140 of the report, that while the entirety of the criminal procedure communicated by the criminal judge was added to the Authority's file, certain documents were made inaccessible due to the lack of connection of these documents with the practices investigated and the presence of potentially sensitive information from third-party companies to the procedure (such as, for example, responses to tenders from companies unrelated to the procedure) or information that solely pertains to the individuals accused in the criminal procedure and containing data related to their private lives (medical examinations, police custody reports, inventory of deposits, etc.).</w:t>
      </w:r>
    </w:p>
    <w:p>
      <w:r>
        <w:t>259. In this regard, aside from the fact that the initiative taken by the investigating services appears necessary to preserve potentially sensitive information, it should be noted that, insofar as all these documents were added to the file, the accused companies had a complete summary of the documents, allowing them to identify the nature of the documents that had been communicated to them in a confidential version. Thus, the parties could have, based on Article L. 463-4 of the Commercial Code, requested access to these elements from the general rapporteur of the Authority, who could have either decided to make them accessible to all parties or authorized the counsel of the requesting party to consult the physical file in the Authority's premises, according to the modalities provided for in Article 26 of its internal regulations.</w:t>
      </w:r>
    </w:p>
    <w:p>
      <w:r>
        <w:t>260. In any case, the Authority notes that the accused parties do not demonstrate how the lack of access to the documents from the criminal procedure that were only added to the file in a confidential version and of which they did not request consultation would have prevented them from fully exercising their rights of defense.</w:t>
      </w:r>
    </w:p>
    <w:p>
      <w:r>
        <w:t>261. Secondly, regarding the breach of equality between the companies involved in the criminal procedure and the other accused parties, it should be noted that the situation of these two groups of accused parties is not comparable at all. Indeed, some may have possibly been aware of the existence of a criminal procedure conducted against their employees, but they did not, in any case, have access to the criminal file before its addition to the Authority's file, as they were neither indicted nor assisted witnesses.</w:t>
      </w:r>
    </w:p>
    <w:p>
      <w:r>
        <w:t>262. Furthermore, any potential knowledge of the existence of a criminal procedure conducted against their employees did not in any way allow these companies to anticipate the extent and nature of the grievances that would, if applicable, be retained against them by the investigating services of the Authority.</w:t>
      </w:r>
    </w:p>
    <w:p>
      <w:r>
        <w:t>263. In any case, it is undisputed that, in accordance with the case law recalled above in paragraph 248, all the accused parties were able to exercise their rights of defense from the notification of grievances, as they had access to the entire file of the procedure, were able to develop their observations contradictorily, and present their defense elements during the session before the Authority's college.</w:t>
      </w:r>
    </w:p>
    <w:p>
      <w:r>
        <w:t>264. In light of all these elements, the arguments of the accused parties relating to the violation of the rights of defense in connection with the lack of access to the criminal procedure will be dismissed.</w:t>
      </w:r>
    </w:p>
    <w:p>
      <w:r>
        <w:rPr>
          <w:b/>
        </w:rPr>
        <w:t>[Pages 94–96]</w:t>
      </w:r>
    </w:p>
    <w:p>
      <w:r>
        <w:t>3. ON THE IMPARTIALITY OF THE INQUIRY</w:t>
      </w:r>
    </w:p>
    <w:p>
      <w:r>
        <w:t>a) Reminder of the principles</w:t>
      </w:r>
    </w:p>
    <w:p>
      <w:r>
        <w:t>265. According to Article R. 463-11 of the Commercial Code, "the report submits to the decision of the Competition Authority an analysis of the facts and all the grievances notified."</w:t>
      </w:r>
    </w:p>
    <w:p>
      <w:r>
        <w:t>266. It follows from consistent case law and decision-making practice that the rapporteurs may, without failing in their duty of impartiality, on the one hand, retain in support of their analysis the elements of the file that they consider most relevant, without being required to explain the reasons for which they did not rely on other elements and, on the other hand, submit their own interpretation of the elements of the file to adversarial debate451.</w:t>
      </w:r>
    </w:p>
    <w:p>
      <w:r>
        <w:t>267. Furthermore, it results from the case law of the Paris Court of Appeal that "the fact that the executives of a company were not heard during the investigation and inquiry is, in the absence of a legal obligation in this regard, without impact on the regularity of the procedure as long as from the notification of the grievances and during the various phases of the procedure, it has been able to assert its observations in a timely manner" (emphasis added)452.</w:t>
      </w:r>
    </w:p>
    <w:p>
      <w:r>
        <w:t>268. The Court of Cassation has, for its part, confirmed that the rapporteur "is not required to conduct hearings if he considers himself sufficiently informed to determine the grievances that may be notified" and that "the absence of hearing of the executives of certain companies, at the stage of the investigation and inquiry, is without impact on the regularity of the procedure as long as from the notification of the grievances and during the various phases of the procedure, the said companies have been able to assert their rights"453.</w:t>
      </w:r>
    </w:p>
    <w:p>
      <w:r>
        <w:t>269. In a decision of October 14, 2015, the Constitutional Council, seized with the conformity of the contentious procedure of the Competition Council with the principles of independence and impartiality, considered that the ability of the Competition Council to self-initiate was not contrary to these principles insofar as such a decision "neither aims nor results in attributing a practice to a specific company" and, therefore, "does not lead to prejudging the reality of the practices that may give rise to sanctions." It also considered that Articles L. 463-1 and L. 463-2 of the Commercial Code guarantee a separation of the functions of prosecution and inquiry, on the one hand, and of sanction, on the other454.</w:t>
      </w:r>
    </w:p>
    <w:p>
      <w:r>
        <w:t>270. By a ruling of November 23, 2016, the Court of Cassation, asked about the possibility for the General Rapporteur of the Authority to request authorization from the JLD to conduct search and seizure operations and subsequently to investigate these same facts, considered that Article 6, paragraph 1 of the ECHR does not require "that the functions of investigation and prosecution be entrusted to two distinct entities"455.</w:t>
      </w:r>
    </w:p>
    <w:p>
      <w:r>
        <w:t>271. The case law and decision-making practice of the Authority have been able to eliminate any risk of prejudgment due to the accumulation of functions by rapporteurs at the stage of the investigation and inquiry of the same facts, such as conducting the inquiry into precautionary measures and the substantive inquiry456 or the investigation conducted within the DGCCRF prior to the inquiry within the Authority457.</w:t>
      </w:r>
    </w:p>
    <w:p>
      <w:r>
        <w:t>b) Application in this case</w:t>
      </w:r>
    </w:p>
    <w:p>
      <w:r>
        <w:t>Arguments of the parties</w:t>
      </w:r>
    </w:p>
    <w:p>
      <w:r>
        <w:t>272. Eurobéton and IB consider that by not hearing the accused companies before sending the notification of grievances, the rapporteurs did not respect their obligation to investigate both for and against. IB also reproaches the inquiry services for not having objectively verified the elements submitted by the applicants for leniency and, in particular, the statements made by KP1. Finally, IB considers that the inquiry services failed to take into account certain exculpatory elements such as the fact that it was not involved in the criminal procedure and that the second applicant for leniency did not involve it in the practices he denounced.</w:t>
      </w:r>
    </w:p>
    <w:p>
      <w:r>
        <w:t>273. Soprel considers that there would be a risk of prejudgment of the practices pursued due to the involvement of two rapporteurs responsible for the inquiry of the file in the acts of criminal investigation. In particular, these rapporteurs would have prequalified the practices pursued in the context of the information reports of March 22, 2019458 and April 18, 2019459 communicated to the investigating judge before the sending of the notification of grievances.</w:t>
      </w:r>
    </w:p>
    <w:p>
      <w:r>
        <w:t>Response of the Authority</w:t>
      </w:r>
    </w:p>
    <w:p>
      <w:r>
        <w:t>274. First, regarding the absence of hearing of the accused prior to the notification of grievances, it follows from the consistent case law of the Court of Cassation, cited above in paragraph 268, that the rapporteur is not at all required to conduct hearings if he considers himself sufficiently informed by the elements in his possession and that the absence of hearing of the executives of accused companies is without impact on the regularity of the procedure.</w:t>
      </w:r>
    </w:p>
    <w:p>
      <w:r>
        <w:t>275. Secondly, IB's argument regarding the modalities of collecting the statements submitted in support of KP1's leniency application amounts to contesting the credibility of these pieces of evidence and can only be analyzed, if applicable, within the framework of their substantive assessment. Furthermore, contrary to what it indicates, it is clear from the findings made by the notification of grievances that IB was not involved in the criminal procedure and that it was not mentioned by the second applicant for leniency460. The fact that the inquiry services did not consider that these two elements were sufficient to exclude its participation in the disputed practices also amounts to contesting the substantive assessment of the notified grievances.</w:t>
      </w:r>
    </w:p>
    <w:p>
      <w:r>
        <w:t>276. Thirdly, concerning the risk of prejudgment due to the participation of certain rapporteurs in the criminal investigation, it should be emphasized, as follows from the case law of the Court of Cassation mentioned above in paragraph 270, that Article 6 of the ECHR does not impose that the functions of prosecution and inquiry be entrusted to different entities. Moreover, as follows from the criterion established by the Constitutional Council in its decision of October 14, 2015 mentioned in paragraph 269 above, no risk of prejudgment regarding the reality of the practices that may give rise to sanctions can exist in the absence of a decision attributing such practices to a specific company. Thus, the participation of rapporteurs in acts of inquiry prior to the referral to the Authority cannot present any risk of prejudgment of the practices that may be sanctioned.</w:t>
      </w:r>
    </w:p>
    <w:p>
      <w:r>
        <w:t>277. In this regard, as noted in paragraph 249 above, the Court of Cassation considered that no irregularity could result from the proposal by the investigating judge to the rapporteur of the Authority to consult the entire criminal file before its transmission to the Authority. Therefore, the fact that the rapporteurs may have had comprehensive knowledge of the criminal procedure concerning employees of certain accused companies is without impact on the regularity of the procedure.</w:t>
      </w:r>
    </w:p>
    <w:p>
      <w:r>
        <w:t>278. The arguments relating to the impartiality of the inquiry will be dismissed.</w:t>
      </w:r>
    </w:p>
    <w:p>
      <w:r>
        <w:t>4. ON THE EXCESSIVE LENGTH OF THE PROCEDURE</w:t>
      </w:r>
    </w:p>
    <w:p>
      <w:r>
        <w:t>a) Reminder of the principles</w:t>
      </w:r>
    </w:p>
    <w:p>
      <w:r>
        <w:t>279. Article 6, paragraph 1, of the ECHR states that "everyone has the right to have their case heard within a reasonable time."</w:t>
      </w:r>
    </w:p>
    <w:p>
      <w:r>
        <w:t>280. According to consistent European461 and national462 case law, the reasonableness of the duration of the procedure is assessed in concreto, notably in light of the scope and complexity of the case, its context, and the behavior of the parties during the procedure as well as the behavior of the competent authorities.</w:t>
      </w:r>
    </w:p>
    <w:p>
      <w:r>
        <w:t>281. Furthermore, the sanction attached to the Authority's violation of the obligation to rule within a reasonable time is not the annulment of the procedure, but the compensation for the damage resulting from the duration of the procedure, provided, however, that the time elapsed during the inquiry phase, including the non-adversarial phase,</w:t>
      </w:r>
    </w:p>
    <w:p>
      <w:r>
        <w:rPr>
          <w:b/>
        </w:rPr>
        <w:t>[Pages 97–99]</w:t>
      </w:r>
    </w:p>
    <w:p>
      <w:r>
        <w:t>before the Authority, did not cause to each of the companies, formulating a grievance in this regard, a personal, effective, and irreparable infringement of its right to defend itself463.</w:t>
      </w:r>
    </w:p>
    <w:p>
      <w:r>
        <w:t>282. Finally, the instruction period is calculated by taking into account the duration, on the one hand, of the non-contradictory phase of the latter, which begins from the referral to the Authority and, on the other hand, of the contradictory phase, opened by the notification of grievances464.</w:t>
      </w:r>
    </w:p>
    <w:p>
      <w:r>
        <w:t>b) Application in this case</w:t>
      </w:r>
    </w:p>
    <w:p>
      <w:r>
        <w:t>Arguments of the parties</w:t>
      </w:r>
    </w:p>
    <w:p>
      <w:r>
        <w:t>283. Eurobéton considers that the instruction period would be excessive. It alleges that the investigative services were completely passive between 2015 and 2022, during which no investigative act would have been carried out. Eurobéton and IB argue that this delay prevented them from effectively preparing their defense given the loss of evidence related to their acquisitions and the departure of employees who participated in the behaviors for which they are accused.</w:t>
      </w:r>
    </w:p>
    <w:p>
      <w:r>
        <w:t>284. Eurobéton considers that the investigative services did not justify in concreto this delay in light of the nature of the practices and the investigative acts carried out, concerning grievances that would be based on denunciations, criminal searches, and requests for leniency.</w:t>
      </w:r>
    </w:p>
    <w:p>
      <w:r>
        <w:t>Response of the Authority</w:t>
      </w:r>
    </w:p>
    <w:p>
      <w:r>
        <w:t>285. In this case, the Authority took the initiative regarding the practices alleged in the context of this procedure by a decision of March 13, 2020465, and the grievances were notified to the companies involved on March 16, 2022. Thus, the non-contradictory phase of the instruction lasted two years, which cannot be considered excessive in light of the scope of the practices observed and the number of companies involved.</w:t>
      </w:r>
    </w:p>
    <w:p>
      <w:r>
        <w:t>286. In any case, regarding the phase prior to the Authority's self-referral, while the Authority began to take an interest in potential practices implemented in the precast concrete products sector as early as 2015, upon receiving testimonies collected by the BIEC of Lille, the subsequent investigation was marked by various stages justifying the elapsed time, namely: the referral to the criminal judge in November 2016, the receipt of leniency requests in October 2018, as well as in April 2019, and the receipt of the criminal file in June 2020 and October 2021.</w:t>
      </w:r>
    </w:p>
    <w:p>
      <w:r>
        <w:t>287. Furthermore, contrary to what Eurobéton indicates, the practices present particular complexity from a factual point of view and regarding the number of companies involved. Indeed, five grievances were notified to twelve different companies (not counting the various entities comprising these companies). Moreover, the grievances are of very different nature, concern various markets both in terms of products and geography, and cover particularly long time periods.</w:t>
      </w:r>
    </w:p>
    <w:p>
      <w:r>
        <w:t>288. In any case, as noted in the report in paragraph 127, it is incumbent upon the accused parties to provide evidence of the circumstances that obstructed "concretely and effectively the normal exercise of their rights of defense"466. However, the sale of a company or the fact that certain employees have left the company alleged by the accused companies do not in themselves characterize such obstacles.</w:t>
      </w:r>
    </w:p>
    <w:p>
      <w:r>
        <w:t>289. It follows from the case law of the Court of Appeal of Paris467 that it is the responsibility of the prosecuted companies, under the obligation of prudence and vigilance imposed on them, to ensure the preservation of any evidence capable of establishing the legality of their practices until the end of the limitation period set by Article L. 462-7 of the Commercial Code. Specifically regarding the preservation of evidence, the Court of Cassation recalled that the companies prosecuted by the Authority are "responsible for the potential loss of evidence they intended to invoke as long as the limitation (...) had not been acquired"468. In a ruling of January 28, 2003, it also considered that no harm due to the duration is demonstrated when "the alleged difficulties [related to the preservation of evidence] due to internal causes within the two companies related to changes in their respective management following their merger, are unrelated to the conduct of the investigation and the procedure followed before [the Authority]"469.</w:t>
      </w:r>
    </w:p>
    <w:p>
      <w:r>
        <w:t>290. The arguments based on the excessive duration of the procedure will be dismissed.</w:t>
      </w:r>
    </w:p>
    <w:p>
      <w:r>
        <w:t>5. ON THE LIMITATION</w:t>
      </w:r>
    </w:p>
    <w:p>
      <w:r>
        <w:t>a) Reminder of the principles</w:t>
      </w:r>
    </w:p>
    <w:p>
      <w:r>
        <w:t>291. According to the third paragraph of Article L. 462-7 of the Commercial Code, introduced by Ordinance No. 2008-1161 of November 13, 2008, "the limitation is acquired in any case when a period of ten years from the cessation of the anticompetitive practice has elapsed without the Competition Authority having ruled on it."</w:t>
      </w:r>
    </w:p>
    <w:p>
      <w:r>
        <w:t>292. It follows from the decision-making practice of the Authority that the ten-year limitation period only begins to run from the cessation of the practices470 or, where applicable, from the end of each company's participation in the infringement471. The Authority has had the opportunity to apply this principle in the so-called Bisphenol A case, excluding companies whose evidence of participation in the practices dated back more than ten years after the adoption of the decision472.</w:t>
      </w:r>
    </w:p>
    <w:p>
      <w:r>
        <w:t>293. According to consistent case law, under national competition law, the determination of the starting point of the limitation period depends on how the facts unfolded over time. If, for instantaneous practices, the starting point of the limitation period is the day after the act constituting the infringement, for continuous or repeated practices, the starting point of this period is the day after the day on which the infringing behavior ceased473.</w:t>
      </w:r>
    </w:p>
    <w:p>
      <w:r>
        <w:t>b) Application to the case at hand</w:t>
      </w:r>
    </w:p>
    <w:p>
      <w:r>
        <w:t>294. The ten-year limitation is acquired for the companies whose participation in the practices cannot be demonstrated beyond May 21, 2014.</w:t>
      </w:r>
    </w:p>
    <w:p>
      <w:r>
        <w:t>295. Regarding the first grievance, S.E.G. was implicated in its capacity as the parent company of SLM until 2012474, while the companies Echobel NV and Galm Participaties NV were implicated in their capacity as parent companies of Echolux SA and Echo France Groupe (now FB Groupe France SA) until January 2013.</w:t>
      </w:r>
    </w:p>
    <w:p>
      <w:r>
        <w:t>296. The practices attributed to S.E.G., Echobel NV, and Galm Participaties NV under the first grievance are therefore time-barred. It is therefore appropriate to exclude them from the case, without the need to analyze the elements that could establish their potential culpability.</w:t>
      </w:r>
    </w:p>
    <w:p>
      <w:r>
        <w:t>297. Regarding the second grievance, there is no external material evidence beyond the statements of KP1, the leniency applicant, to establish SEAC's participation in the second grievance beyond March 5, 2013.</w:t>
      </w:r>
    </w:p>
    <w:p>
      <w:r>
        <w:t>298. The practices attributed to SEAC under the second grievance are therefore time-barred. It is therefore appropriate to exclude it from the case, without the need to analyze the elements that could establish its potential culpability.</w:t>
      </w:r>
    </w:p>
    <w:p>
      <w:r>
        <w:t>299. Regarding the third grievance, there is no external material evidence beyond the statements of KP1, the leniency applicant, to establish IB's participation in the third grievance beyond September 13, 2013.</w:t>
      </w:r>
    </w:p>
    <w:p>
      <w:r>
        <w:t>300. The practices attributed to IB under the third grievance are therefore time-barred. It is therefore appropriate to exclude it from the case, without the need to analyze the elements that could establish its potential culpability.</w:t>
      </w:r>
    </w:p>
    <w:p>
      <w:r>
        <w:t>B. ON THE APPLICATION OF EU LAW</w:t>
      </w:r>
    </w:p>
    <w:p>
      <w:r>
        <w:t>301. According to the case law of the Court of Justice of the European Union (hereinafter "the Court of Justice" or "CJEU") and the communication from the European Commission containing guidelines on the concept of affecting trade as set out in Articles 101 and 102 TFEU, three elements must be established for practices to be likely to significantly affect trade between Member States of the Union: the existence of a...</w:t>
      </w:r>
    </w:p>
    <w:p>
      <w:r>
        <w:rPr>
          <w:b/>
        </w:rPr>
        <w:t>[Pages 100–102]</w:t>
      </w:r>
    </w:p>
    <w:p>
      <w:r>
        <w:t>the ongoing exchanges between the Member States concerning the products in question, the existence of practices likely to affect these exchanges, and the sensitive nature of this impact.</w:t>
      </w:r>
    </w:p>
    <w:p>
      <w:r>
        <w:t>302. The fact that agreements or abuses of a dominant position are committed only within the territory of a single Member State does not prevent the fulfillment of the first two conditions.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intra-community trade."</w:t>
      </w:r>
    </w:p>
    <w:p>
      <w:r>
        <w:t>303. Regarding the third element, the Court of Cassation ruled in the same judgment that "the sensitive nature of the direct or indirect, potential or actual impact on intra-community trade results from a set of criteria, including the nature of the practices, the nature of the products concerned, and the market position of the companies involved."</w:t>
      </w:r>
    </w:p>
    <w:p>
      <w:r>
        <w:t>304. Paragraph 52 of the aforementioned guidelines refers to two cumulative thresholds below which an agreement is presumed, from the Commission's perspective, not to significantly affect trade between Member States:</w:t>
        <w:br/>
        <w:t>− the total market share of the parties in the affected community market does not exceed 5%;</w:t>
        <w:br/>
        <w:t>− in the case of horizontal agreements, the average annual turnover achieved in the Union by the companies involved with the products concerned by the agreement does not exceed €40 million.</w:t>
      </w:r>
    </w:p>
    <w:p>
      <w:r>
        <w:t>305. In this case, the practices concerned by the first three grievances as well as by the fifth grievance are horizontal agreements between competitors relating to the sale of precast concrete products and frameworks to construction companies, traders, and CMI. Several of the companies involved are international groups with production units and subsidiaries located in different Member States of the Union.</w:t>
      </w:r>
    </w:p>
    <w:p>
      <w:r>
        <w:t>306. Furthermore, the practices occurred in a sector that exceeds the mere framework of the national market, notably due to the proven existence of intra-community trade flows.</w:t>
      </w:r>
    </w:p>
    <w:p>
      <w:r>
        <w:t>307. Moreover, the practices related to the first three grievances were implemented by companies whose turnover with the products concerned by the practices far exceeds the threshold of €40 million.</w:t>
      </w:r>
    </w:p>
    <w:p>
      <w:r>
        <w:t>308. It follows that the practices referred to in grievances 1, 2, 3, and 5 are likely to have significantly affected trade between Member States. They must, therefore, be examined both in light of the Union's competition rules and the internal rules, a point not contested by the accused.</w:t>
      </w:r>
    </w:p>
    <w:p>
      <w:r>
        <w:t>309. The practices referred to in the fourth grievance concern a bilateral agreement between KP1 and SPL regarding prices, customer allocation, as well as SPL's outlets, implemented in the sector of marketing precast concrete walls, intended for a clientele of construction companies and traders in the western region of France, the only region where SPL is established. Indeed, the practices in question concerned SPL's activity regarding its production unit located in Morbihan, aimed at serving a clientele located mainly nearby, while KP1 has production units in precast walls in other geographical areas of the national territory.</w:t>
      </w:r>
    </w:p>
    <w:p>
      <w:r>
        <w:t>310. It follows that the practice referred to in the fourth grievance is not likely to have significantly affected trade between Member States. It will only be examined in light of Article L. 420-1 of the Commercial Code.</w:t>
      </w:r>
    </w:p>
    <w:p>
      <w:r>
        <w:t>C. ON THE RELEVANT MARKETS</w:t>
      </w:r>
    </w:p>
    <w:p>
      <w:r>
        <w:t>1. RECALL OF THE PRINCIPLES</w:t>
      </w:r>
    </w:p>
    <w:p>
      <w:r>
        <w:t>311. In order to define the market for products or services, it is necessary to determine whether the products or services in question are considered by buyers "as interchangeable or substitutable due to their characteristics, price, and use."</w:t>
      </w:r>
    </w:p>
    <w:p>
      <w:r>
        <w:t>312. In the same vein, the Commission recalled, in its communication No. C/2024/1645 of February 22, 2024, on the definition of the relevant market, that the market for products "includes all products that customers consider interchangeable or substitutable for those of the concerned companies, due to their characteristics, price, and intended use, taking into account the competitive conditions and the structure of demand and supply in the market."</w:t>
      </w:r>
    </w:p>
    <w:p>
      <w:r>
        <w:t>313. The geographical market, for its part, includes "the territory on which the concerned companies offer or request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w:t>
      </w:r>
    </w:p>
    <w:p>
      <w:r>
        <w:t>314. It follows from case law that the obligation to delineate the relevant market in a decision adopted under Article 101 TFEU arises only when, without such delineation, it is not possible to determine whether the agreement, the decision of business association, or the concerted practice in question is likely to affect trade between Member States and has as its object or effect the prevention, restriction, or distortion of competition within the common market.</w:t>
      </w:r>
    </w:p>
    <w:p>
      <w:r>
        <w:t>315. Similarly, under domestic law, when the practices in question are examined under the prohibition of horizontal agreements, as is the case here, it is not necessary to precisely define the market as long as the sector has been sufficiently identified to qualify the observed practices and allow them to be attributed to the operators who implemented them.</w:t>
      </w:r>
    </w:p>
    <w:p>
      <w:r>
        <w:t>2. APPLICATION OF THE PRINCIPLES</w:t>
      </w:r>
    </w:p>
    <w:p>
      <w:r>
        <w:t>316. In this case, the sector concerned by the practices is that of precast concrete elements for construction.</w:t>
      </w:r>
    </w:p>
    <w:p>
      <w:r>
        <w:t>317. In this sector, the Commission considered that the market for precast concrete products could constitute a distinct product market from other construction materials such as ready-mixed concrete, aggregates, or cement. The Commission contemplated a distinction of the product market based on the distribution channel (supply to distributors, professional customers, and non-professional customers). Finally, in a decision of July 20, 2020, concerning KP1, the Commission recognized that the market for beams was particular, while leaving the question of the definition of the market for precast concrete products open.</w:t>
      </w:r>
    </w:p>
    <w:p>
      <w:r>
        <w:t>318. The Commission considered, regarding the geographical market, that it was of national dimension, but that it could also be approached from a regional perspective, while leaving the question open.</w:t>
      </w:r>
    </w:p>
    <w:p>
      <w:r>
        <w:t>319. Contrary to the arguments raised by SPL, a precise definition of the product market and its geographical dimension is not necessary, in this case, for the legal qualification of the practices and their attribution to the entities that implemented them.</w:t>
      </w:r>
    </w:p>
    <w:p>
      <w:r>
        <w:t>320. Indeed, the observed practices concern companies present, for the most part, in several segments of the precast concrete products sector and active in different parts of the national market.</w:t>
      </w:r>
    </w:p>
    <w:p>
      <w:r>
        <w:t>321. Regarding grievances 1, 2, 3, and 5, they concern the establishment and joint application, by the accused precast concrete product manufacturers, of minimum price grids and the allocation of tenders among themselves, through bilateral exchanges and the organization of round tables during multilateral meetings. These practices were decided, directed, and monitored at the national level by the leaders of the accused companies.</w:t>
      </w:r>
    </w:p>
    <w:p>
      <w:r>
        <w:rPr>
          <w:b/>
        </w:rPr>
        <w:t>[Pages 103–105]</w:t>
      </w:r>
    </w:p>
    <w:p>
      <w:r>
        <w:t>322. Regarding complaint 4 addressed to SPL, the Authority notes that, contrary to what the latter claims, the practices attributed to it do not solely concern the manufacturing of precast walls, but encompass all of SPL's activities during the infringement period, which included, in particular, precast slabs, product studies, and the marketing of precast walls and slabs486. Furthermore, the pursued practices also involve KP1, which is present throughout the national territory and has led these practices at the national level.</w:t>
      </w:r>
    </w:p>
    <w:p>
      <w:r>
        <w:t>323. It follows from these elements and the case law recalled in paragraph 314 above that in this case the practices must be analyzed with reference to: (i) a French market for the sale of precast concrete elements intended for construction companies, (ii) a French market for the sale of precast concrete elements intended for individual house builders and merchants, (iii) a French market for the sale and installation of concrete frameworks, and (iv) a French market for precast walls.</w:t>
      </w:r>
    </w:p>
    <w:p>
      <w:r>
        <w:t>D. ON THE MERITS OF THE NOTIFIED COMPLAINTS</w:t>
      </w:r>
    </w:p>
    <w:p>
      <w:r>
        <w:t>1. RECALL OF THE APPLICABLE PRINCIPLES</w:t>
      </w:r>
    </w:p>
    <w:p>
      <w:r>
        <w:t>324. The first paragraph of Article 101 TFEU and Article L. 420-1 of the Commercial Code prohibit, in particular, agreements and concerted practices between companies that have the object or effect of restricting competition. The Authority may sanction these practices individually or collectively, within the framework of a single and continuous infringement.</w:t>
      </w:r>
    </w:p>
    <w:p>
      <w:r>
        <w:t>a) Agreements and concerted practices</w:t>
      </w:r>
    </w:p>
    <w:p>
      <w:r>
        <w:t>325. The existence of an agreement is established as soon as the companies have expressed their common intention to behave in a certain manner on the market487.</w:t>
      </w:r>
    </w:p>
    <w:p>
      <w:r>
        <w:t>326. As a preliminary point, it should be noted that the notions of "agreement," "decisions of associations of companies," and "concerted practice" encompass, from a subjective point of view, forms of collusion that share the same nature and differ only in their intensity and the forms in which they manifest.</w:t>
      </w:r>
    </w:p>
    <w:p>
      <w:r>
        <w:t>327. Regarding the definition of a concerted practice, the Court has ruled that such a practice aims at a form of coordination between companies which, without having been pushed to the realization of a formal agreement, deliberately substitutes practical cooperation between them for the risks of competition488.</w:t>
      </w:r>
    </w:p>
    <w:p>
      <w:r>
        <w:t>328. The Court of Justice has ruled that the notion of concerted practice implies, in addition to consultation between companies, behavior on the market following this consultation and a causal link between these two elements489. However, it tempered this requirement by indicating that it should be presumed, subject to contrary evidence that it is up to the interested operators to provide, that companies participating in the consultation and remaining active on the market take into account the information exchanged with their competitors to determine their behavior on the market, and that this is even more so when the consultation takes place on a regular basis over a long period490.</w:t>
      </w:r>
    </w:p>
    <w:p>
      <w:r>
        <w:t>329. The existence of a concerted practice can be demonstrated by converging evidence proving that contacts have taken place between a certain number of companies and that they pursued the common goal of eliminating or reducing uncertainty regarding their future behavior on the market491.</w:t>
      </w:r>
    </w:p>
    <w:p>
      <w:r>
        <w:t>b) On the evidence</w:t>
      </w:r>
    </w:p>
    <w:p>
      <w:r>
        <w:t>330. In law, regarding the general standard of proof applicable to horizontal agreements, it follows from the case law of the Court of Justice that "[t]he prohibition of participating in anti-competitive practices and agreements, as well as the sanctions that offenders may incur, being notorious, it is usual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the minutes of a meeting, these will normally only be fragmentary and scattered, so that it often proves necessary to reconstruct certain details through deductions. In most cases, the existence of an anti-competitive practice or agreement must be inferred from a number of coincidences and indications which, taken together, may constitute, in the absence of another coherent explanation, proof of a violation of competition rules"492.</w:t>
      </w:r>
    </w:p>
    <w:p>
      <w:r>
        <w:t>331. Furthermore, while competition authorities must present precise and consistent evidence to establish the existence of an infringement, each piece of evidence does not necessarily have to meet these criteria concerning each element of the infringement. Indeed, the indications should not be assessed in isolation, but as a whole493.</w:t>
      </w:r>
    </w:p>
    <w:p>
      <w:r>
        <w:t>332. It should also be noted that nothing prevents competition authorities from relying on a single piece of evidence rather than a bundle of indications as long as the evidential value of that piece is not doubtful, and that it certainly attests to the existence of the infringement494.</w:t>
      </w:r>
    </w:p>
    <w:p>
      <w:r>
        <w:t>333. The proof of agreements and concerted practices can therefore result either from self-sufficient evidence or from a bundle of indications constituted by the convergence of various elements collected during the investigation, which may be drawn from one or more documents or statements and which, taken in isolation, may not have probative value495. National courts have confirmed the evidential value of a bundle of serious, precise, and consistent indications496.</w:t>
      </w:r>
    </w:p>
    <w:p>
      <w:r>
        <w:t>334. Regarding the standard of proof applicable to documentary evidence, the Paris Court of Appeal has, on several occasions, and notably in its judgment of January 26, 2012, Beauté Prestige International, indicated: "as for the evidential value of the various pieces of evidence, the only relevant criterion for assessing the evidence produced lies in their credibility; that according to the general rules on evidence, the credibility and thus the evidential value of a document depends on its origin, the circumstances of its preparation, its recipient, and its content." In this regard, great importance must be attached to the fact that a document was established in immediate connection with the facts or by a direct witness of those facts497. The same applies to documents that were established without it being thought that they would subsequently be disclosed to third parties498.</w:t>
      </w:r>
    </w:p>
    <w:p>
      <w:r>
        <w:t>335. Regarding the standard of proof applicable to statements, it follows from European case law that no "provision or general principle of Community law prohibits the Commission from relying, against a company, on the statements of other incriminated companies. If this were not the case, the burden of proof for behaviors contrary to Articles 81 EC and 82 EC, which lies with the Commission, would be unsustainable and incompatible with the mission of overseeing the proper application of these provisions assigned to it by the EC Treaty (JFE Engineering e.a./Commission judgment, point 49 above, point 192)"499.</w:t>
      </w:r>
    </w:p>
    <w:p>
      <w:r>
        <w:t>336. In a judgment of July 12, 2011, the General Court of the European Union (hereinafter "the Court") noted that "particularly high evidential value may also be recognized [to statements] which, first, are reliable, second, are made on behalf of a company, third, come from a person bound by a professional obligation to act in the interest of that company, fourth, go against the interests of the declarant, fifth, come from a direct witness of the circumstances they report, and sixth, have been provided in writing, deliberately and after careful consideration (see, in this sense, JFE Engineering e.a./Commission judgment, point 62 above, points 205 to 210)"500.</w:t>
      </w:r>
    </w:p>
    <w:p>
      <w:r>
        <w:t>337. As for the status of the statements of the leniency applicant, the same judgment of the Court confirmed their particular evidential value: "although a certain distrust towards voluntary statements from the main participants in an illegal agreement is generally warranted, given the possibility, invoked by the applicants, that these participants may tend to minimize the importance of their contribution to the infringement and maximize that of others..."</w:t>
      </w:r>
    </w:p>
    <w:p>
      <w:r>
        <w:rPr>
          <w:b/>
        </w:rPr>
        <w:t>[Pages 106–108]</w:t>
      </w:r>
    </w:p>
    <w:p>
      <w:r>
        <w:t>des autres, it remains that the act of requesting to benefit from the application of the communication on cooperation in order to obtain immunity or a reduction of the fine does not necessarily create an incentive to present distorted evidence regarding the participation of other members of the cartel. Indeed, any attempt to mislead the Commission could undermine the sincerity as well as the completeness of the applicant's cooperation and, consequently, jeopardize the possibility for the applicant to fully benefit from the communication on cooperation (see, in this sense, the judgment of the Tribunal of November 16, 2006, Peróxidos Orgánicos/Commission, T-120/04, Rec. p. II-4441, point 70).501.</w:t>
      </w:r>
    </w:p>
    <w:p>
      <w:r>
        <w:t>338. The Court of Appeal of Paris has already had the opportunity to admit that the statements of a leniency applicant are relevant pieces of evidence that can be taken into account as part of the body of precise, serious, and consistent indications supporting a finding of infringement502.</w:t>
      </w:r>
    </w:p>
    <w:p>
      <w:r>
        <w:t>339. Finally, regarding the statements of employees interviewed either under police custody or as assisted witnesses, the Tribunal has considered that "the fact that these statements were made before the prosecutor [...] in the context of a judicial investigation reinforces, rather than diminishes, their probative value [...]. Indeed, while a statement made before a prosecutor does not have the same value as testimony given under oath before a court, it should be noted that the coercion resulting from the investigative powers of a prosecutor, and the negative consequences that may arise on a criminal level for a witness who would have lied during an investigation, are circumstances that make such a statement more reliable than a mere declaration."503.</w:t>
      </w:r>
    </w:p>
    <w:p>
      <w:r>
        <w:t>340. Finally, it should be recalled, regarding the standard of proof of a company's participation in a horizontal agreement, that a company must strictly refrain from engaging in direct or indirect contacts with its competitors with a view to exchanging information on their commercial policies, particularly regarding the prices of goods or services they offer on the market.</w:t>
      </w:r>
    </w:p>
    <w:p>
      <w:r>
        <w:t>c) On the notion of restriction by object</w:t>
      </w:r>
    </w:p>
    <w:p>
      <w:r>
        <w:t>341. Article 101, paragraph 1 of the TFEU prohibits agreements and concerted practices between companies when they have the object or may have the effect of preventing, restricting, or distorting competition in the market, particularly when they tend to obstruct the setting of prices by the free play of the market by artificially favoring their increase or decrease.</w:t>
      </w:r>
    </w:p>
    <w:p>
      <w:r>
        <w:t>342. It follows from this provision that the anticompetitive object and effect of a practice are alternative conditions for the implementation of the prohibition provided for therein.</w:t>
      </w:r>
    </w:p>
    <w:p>
      <w:r>
        <w:t>343. In this context, the Court of Justice has specified that it is necessary to examine, first, the very object of the agreement, and that it is only in a second step that its effects should be examined if the analysis of the object of the agreement does not reveal a sufficient degree of harm to competition to characterize a prohibited agreement504.</w:t>
      </w:r>
    </w:p>
    <w:p>
      <w:r>
        <w:t>344. Generally, the assessment of the existence of a sufficient degree of harm requires a concrete and cumulative examination of the content and objectives of the restrictive competition provision, as well as the economic and legal context in which it is situated505.</w:t>
      </w:r>
    </w:p>
    <w:p>
      <w:r>
        <w:t>345. In this regard, the Court of Justice has emphasized that "certain types of coordination between companies reveal a sufficient degree of harm to competition such that it can be considered that the examination of their effects is not necessary."506 This is particularly true for behaviors that lead to horizontal price fixing507. National case law goes in the same direction508.</w:t>
      </w:r>
    </w:p>
    <w:p>
      <w:r>
        <w:t>346. In the same vein, the Court of Justice also considers that "agreements aimed at market allocation have a restrictive object of competition in themselves and fall within a category of agreements expressly prohibited by Article 101, paragraph 1, TFEU, such an object cannot be justified by an analysis of the economic context in which the anticompetitive behavior in question is situated (judgment Siemens e.a./Commission, C‑239/11 P, C‑489/11 P and C‑498/11 P, EU:C:2013:866, point 218)."509.</w:t>
      </w:r>
    </w:p>
    <w:p>
      <w:r>
        <w:t>2. ON THE NOTION OF A SINGLE AND CONTINUOUS AGREEMENT</w:t>
      </w:r>
    </w:p>
    <w:p>
      <w:r>
        <w:t>a) On the unique nature of the infringement</w:t>
      </w:r>
    </w:p>
    <w:p>
      <w:r>
        <w:t>347. According to case law and decision-making practice, both internal and from the Union, behavior manifested by several actions pursuing a single economic objective can be qualified as a single, complex, and continuous infringement for the period during which it is implemented510.</w:t>
      </w:r>
    </w:p>
    <w:p>
      <w:r>
        <w:t>348. A single infringement may consist of practices that can be qualified as agreements, concerted practices, and decisions of business associations, provided that these practices share the same object or the same anticompetitive effects and thus fit into an overall plan511. The Authority is entitled to attribute responsibility for these actions based on participation in the infringement considered as a whole512. In this regard, it is irrelevant whether one or more elements of this series of acts or this continuous behavior could also constitute, in themselves and taken in isolation, a violation of competition rules513.</w:t>
      </w:r>
    </w:p>
    <w:p>
      <w:r>
        <w:t>349. The qualification of an overall plan depends solely on objective factors.</w:t>
      </w:r>
    </w:p>
    <w:p>
      <w:r>
        <w:t>350. These factors include, in particular, the common objective of the practices, which is an indication that must be assessed solely in light of the content of the practices and must not be confused with the subjective intention of the different companies to participate in a single and continuous agreement. This subjective intention can only be taken into account in the context of assessing the individual participation of a company in such a single and continuous infringement514. Furthermore, to characterize the existence of an overall plan, it is not sufficient to make a general reference to the existence of a distortion of competition, since "this would result in disparate behaviors concerning the same economic sector, prohibited by Article 101, paragraph 1, TFEU, being systematically qualified as a single infringement."515.</w:t>
      </w:r>
    </w:p>
    <w:p>
      <w:r>
        <w:t>351. The Authority may also take into account the existence of a complementary link between the practices, even if it is not obliged to do so516. This is the case when "the whole of the practices contributes, through interaction, to achieving the anticompetitive effects intended by their authors, within the framework of a global plan aimed at a common objective."517.</w:t>
      </w:r>
    </w:p>
    <w:p>
      <w:r>
        <w:t>352. Other factors that may be taken into account relate, in particular, to the identity of the products and services concerned, the modalities of their implementation, or the individuals involved on behalf of the companies518. The "fact that a core group consisting of the same companies is involved in the anticompetitive agreements"519 may also constitute a relevant factor, it being specified, however, that "the homogeneity of the companies concerned is by no means a necessary condition for characterizing a single, complex, and continuous infringement, as long as the behaviors observed present strong similarities and contribute to the common objective."520 Similarly, the absence of a direct competitive relationship between the participants is irrelevant for the qualification of a complex infringement, as long as the behaviors adopted pursued the same objective521. The Authority has even been able to consider as...</w:t>
      </w:r>
    </w:p>
    <w:p>
      <w:r>
        <w:rPr>
          <w:b/>
        </w:rPr>
        <w:t>[Pages 109–111]</w:t>
      </w:r>
    </w:p>
    <w:p>
      <w:r>
        <w:t>sufficient, in the case of chemical commodities, the "fact that only one of the companies involved participated in all the practices constituting the IUCC"522.</w:t>
      </w:r>
    </w:p>
    <w:p>
      <w:r>
        <w:t>353. In any case, these various elements must be understood in the overall context of the circumstances of the case, and not in isolation523.</w:t>
      </w:r>
    </w:p>
    <w:p>
      <w:r>
        <w:t>354. Similarly, the Authority has sanctioned unique infringements composed of practices concerning distinct products by considering that there were links of connection between the various products involved. The Authority noted in the aforementioned steel cartel case that "the practices apply indiscriminately to all steel products distributed by trade and involve actors representing a predominant part of the market regardless of the product concerned. The very functioning of the concertation encompasses all these products and the competitive analysis is identical regardless of the relevant market defined." The practice was qualified as a unique infringement common to all these products524.</w:t>
      </w:r>
    </w:p>
    <w:p>
      <w:r>
        <w:t>b) On the continuous or repeated nature of the infringement</w:t>
      </w:r>
    </w:p>
    <w:p>
      <w:r>
        <w:t>355. When it is possible to qualify several practices as a unique infringement, the Authority is not required to take into account the different durations of the observed practices. Since these are not distinct infringements, the Authority determines the duration of the infringement taken as a whole. This continuity can be established notably by the existence of actions manifesting the maintenance or repetition of the single objective or considering the fact that it remained in force and continuously retained its object and its actual and/or potential effects.</w:t>
      </w:r>
    </w:p>
    <w:p>
      <w:r>
        <w:t>356. European courts require that "in the absence of evidence capable of directly establishing the duration of an infringement, the Commission relies, at least, on evidence relating to facts sufficiently close in time, so that it can be reasonably accepted that this infringement has continued uninterrupted between two specific dates"525.</w:t>
      </w:r>
    </w:p>
    <w:p>
      <w:r>
        <w:t>357. In the context of a global agreement extending over several years, a gap of a few months between manifestations of the agreement is of little importance. The fact that the different actions are part of an overall plan due to their identical object is, on the other hand, determining526.</w:t>
      </w:r>
    </w:p>
    <w:p>
      <w:r>
        <w:t>522 Thematic study on the aforementioned unique, complex, and continuous infringement, page 108, mentioning decision no. 13-D-12 of May 28, 2013, regarding practices implemented in the chemical commodities marketing sector.</w:t>
      </w:r>
    </w:p>
    <w:p>
      <w:r>
        <w:t>523 Judgment of the Court of July 14, 1972, ICI / Commission, C-48/69, paragraph 68 and judgment of the Tribunal of July 8, 2008, BPB / Commission, T-53/03, paragraph 185.</w:t>
      </w:r>
    </w:p>
    <w:p>
      <w:r>
        <w:t>524 See notably, decision no. 08-D-32 of the Competition Council of December 16, 2008, regarding practices implemented in the steel products trading sector.</w:t>
      </w:r>
    </w:p>
    <w:p>
      <w:r>
        <w:t>525 CJEU, September 21, 2006, Nederlandse Federatieve Vereniging voor de Groothandel op Elektrotechnisch Gebied/Commission, C-105/04 P, paragraphs 57, 97, and 98; see also, in this sense, CJEU, January 7, 2004, Aalborg Portland e.a./Commission, C-204/00, paragraphs 52 and 260, EU Tribunal, May 17, 2013, Trelleborg Industrie SAS/Commission, T-147/09, paragraph 59; TPI, July 7, 1994, Dunlop Slazenger/Commission, T-43/92, paragraph 79; November 16, 2006, Peróxidos Orgánicos/Commission, T-120/04, paragraph 51.</w:t>
      </w:r>
    </w:p>
    <w:p>
      <w:r>
        <w:t>526 CJEU, January 7, 2004, Aalborg Portland e.a./Commission, C-204/00, paragraph 260.</w:t>
      </w:r>
    </w:p>
    <w:p>
      <w:r>
        <w:t>358. The suspension of an anticompetitive practice for a determined period does not prevent it from being classified as a unique infringement as long as, after its interruption, it was resumed under the same conditions527. In this case, the infringement is classified as unique and repeated. For this, there must then exist "a single objective pursued by it before and after the interruption, which can be deduced from the identity of the objectives of the practices in question, the products concerned, the companies that participated in the collusion, the main modalities of its implementation, the individuals involved on behalf of the companies, and finally, the geographical scope of the said practices"528.</w:t>
      </w:r>
    </w:p>
    <w:p>
      <w:r>
        <w:t>c) On the liability of companies participating in a unique and continuous infringement</w:t>
      </w:r>
    </w:p>
    <w:p>
      <w:r>
        <w:t>359. It follows from European case law that "a company that participated in a […] unique and complex infringement through behaviors that were its own, which fell under the notions of agreement or concerted practice having an anticompetitive object within the meaning of Article 81, paragraph 1, EC and aimed at contributing to the realization of the infringement as a whole, can also be held liable for the behaviors implemented by other companies within the framework of the same infringement for the entire period of its participation in said infringement. This is the case when it is established that the said company intended to contribute through its own behavior to the common objectives pursued by all participants and that it was aware of the infringing behaviors contemplated or implemented by other companies in pursuit of the same objectives, or that it could reasonably foresee them and was willing to accept the risk"529.</w:t>
      </w:r>
    </w:p>
    <w:p>
      <w:r>
        <w:t>360. When a company has directly participated in all the anticompetitive behaviors constituting the unique and continuous infringement, it must be considered as the author of all the constitutive elements of the infringement. Its adherence to the overall anticompetitive plan is necessarily acquired. The Authority is entitled to attribute to it the responsibility for all these behaviors and, consequently, for the said infringement as a whole.</w:t>
      </w:r>
    </w:p>
    <w:p>
      <w:r>
        <w:t>361. Regarding companies that participated in only part of the constitutive elements of the unique infringement, the Court of Justice distinguished two situations.</w:t>
      </w:r>
    </w:p>
    <w:p>
      <w:r>
        <w:t>362. First, a company may have directly participated in only part of the anticompetitive behaviors constituting the unique and continuous infringement, but have been aware of all the other infringing behaviors contemplated or implemented by the other participants in the agreement in pursuit of the same objectives, or have been able to reasonably foresee them and have been willing to accept the risk. In such a case, the Authority is entitled to attribute to this company the responsibility for all the anticompetitive behaviors constituting such an infringement and, consequently, for the infringement as a whole530.</w:t>
      </w:r>
    </w:p>
    <w:p>
      <w:r>
        <w:t>527 TPI, March 20, 2002, Dansk Rørindustri, T-21/99, paragraphs 53 to 56; EU Tribunal, May 19, 2010, IMI plc, IMI Kynoch Ltd and Yorkshire Copper Tube, T-18/05, paragraphs 96 and 97.</w:t>
      </w:r>
    </w:p>
    <w:p>
      <w:r>
        <w:t>528 See notably, judgments of the Tribunal of May 17, 2013, Trelleborg/Commission, T-147/09 and T-148/09, paragraph 88 and of May 17, 2013, MRI/Commission, T-154/09, paragraph 199.</w:t>
      </w:r>
    </w:p>
    <w:p>
      <w:r>
        <w:t>529 CJEU, December 6, 2012, Verhuizingen Coppens, C-441/11, paragraphs 42 to 45.</w:t>
      </w:r>
    </w:p>
    <w:p>
      <w:r>
        <w:t>530 CJEU, December 6, 2012, Verhuizingen Coppens, C-441/11, paragraphs 42 to 45.</w:t>
      </w:r>
    </w:p>
    <w:p>
      <w:r>
        <w:t>363. Secondly, if a company has directly participated in one or more of the anticompetitive behaviors constituting a unique and continuous infringement, but it is not established that, through its own behavior, it intended to contribute to the overall common objectives pursued by the other participants in the agreement and that it was aware of all the other infringing behaviors contemplated or implemented by said participants or that it could reasonably foresee them, the Authority is entitled to attribute to it the responsibility only for the behaviors to which it directly participated and for the behaviors contemplated or implemented by the other participants in pursuit of the same objectives as those it pursued and of which it is proven that it was aware or could reasonably foresee and was willing to accept the risk531.</w:t>
      </w:r>
    </w:p>
    <w:p>
      <w:r>
        <w:t>364. However, this cannot lead to exempting this company from its liability for the behaviors of which it is established that it participated or for which it can effectively be held responsible. Indeed, the fact that a company did not participate in all the constitutive elements of an agreement or that it played a minor role in the aspects to which it participated is not relevant to establish the existence of an infringement on its part, given that these elements should only be considered when assessing the seriousness of the infringement and, where appropriate, determining the fine.</w:t>
      </w:r>
    </w:p>
    <w:p>
      <w:r>
        <w:t>365. Regarding the duration of a company's participation in a unique and continuous agreement, it follows from case law that "the notion of an overall plan allows [the competition authority] to presume that the commission of an infringement has not been interrupted even if, for a certain period, it does not have evidence of the participation of the company concerned in this infringement, provided that it participated in the infringement before and after this period and provided that there is no evidence or indications suggesting that the infringement had been interrupted concerning it. In this case, it may impose a fine for the entire infringement period, including the period for which it does not have evidence of the participation of the company concerned"532.</w:t>
      </w:r>
    </w:p>
    <w:p>
      <w:r>
        <w:t>d) On the role of facilitator of the agreement</w:t>
      </w:r>
    </w:p>
    <w:p>
      <w:r>
        <w:t>366. It follows from the case law of the Court of Justice that a company can be held liable for an infringement of Article 101, paragraph 1, TFEU when it actively and knowingly contributes to the implementation or monitoring of an agreement between producers active in a market distinct from that in which the said company operates533.</w:t>
      </w:r>
    </w:p>
    <w:p>
      <w:r>
        <w:t>367. To establish such an infringement, the Court of Justice has considered that it is necessary to demonstrate that "the company concerned intended to contribute through its own behavior to the common objectives pursued by all participants and that it was aware of the material behaviors contemplated or implemented by other companies in pursuit of the same objectives, or that it could reasonably foresee them and that it was willing to accept the risk"534.</w:t>
      </w:r>
    </w:p>
    <w:p>
      <w:r>
        <w:rPr>
          <w:b/>
        </w:rPr>
        <w:t>[Pages 112–114]</w:t>
      </w:r>
    </w:p>
    <w:p>
      <w:r>
        <w:t>368. Such qualification may be retained even when the company has participated in the practice through service contracts distinct from the anticompetitive agreements binding the members of the cartel, and despite the fact that it is a consulting firm.535</w:t>
      </w:r>
    </w:p>
    <w:p>
      <w:r>
        <w:t>369. Indeed, as the Court noted in its Icap judgment of November 10, 2017, "it cannot be deduced from the case law of the Court that Article 101(1) TFEU concerns only either the companies active in the market affected by the restrictions of competition, or on markets located upstream, downstream, or adjacent to that market, or the companies that limit their autonomy of behavior in a given market under an agreement or a concerted practice."536</w:t>
      </w:r>
    </w:p>
    <w:p>
      <w:r>
        <w:t>370. In this judgment, the Court recalled that in order to verify whether a company played a facilitating role within a cartel, it was necessary to check, in accordance with the criterion established by the case law recalled in point 367 above, (i) the company's knowledge of the existence of the cartel it would have facilitated; (ii) its willingness to contribute to the common objective of the cartel; and (iii) its contribution to the common objectives of the participants in the cartel.537</w:t>
      </w:r>
    </w:p>
    <w:p>
      <w:r>
        <w:t>371. In its decision No. 19-D-12 regarding practices implemented by notaries in the real estate negotiation sector, the Authority considered that "the provisions of Article L. 420-1 of the Commercial Code, like those of Article 101 TFEU as specified by the aforementioned case law, imply that companies that contribute to a restriction of competition in a market in which they are not active may be considered as having participated in a cartel, as long as they contribute to the implementation of the cartel, even in a subordinate, ancillary, or passive manner, for example through tacit approval or by failing to report this cartel to the authorities. The possibly limited importance of this contribution may be taken into account in determining the level of the sanction."538</w:t>
      </w:r>
    </w:p>
    <w:p>
      <w:r>
        <w:t>3. ON THE MERITS OF GRIEVANCE 1</w:t>
      </w:r>
    </w:p>
    <w:p>
      <w:r>
        <w:t>a) On the materiality of the practices</w:t>
      </w:r>
    </w:p>
    <w:p>
      <w:r>
        <w:t>On the evidence of the cartel led at the national level by KP1, Rector, and SEAC and its implementation in several French regions</w:t>
      </w:r>
    </w:p>
    <w:p>
      <w:r>
        <w:t>372. The elements of the file attest to the existence of a cartel on precast slabs led at the national level by KP1, Rector, and SEAC within the GIE ThermoPrédalle with a view to defining market share quotas and prices to be respected in several regions of France between, at the very least, May 15, 2008, and October 25, 2018.</w:t>
      </w:r>
    </w:p>
    <w:p>
      <w:r>
        <w:t>373. SEAC argues that the evidence would be insufficient to establish its participation in these national and regional cartels. It claims that the evidence concerning it relies solely on statements from two leniency applicants, which present inconsistencies with each other, and tables provided by these same leniency applicants that do not name it specifically. According to SEAC, there is no evidence to show that these tables were communicated to it, nor that it was aware of them. Furthermore, SEAC argues that the GIE ThermoPrédalle and the Qualiprédal group have a lawful purpose and that nothing indicates that it participated in anticompetitive discussions within them.</w:t>
      </w:r>
    </w:p>
    <w:p>
      <w:r>
        <w:t>374. European case law recalls, regarding leniency statements, that "the concept of corroboration means that one piece of evidence can be strengthened by another piece. However, there is no rule in the legal order of the Union preventing the corroborating piece of evidence from being of the same nature as the corroborated piece, namely that a statement made in the context of a leniency application corroborates another."539</w:t>
      </w:r>
    </w:p>
    <w:p>
      <w:r>
        <w:t>375. In this case, SEAC's participation in several cartel meetings is evidenced by the handwritten notebook of the commercial director for Ile-de-France of KP1 (see paragraphs 92 and following above) and the statements of a former employee of Rector in the context of the criminal investigation.540 The two leniency applicants also indicated that SEAC participated in the cartel led at the national level between 2008 and 2018, first in the context of ad hoc meetings, then on the sidelines of the GIE ThermoPrédalle meetings. The two leniency applicants also stated that SEAC participated in the implementation of this national cartel in the context of Qualiprédal meetings in most regions of France (Midi-Pyrénées, Languedoc-Roussillon, Aquitaine, Brittany, Pays de la Loire, Centre-Val de Loire, Provence-Alpes-Côte d’Azur, Auvergne-Rhône-Alpes). They also identified the individuals involved in the implementation of these cartels, both at the national and regional levels. The statements of KP1 and Rector do not appear inconsistent with each other as SEAC vainly claims. They instead overlap on numerous points, such that one corroborates the other.</w:t>
      </w:r>
    </w:p>
    <w:p>
      <w:r>
        <w:t>376. The consistent statements of KP1 and Rector are also supported by numerous documentary elements contemporaneous with the disputed facts. In this regard, the Authority observes that the market share quotas allocated to SEAC under the cartel appear identically in the tables provided by Rector (see paragraphs 48 to 50 above). These documents, coming from two distinct companies, perfectly overlap and allow for the establishment of SEAC's participation in the steering of the cartel at the national level.</w:t>
      </w:r>
    </w:p>
    <w:p>
      <w:r>
        <w:t>377. The fact that SEAC is not named specifically in these tables is explained by the parties' desire to conceal their practices, as both leniency applicants stated that they used code names in these documents to designate the parties. However, the two leniency applicants provided the keys to reading that clearly identify SEAC in these tables, making it futile for SEAC to contest its participation in the alleged practices.</w:t>
      </w:r>
    </w:p>
    <w:p>
      <w:r>
        <w:t>378. Furthermore, in addition to the tables used at the national management levels of KP1 and Rector to steer the cartel, the two leniency applicants provided numerous documentary elements, detailed in paragraphs 94, 134, 136 to 141, and 143 above, establishing SEAC's participation in the implementation of the cartel in several French regions.</w:t>
      </w:r>
    </w:p>
    <w:p>
      <w:r>
        <w:t>379. SEAC contests the credibility of these pieces of evidence, arguing that they relate to the Qualiprédal group, which has a lawful purpose. It argues that the documents provided by the two leniency applicants do not name it specifically and are not conclusive in establishing its participation in the practices in the regions of Aquitaine, Brittany, Pays de la Loire, Centre-Val de Loire, Auvergne-Rhône-Alpes, and Provence-Alpes-Côte d’Azur.</w:t>
      </w:r>
    </w:p>
    <w:p>
      <w:r>
        <w:t>380. In this regard, it should be recalled that the documents contested by SEAC should not be assessed in isolation, but in light of the consistent statements of the two leniency applicants, who indicated that the members of the cartel used the term "Qualiprédal" to refer to cartel meetings and code names to identify the companies participating in them. In this regard, it is irrelevant that the "Qualiprédal" group has a lawful purpose, as it has been diverted from its legal objective to give rise to collusive practices among the members of the cartel with a view to allocating contracts, as evidenced by the numerous documentary proofs in the file (see paragraph 57 above).</w:t>
      </w:r>
    </w:p>
    <w:p>
      <w:r>
        <w:t>381. Furthermore, the tables provided by the two leniency applicants show that the code names used by KP1 and Rector were similar to those used by these two companies for the national steering of the cartel, which attests to SEAC's participation in the regional practices. Moreover, contrary to what SEAC claims, some documents name it specifically or in the form of initials, which allows for the certain corroboration of its participation in the practices.</w:t>
      </w:r>
    </w:p>
    <w:p>
      <w:r>
        <w:t>382. In light of the above, it is established that KP1, Rector, and SEAC participated in a cartel on precast slabs led at the national level, which was implemented in the regions of Midi-Pyrénées, Languedoc-Roussillon, Aquitaine, Brittany, Pays de la Loire, Centre-Val de Loire, Auvergne-Rhône-Alpes, and Provence-Alpes-Côte d’Azur between May 15, 2008, and October 25, 2018.</w:t>
      </w:r>
    </w:p>
    <w:p>
      <w:r>
        <w:t>383. The issue of the evidence of the cartel in Ile-de-France and in the North/Normandy area is detailed below.</w:t>
      </w:r>
    </w:p>
    <w:p>
      <w:r>
        <w:t>On the evidence of the cartels in the Ile-de-France region and its bordering regions</w:t>
      </w:r>
    </w:p>
    <w:p>
      <w:r>
        <w:t>On the evidence of the cartel on precast slabs</w:t>
      </w:r>
    </w:p>
    <w:p>
      <w:r>
        <w:t>384. The elements of the file attest to the existence of a cartel on prices and market allocations of precast slabs between A2C, KP1, Rector, SEAC, SLM, and Soprel, at least between May 15, 2008, and October 25, 2018.</w:t>
      </w:r>
    </w:p>
    <w:p>
      <w:r>
        <w:t>385. The evidence of this cartel relies on the consistent statements of two former employees of Rector, who revealed its existence, and those of the two leniency applicants, who described its operational modalities. These statements are corroborated by numerous documentary elements, as well as recordings of telephone exchanges made in the context of a criminal investigation. This investigation led to the flagrant arrest of seven individuals participating in a cartel meeting on October 25, 2018.</w:t>
      </w:r>
    </w:p>
    <w:p>
      <w:r>
        <w:t>♦ Regarding the meetings mentioned in the notebook of the commercial director of Ile-de-France of KP1 (period from May 15, 2008, to December 14, 2009)</w:t>
      </w:r>
    </w:p>
    <w:p>
      <w:r>
        <w:t>386. Several parties contest the probative value of the handwritten notes in the notebook of the commercial director for Ile-de-France of KP1, on the grounds that their content would be ambiguous and would not allow for the identification of the participants in the meetings that took place between 2003 and 2005.</w:t>
      </w:r>
    </w:p>
    <w:p>
      <w:r>
        <w:t>387. When questioned about this notebook, the commercial director for Ile-de-France of KP1 confirmed that he used this notebook to allocate markets with his competitors: "[t]hese are...</w:t>
      </w:r>
    </w:p>
    <w:p>
      <w:r>
        <w:rPr>
          <w:b/>
        </w:rPr>
        <w:t>[Pages 115–117]</w:t>
      </w:r>
    </w:p>
    <w:p>
      <w:r>
        <w:t>attributions of business on ongoing matters. As an employee of KP1, when I request that the matter be marked K for example, during the meeting, I express my wish to take on a matter. At this kind of meeting, we do a roundtable where we put forward what we want in relation to our preferences."541</w:t>
      </w:r>
    </w:p>
    <w:p>
      <w:r>
        <w:t>388. According to these statements, it appears that the content of the notebook, which was seized unexpectedly on October 25, 2018, is indeed related to anticompetitive practices, that it is contemporary to them, and that it was written by one of the participants in the agreement, all of which satisfy the criteria set by the aforementioned case law in paragraph 334 and confer a high evidentiary status to this document.</w:t>
      </w:r>
    </w:p>
    <w:p>
      <w:r>
        <w:t>389. The statements of the commercial director for Ile-de-France of KP1 are further corroborated by those of two former employees of Rector and the second applicant for leniency, who denounced the existence of anticompetitive meetings between A2C, KP1, Rector, SLM, and Soprel between May 15, 2008, and October 25, 2018, concerning roundtable discussions aimed at dividing up the markets. Furthermore, SLM acknowledged the anticompetitive nature of the meetings mentioned in the notebook of the commercial director of KP1 in the context of its observations in response to the notification of grievances.</w:t>
      </w:r>
    </w:p>
    <w:p>
      <w:r>
        <w:t>390. The notes from this notebook report multilateral meetings before May 15, 2008. However, KP1 was unable to definitively identify the participants in these meetings, who were designated at the time using coded references. Under these conditions, the Authority considers that this notebook does not allow for proving the participation of the accused in the practices before May 15, 2008.</w:t>
      </w:r>
    </w:p>
    <w:p>
      <w:r>
        <w:t>391. On the other hand, this notebook is fully enforceable against the parties from May 15, 2008, the date on which the commercial director for Ile-de-France of KP1 designated the companies participating in the anticompetitive meetings by their names or initials, and was able to identify them with certainty.</w:t>
      </w:r>
    </w:p>
    <w:p>
      <w:r>
        <w:t>392. This notebook attests to the existence of multilateral meetings between A2C, KP1, Rector, SEAC, SLM, and Soprel between May 15, 2008, and December 14, 2009.</w:t>
      </w:r>
    </w:p>
    <w:p>
      <w:r>
        <w:t>393. Regarding the notes related to the meeting of May 15, 2008, Soprel and SEAC argue that they relate to discussions of the Qualiprédal group which pursued legitimate objectives for promoting the precast slab sector at the national level. However, these notes also contain a table with a price grid preceded by the mention "mini treaty." This table attests to the existence of an agreement on a price grid among the participants in this meeting, who are specifically identified (A2C, KP1, Rector, SEAC, SLM, and Soprel).</w:t>
      </w:r>
    </w:p>
    <w:p>
      <w:r>
        <w:t>394. The anticompetitive purpose of this meeting, as well as the presence of A2C, KP1, Rector, SEAC, SLM, and Soprel, are therefore established.</w:t>
      </w:r>
    </w:p>
    <w:p>
      <w:r>
        <w:t>395. The notes related to the meeting of May 27, 2008, concern discussions between KP1 (designated by the letter "K"), Rector (designated by the letter "R"), and A2C (designated by the letter "C") regarding the allocation of 28 contracts. It emerges from these notes that one of the contracts awarded to A2C was lost to SEAC. The latter argues that the mere mention of its name next to this contract does not establish its participation in this meeting.</w:t>
      </w:r>
    </w:p>
    <w:p>
      <w:r>
        <w:t>396. The anticompetitive purpose of this meeting, which is evident from both the content of the notes in the notebook and the statements of its author, as well as the presence of Rector, A2C, and KP1, are therefore established.</w:t>
      </w:r>
    </w:p>
    <w:p>
      <w:r>
        <w:t>397. The presence of SEAC, however, is not demonstrated.</w:t>
      </w:r>
    </w:p>
    <w:p>
      <w:r>
        <w:t>398. The notes related to the meeting of September 15, 2008, concern discussions between KP1 (designated by the letter "K"), Rector (designated by the letter "R"), and A2C (designated by A2C or the letter "C") regarding the allocation of 42 contracts. A2C contests its participation in this meeting, arguing that these notes do not allow for its identification. This allegation is manifestly erroneous, as the letter "C" appears before 5 construction sites.542 SEAC argues that its participation in this meeting was mistakenly attributed to it, as its name does not appear on the reference relating to this meeting.</w:t>
      </w:r>
    </w:p>
    <w:p>
      <w:r>
        <w:t>399. The anticompetitive purpose of this meeting, as well as the presence of KP1, Rector, and A2C, are therefore established. The presence of SEAC, however, is not demonstrated.</w:t>
      </w:r>
    </w:p>
    <w:p>
      <w:r>
        <w:t>400. The notes related to the meeting of November 26, 2008, concern discussions between KP1 (designated by the letter "K"), Rector (designated by the letter "R"), A2C (designated by the letter "C"), and SLM (designated by the initials of its representative) regarding the allocation of 36 contracts. A2C contests its participation in this meeting, arguing that these notes do not allow for its identification. This allegation is manifestly erroneous, as the letter "C" appears before 6 construction sites.</w:t>
      </w:r>
    </w:p>
    <w:p>
      <w:r>
        <w:t>401. The anticompetitive purpose of this meeting, as well as the presence of KP1, Rector, A2C, and SLM, are therefore established.</w:t>
      </w:r>
    </w:p>
    <w:p>
      <w:r>
        <w:t>402. The notes related to the meeting, which took place between November 26, 2008, and February 18, 2009, concern discussions between KP1 (designated by the letter "K"), Rector (designated by the letter "R"), A2C (designated by the letter "C" or "A2C"), Soprel (designated by the name Soprelem), and SLM (designated by the initials of its representative) regarding the allocation of 59 contracts. A2C and Soprel contest their participation in this meeting, arguing that these notes do not allow for their identification. This allegation is manifestly erroneous, as the letter "C" corresponding to A2C appears before 8 construction sites,543 while the name Soprelem appears before 6 construction sites.</w:t>
      </w:r>
    </w:p>
    <w:p>
      <w:r>
        <w:t>403. The anticompetitive purpose of this meeting, as well as the presence of KP1, Rector, A2C, Soprel, and SLM, are therefore established.</w:t>
      </w:r>
    </w:p>
    <w:p>
      <w:r>
        <w:t>404. The notes related to the meeting that took place between February 18, 2009, and April 7, 2009, concern discussions between KP1 (designated by the letter "K"), Rector (designated by the letter "R"), A2C (designated by the letter "C"), Soprel (designated by the letter "S"), and SLM (designated by the initials of its representative) regarding the allocation of 36 contracts. A2C and Soprel contest their participation in this meeting, arguing that these notes do not allow for their identification. These allegations are manifestly erroneous, as the letter "C" appears before 6 construction sites.544 As for Soprel, which contests its presence at this meeting, given that the initial "S" could correspond to several other parties to the agreement (SEAC, Strudal), KP1 clarified that the letter "S" corresponded to the company Soprel, which allows for the certain identification of this entity as one of the participants in this meeting. The anticompetitive purpose of this meeting, as well as the presence of KP1, Rector, A2C, SLM, and Soprel, are therefore established.</w:t>
      </w:r>
    </w:p>
    <w:p>
      <w:r>
        <w:t>405. The notes related to the meeting that took place between April 22, 2009, and June 17, 2009, concern discussions between KP1 (designated by the letter "K"), Rector (designated by the letter "R"), A2C (designated by the letter "C"), Soprel (designated by the name Soprelem), and SLM (designated by the initials of its representative) regarding the allocation of 37 contracts. Soprel contests its participation in this meeting, arguing that these notes do not allow for its identification. This allegation is manifestly erroneous, as the name Soprelem appears before one construction site. A2C contests its participation in this meeting, on the grounds that it is not precisely dated. However, this circumstance has no bearing on the existence of this meeting and the participation of the companies mentioned in the notes relating to it, as it is possible to precisely identify the time frame in which this meeting took place545. The anticompetitive purpose of this meeting, as well as the presence of KP1, Rector, A2C, SLM, and Soprel, are therefore established.</w:t>
      </w:r>
    </w:p>
    <w:p>
      <w:r>
        <w:t>406. The notes related to the meeting of June 25, 2009, concern discussions between KP1 (designated by the letter "K"), Rector (designated by the letter "R"), A2C (designated by the letter "C"), and a company designated by the letter "S" regarding the allocation of 37 contracts. Soprel contests its presence at this meeting, as the initial "S" could correspond to several other parties to the agreement (SEAC, Strudal, SLM). However, when questioned by the investigative services, KP1 clarified that the letter "S" corresponded to the company Soprel, which allows for the certain identification of this entity as one of the participants in this meeting. The anticompetitive purpose of this meeting, as well as the presence of KP1, Rector, and A2C, Soprel, are therefore established.</w:t>
      </w:r>
    </w:p>
    <w:p>
      <w:r>
        <w:t>407. The notes related to the meeting that took place between June 25, 2009, and November 9, 2009, concern discussions relating to the production capacities of KP1, A2C, Rector, SLM, and Soprel, as well as the allocation of construction sites among the various companies.</w:t>
      </w:r>
    </w:p>
    <w:p>
      <w:r>
        <w:t>408. Soprel contests its participation in this meeting by pointing out inconsistencies regarding the information on its market shares. However, Soprel provides no evidence to suggest that this information is erroneous. Moreover, according to established case law, the fact that some participants in the agreement tend to deceive other participants by providing false information does not change the very existence of a collusive meeting, nor the liability of the companies participating in it546.</w:t>
      </w:r>
    </w:p>
    <w:p>
      <w:r>
        <w:t>409. A2C also contests its participation in this meeting, arguing that it is not precisely dated. However, this circumstance has no bearing on the existence of this meeting, as it is possible to precisely identify the time period during which it could have taken place as well as the companies that participated in it547.</w:t>
      </w:r>
    </w:p>
    <w:p>
      <w:r>
        <w:t>410. The anticompetitive purpose of this meeting, as well as the presence of KP1, Rector, A2C, SLM, and Soprel, are therefore established.</w:t>
      </w:r>
    </w:p>
    <w:p>
      <w:r>
        <w:t>411. The notes related to the meeting that took place between December 14, 2009, and February 3, 2010, concern discussions between KP1, A2C, Rector, SLM, Soprel, and SEAC regarding prices, the allocation of 89 contracts, as well as a review of business volumes.</w:t>
      </w:r>
    </w:p>
    <w:p>
      <w:r>
        <w:t>412. A2C contests its participation in this meeting, arguing that it is not precisely dated. However, this circumstance has no bearing on the existence of this meeting, as it is possible to identify precisely the time frame in which this meeting took place.</w:t>
      </w:r>
    </w:p>
    <w:p>
      <w:r>
        <w:rPr>
          <w:b/>
        </w:rPr>
        <w:t>[Pages 118–120]</w:t>
      </w:r>
    </w:p>
    <w:p>
      <w:r>
        <w:t>008, Knauf Gips KG/Commission, aff. T-52/03, point 201.</w:t>
      </w:r>
    </w:p>
    <w:p>
      <w:r>
        <w:t>547 The notebook of the commercial director for Ile-de-France of KP1 contains notes that are not dated. However, they are preceded and followed by notes that are dated and which allow for the temporal placement of the undated notes.</w:t>
      </w:r>
    </w:p>
    <w:p>
      <w:r>
        <w:t>the extent to which it is possible to precisely identify the time frame in which it took place and the companies that participated.</w:t>
      </w:r>
    </w:p>
    <w:p>
      <w:r>
        <w:t>413. SEAC and Soprel also contest their participation in this meeting by arguing that they would be mentioned by name, while the other participants would be designated by code names. Aside from its ineffectiveness, this assertion is manifestly incorrect, as the document specifically names the companies SLM and A2C. While SEAC notes that its name only appears in front of 4 sites (and not 14 as indicated in the statement of objections), this material error does not, however, call into question its participation in this meeting.</w:t>
      </w:r>
    </w:p>
    <w:p>
      <w:r>
        <w:t>414. The anticompetitive nature of this meeting, as well as the presence of KP1, Rector, SEAC, A2C, SLM, and Soprel, are therefore established.</w:t>
      </w:r>
    </w:p>
    <w:p>
      <w:r>
        <w:t>♦ Regarding the multilateral meetings mentioned in the tables titled "tab affaires" (period from February 8, 2011, to November 6, 2014)</w:t>
      </w:r>
    </w:p>
    <w:p>
      <w:r>
        <w:t>415. Tables summarizing the distribution of sites and volumes discussed between KP1, Rector, A2C, SLM, and Soprel were seized from the premises of A2C and the files of the operational director of Soprel, who was present at the meeting held at the Mercure hotel on October 25, 2018. Similar tables were provided by KP1 as part of its leniency application.</w:t>
      </w:r>
    </w:p>
    <w:p>
      <w:r>
        <w:t>416. These tables were prepared and distributed by one of the members of the cartel, namely A2C, during anticompetitive meetings regarding the market allocations of precast slabs. The content of the information recorded in these tables, some of which directly refer to the agreed market share quotas under the term "kota," leaves no doubt about the anticompetitive nature of the meetings that led to their preparation.</w:t>
      </w:r>
    </w:p>
    <w:p>
      <w:r>
        <w:t>417. These tables, which come from different sources and overlap with each other, attest to the existence of 26 multilateral meetings between KP1, Rector, A2C, SLM, and Soprel (starting from June 11, 2013) during the period from February 8, 2011, to November 6, 2014, aimed notably at distributing precast slab sites.</w:t>
      </w:r>
    </w:p>
    <w:p>
      <w:r>
        <w:t>418. The anticompetitive nature of these meetings, as well as the presence of KP1, Rector, A2C, SLM, and Soprel (from June 2013), are therefore established.</w:t>
      </w:r>
    </w:p>
    <w:p>
      <w:r>
        <w:t>♦ Regarding the elements establishing a continuation of the cartel in 2015</w:t>
      </w:r>
    </w:p>
    <w:p>
      <w:r>
        <w:t>419. The file titled "Gestion des offres 2018 10 24" seized from the files of the operational director of Soprel contains a list of sites allocated during the period from 2006 to 2018. This file includes a column "O" titled "affec pred" which notably contains numbers 2, 4, and 6 out of 41 sites allocated between January 12, 2015, and June 26, 2015.</w:t>
      </w:r>
    </w:p>
    <w:p>
      <w:r>
        <w:t>420. Several parties argue that this table is a purely internal tool for tracking already allocated markets within Soprel and does not establish their participation in practices of allocating future markets.</w:t>
      </w:r>
    </w:p>
    <w:p>
      <w:r>
        <w:t>421. However, it should be recalled that this file was open on the computer of the operational director of Soprel at the time of the search on October 25, 2018, and he acknowledged during his hearing that he was updating it based on information provided by his competitors. It is established that the subject of the meeting on October 25, 2018, concerned future market allocations. The recordings of telephone exchanges between representatives of A2C and Soprel explicitly show that Soprel wanted to obtain sites during this meeting. The analysis of the file "Gestion des offres 2018 10 24" further shows that the response date for one of the sites listed in this file was after the meeting on October 25, 2018, confirming that this file was used by the operational director of Soprel for future market allocations.</w:t>
      </w:r>
    </w:p>
    <w:p>
      <w:r>
        <w:t>422. This file therefore establishes a continuity of cartel practices during the year 2015.</w:t>
      </w:r>
    </w:p>
    <w:p>
      <w:r>
        <w:t>♦ Regarding the elements establishing a continuation of the cartel during the period 2016 to 2018</w:t>
      </w:r>
    </w:p>
    <w:p>
      <w:r>
        <w:t>On the multilateral meetings of 2016 and 2018</w:t>
      </w:r>
    </w:p>
    <w:p>
      <w:r>
        <w:t>423. The documents seized at Soprel attest to the existence of an anticompetitive meeting on February 11, 2016, between KP1, Rector, A2C, SLM, and Soprel (see paragraph 100 above), the anticompetitive nature of which is not contested by any of the participants. The anticompetitive nature of this meeting, as well as the presence of KP1, Rector, A2C, SLM, and Soprel, are therefore established.</w:t>
      </w:r>
    </w:p>
    <w:p>
      <w:r>
        <w:t>424. The elements of the file also allow for the establishment of the existence of four additional anticompetitive meetings in 2018, the first between KP1, Rector, and A2C on June 19, 2018, and the last three on June 21, July 17, and October 25, 2018, between KP1, Rector, A2C, and Soprel. The anticompetitive nature of these meetings, which is not contested by any of the companies that participated, is established by documentary evidence and recordings of telephone exchanges.</w:t>
      </w:r>
    </w:p>
    <w:p>
      <w:r>
        <w:t>On the bilateral exchanges from 2016 to 2018</w:t>
      </w:r>
    </w:p>
    <w:p>
      <w:r>
        <w:t>425. The elements of the file attest to the existence of frequent bilateral telephone exchanges concerning sensitive information exchanges between representatives of the companies Soprel, Rector, KP1, A2C, and SLM between 2016 and 2018. These exchanges, which are summarized in the table below, establish a continuity of practices between January 8, 2016, and October 25, 2018.</w:t>
      </w:r>
    </w:p>
    <w:p>
      <w:r>
        <w:t>Date of Number Number Number Date of</w:t>
        <w:br/>
        <w:t>the first of exchanges of exchanges of exchanges last</w:t>
        <w:br/>
        <w:t>bilateral exchanges in 2016 in 2017 in 2018 exchange</w:t>
        <w:br/>
        <w:t>Soprel / KP1 08/07/2016 9 48 50 25/10/2018</w:t>
        <w:br/>
        <w:t>Soprel /</w:t>
        <w:br/>
        <w:t>08/01/2016 1 2 4 25/10/2018</w:t>
        <w:br/>
        <w:t>Rector</w:t>
        <w:br/>
        <w:t>Soprel / A2C 13/11/2017 0 1 6 24/10/2018</w:t>
        <w:br/>
        <w:t>KP1 / A2C 26/10/2016 1 0 8 25/10/2018</w:t>
        <w:br/>
        <w:t>A2C / SLM 26/02/2018 0 0 2 21/06/2018</w:t>
      </w:r>
    </w:p>
    <w:p>
      <w:r>
        <w:t>On the evidence of the cartel on hollow-core slabs</w:t>
      </w:r>
    </w:p>
    <w:p>
      <w:r>
        <w:t>426. The elements from the criminal investigation, as well as those provided by the leniency applicant, attest to the existence of this cartel.</w:t>
      </w:r>
    </w:p>
    <w:p>
      <w:r>
        <w:t>♦ On the statements of KP1</w:t>
      </w:r>
    </w:p>
    <w:p>
      <w:r>
        <w:t>427. IB contests the credibility of KP1's statements, arguing that they are contradictory with the conclusions of the criminal investigation and the statements of Rector, who did not identify it as one of the members of the cartel in its leniency application. IB reproaches the investigative services for not taking into account the specific limitations of KP1's situation, which would have an interest in denouncing it to obtain the highest possible fine reduction rate.</w:t>
      </w:r>
    </w:p>
    <w:p>
      <w:r>
        <w:t>428. As a preliminary point, it should be recalled that KP1 denounced a cartel on hollow-core slabs in which A2C, FB, IB, KP1, Soprel, and Strudal participated in Ile-de-France. KP1 did not name Rector as one of the participants in this cartel.</w:t>
      </w:r>
    </w:p>
    <w:p>
      <w:r>
        <w:t>429. The fact that Rector did not incriminate IB in its leniency application can therefore be explained by the fact that Rector did not participate in the cartel on hollow-core slabs in Ile-de-France, which is consistent with the statements of the first leniency applicant.</w:t>
      </w:r>
    </w:p>
    <w:p>
      <w:r>
        <w:t>430. Furthermore, the representative of Strudal confirmed the existence of meetings between IB, KP1, Soprel, and Strudal during which discussions would have focused on the allocation of sites concerning hollow-core slabs (see paragraph 125 above). These statements, which were collected during a criminal investigation, benefit from a high degree of evidential weight, in accordance with the aforementioned case law (see paragraph 339 above). They corroborate KP1's statements regarding IB's participation in the cartel on hollow-core slabs.</w:t>
      </w:r>
    </w:p>
    <w:p>
      <w:r>
        <w:t>♦ Regarding the documentary evidence establishing the existence of collusion</w:t>
      </w:r>
    </w:p>
    <w:p>
      <w:r>
        <w:t>431. FB, IB, and Strudal argue that the handwritten notes dated February 12 and 25, 2014, seized from the files of the operational director of Soprel do not establish their participation in market allocation practices. They argue that these are unilateral documents, the content of which is ambiguous and which concern already allocated markets.</w:t>
      </w:r>
    </w:p>
    <w:p>
      <w:r>
        <w:rPr>
          <w:b/>
        </w:rPr>
        <w:t>[Pages 121–123]</w:t>
      </w:r>
    </w:p>
    <w:p>
      <w:r>
        <w:t>432. A2C, FB IB, and Strudal also contest the evidential value of the "allocations" tables seized at Soprel, arguing that these tables are undated and do not establish the source of the information recorded therein. They assert that these are summary tables for monitoring contracts that reflect contracts already awarded, and that they do not demonstrate the existence of collusion between the companies involved regarding market allocations.</w:t>
      </w:r>
    </w:p>
    <w:p>
      <w:r>
        <w:t>433. IB and Strudal further argue that the table titled "CAPA DAP" is undated and that its content does not establish their participation in market allocation practices.</w:t>
      </w:r>
    </w:p>
    <w:p>
      <w:r>
        <w:t>434. Strudal contests having participated in anticompetitive meetings on November 15, 2016, and January 25, 2017, arguing that the mere mention of "AB" and "V..." in the SMS exchanges relating to these meetings does not establish the presence of its representative, nor the anticompetitive nature of said meetings.</w:t>
      </w:r>
    </w:p>
    <w:p>
      <w:r>
        <w:t>435. IB, Soprel, and Strudal also argue that the meetings on April 25 and May 30, 2018, which are referenced in the notification of grievances to support grievances 1 and 3, concern only the first grievance. Strudal contends that the meeting on April 25, 2018, did not take place and that there is no evidence to show that the meeting on May 30, 2018, dealt with market allocations.</w:t>
      </w:r>
    </w:p>
    <w:p>
      <w:r>
        <w:t>436. In accordance with the principles outlined above, the proof of an anticompetitive agreement can result from a set of indicators constituted by the correlation of one or more documents or statements, which should not be assessed in isolation, but as a whole.551</w:t>
      </w:r>
    </w:p>
    <w:p>
      <w:r>
        <w:t>437. In this regard, it should be noted that the first leniency applicant reported anticompetitive meetings between A2C, FB, IB, Soprel, and Strudal aimed at allocating markets. Several documentary elements support this statement.</w:t>
      </w:r>
    </w:p>
    <w:p>
      <w:r>
        <w:t>438. First, KP1 provided tables titled "allocations," one of which is dated February 2014. At the bottom of these tables is a summary of the market shares "REAL" and "QUOTA" for each company, as well as the mention "REAL DIFFERENTIAL / QUOTA," which corresponds to the differential between the market shares actually achieved and the market share quotas agreed upon by the members of the agreement.552 The fact that similar tables were seized at Soprel's premises corroborates the leniency applicant's statements regarding the existence of market allocation practices among the companies mentioned therein.</w:t>
      </w:r>
    </w:p>
    <w:p>
      <w:r>
        <w:t>439. As indicated above, the tables provided by the leniency applicant, as well as those seized in the cases of Soprel's operational director, concern contracts awarded between February 27, 2012, and February 4, 2015.</w:t>
      </w:r>
    </w:p>
    <w:p>
      <w:r>
        <w:t>440. The handwritten documents dated February 12 and 25, 2014, seized at Soprel's premises, which refer to the existence of "tables" in 2013, attest that market allocation practices occurred before the year 2014. The "offer management" tables seized in the cases of Soprel's operational director, which contain a column "affec dap" (for "allocation hollow slab") with the numbers 2, 3, and 6, and cover the period from July 22, 2011, to October 8, 2014, also corroborate the existence of market allocation practices prior to the year 2014.</w:t>
      </w:r>
    </w:p>
    <w:p>
      <w:r>
        <w:t>441. The Authority notes, however, that the first meeting relating to market allocation practices concerning hollow-core slabs that can be dated with certainty corresponds to handwritten notes from February 12, 2014. This date will therefore be retained as the starting point of this agreement.</w:t>
      </w:r>
    </w:p>
    <w:p>
      <w:r>
        <w:t>442. Secondly, the leniency applicant reported more sporadic meetings after June 2015, aimed at reviving the operation of the agreement on hollow-core slabs. These statements are corroborated by SMS exchanges that refer to two multilateral meetings on November 15, 2016, and January 25, 2017, between IB, KP1, Soprel, and Strudal. Contrary to what Strudal argues in its writings, the mention of the initials "AB" and "V..." in the SMS exchanges relating to these two meetings leaves no doubt about the participation of its representative (V...) in these meetings. In addition to Strudal's representative, the SMS exchange between KP1 and Soprel regarding the meeting on November 15, 2016, mentions the presence of a fourth participant, which corroborates KP1's statement regarding IB's presence at these meetings.</w:t>
      </w:r>
    </w:p>
    <w:p>
      <w:r>
        <w:t>443. The table contested by IB and Strudal ("Capa DAP.xlsx"), seized in the cases of Soprel's operational director, contains information regarding IB, KP1, Soprel, and Strudal, concerning their sales volumes of hollow-core slabs achieved in 2016, the market share retained for these four companies in 2017, and sets objectives in terms of market shares for 2018. The content of this table, which includes projections on market share quotas for 2018, directly relates to the practices denounced by KP1. Furthermore, the anticompetitive nature of this table has not been contested by Soprel, which is its author. This table can therefore be validly retained to establish a continuity of practices for the four companies mentioned therein over the period from 2016 to 2018.</w:t>
      </w:r>
    </w:p>
    <w:p>
      <w:r>
        <w:t>444. Thirdly, the elements of the file allow for the establishment of the existence of two meetings on April 25 and May 30, 2018, concerning practices of allocating construction sites related to hollow-core slabs.</w:t>
      </w:r>
    </w:p>
    <w:p>
      <w:r>
        <w:t>445. Strudal is particularly ill-founded in contesting the existence of these two meetings and their anticompetitive nature, as its representative acknowledged having organized them and having discussed the allocation of a construction site named "Archipel" in the presence of KP1, IB, and Soprel (see paragraph 125). The recordings of telephone exchanges that occurred after these two meetings attest to the anticompetitive nature of these two meetings (see paragraphs 126 and 128 above).</w:t>
      </w:r>
    </w:p>
    <w:p>
      <w:r>
        <w:t>446. Fourthly, the elements of the file attest to the existence of practices concerning the establishment of minimum price grids for hollow-core slabs. The elements of the file show that a price grid established by Soprel was the subject of exchanges within KP1 in March 2017.</w:t>
      </w:r>
    </w:p>
    <w:p>
      <w:r>
        <w:t>447. The elements of the file attest to the existence of exchanges regarding a price grid for hollow-core slabs before April 5, 2018, between A2C, IB, KP1, Soprel, and Strudal (see paragraphs 79 and 80 above).</w:t>
      </w:r>
    </w:p>
    <w:p>
      <w:r>
        <w:t>448. An email dated April 5, 2018, sent by KP1 to A2C containing a price grid for hollow-core slabs established by Soprel attests to the existence of collusion between these two companies. A second email dated April 6, 2018, sent by the commercial director of KP1 to several regional directors, contains this same price grid with a geographical map of France, on which several departments are colored orange. A similar map on which the same departments were outlined with the mention "sector of the table" was also seized at Soprel's premises, which confirms Soprel's participation in a consultation on the definition of a price grid for hollow-core slabs.</w:t>
      </w:r>
    </w:p>
    <w:p>
      <w:r>
        <w:t>449. Furthermore, several recordings of telephone exchanges establish that Strudal, IB, and FB were aware of this price grid and their participation in the practices:</w:t>
        <w:br/>
        <w:t>− recording of a telephone exchange on July 26, 2018, between Strudal and Soprel:</w:t>
        <w:br/>
        <w:t>Strudal: "Listen carefully, I have an offer from I.B. too, uh he is below the grid."</w:t>
        <w:br/>
        <w:t>Response from Soprel: "More than below the grid, I've caught him three times at 3-4 euros below the grid."</w:t>
        <w:br/>
        <w:t>Return from Strudal: "Exactly, well I have an offer, when I'm at, for example, I don't know, at 49, at 49 or even 50, he is at 44, eh!"</w:t>
        <w:br/>
        <w:t>Further in the discussion, Soprel: "No, no, but it's always that. You remember also the last time, he said, he doesn't have the right grid, do you remember?"553</w:t>
        <w:br/>
        <w:t>− recording of a telephone exchange between KP1 and Soprel on September 13, 2018: "He [IB] tells me that in hollow-core, he will respond to the grid plus transport."554</w:t>
        <w:br/>
        <w:t>− recording of a telephone exchange between Soprel and FB on September 14, 2018: "After all the multiple and varied movements at Strudal, we have more or less all agreed again for (...) without talking about business allocation (...) today we have returned to the starting grid. So we recalculate (...) we put back on offer the grid that had been set at the time."555</w:t>
      </w:r>
    </w:p>
    <w:p>
      <w:r>
        <w:t>b) On the legal qualification of the practices</w:t>
      </w:r>
    </w:p>
    <w:p>
      <w:r>
        <w:t>On the anticompetitive object of the practices</w:t>
      </w:r>
    </w:p>
    <w:p>
      <w:r>
        <w:t>450. The practices observed consisted of setting minimum price grids and exchanging information on prices and defining a common strategy for market allocation among the members of the agreement within the framework of the calls for tenders launched by construction companies, based on predefined annual market share objectives.</w:t>
      </w:r>
    </w:p>
    <w:p>
      <w:r>
        <w:t>451. These practices aimed, on the one hand, to designate in advance the companies that would win the calls for tenders and, on the other hand, to define the minimum price level to be proposed to clients, which led to reducing the inherent uncertainty of any tendering process, in order to improve the position of manufacturers of precast concrete products vis-à-vis construction companies. The companies involved in these practices thus adopted, in the market for the manufacture of precast concrete elements, and more particularly concerning precast slabs and hollow-core slabs, a mode of organization substituting collusion for the free play of competition, based on the autonomy of operators and the uncertainty regarding the positions of their competitors.</w:t>
      </w:r>
    </w:p>
    <w:p>
      <w:r>
        <w:rPr>
          <w:b/>
        </w:rPr>
        <w:t>[Pages 124–126]</w:t>
      </w:r>
    </w:p>
    <w:p>
      <w:r>
        <w:t>452. This anticompetitive mode of operation, deeply rooted in the sector, has been confirmed by the participants in the practices, who explain that they have "lost sight" of the illegal nature of their actions556, with the leaders of KP1 being unable to precisely determine the beginning of the practices, which they believe could date back to the 1980s557.</w:t>
      </w:r>
    </w:p>
    <w:p>
      <w:r>
        <w:t>453. Such behavior contravenes the principle of autonomy that companies must demonstrate when competing in a market. Each company must indeed refrain rigorously from participating in direct or indirect contacts with its competitors with a view to exchanging information on commercial policies and, in particular, on the prices they intend to propose in the market, or on the strategies they plan to pursue, especially regarding their clients.</w:t>
      </w:r>
    </w:p>
    <w:p>
      <w:r>
        <w:t>454. It follows that, through their exchanges, A2C, FB, IB, KP1, Rector, SEAC, SLM, Soprel, and Strudal expressed a common intention to behave in a determined manner in the market, by repeatedly participating in meetings and exchanges aimed at developing and implementing a plan for the allocation of volumes and clients and generally agreeing on the minimum price level to be proposed to these clients. Such a practice constitutes an agreement within the meaning of the provisions and principles mentioned above.</w:t>
      </w:r>
    </w:p>
    <w:p>
      <w:r>
        <w:t>455. Furthermore, it follows from both Article 101 TFEU and Article L. 420-1 of the Commercial Code that agreements aimed at directly or indirectly fixing selling prices and allocating markets have, in themselves, a restrictive object of competition.</w:t>
      </w:r>
    </w:p>
    <w:p>
      <w:r>
        <w:t>456. From the above, it follows that, given their nature and purpose, the practices in dispute, which involve a real degree of harm to competition, have the character of an agreement with an anticompetitive object.</w:t>
      </w:r>
    </w:p>
    <w:p>
      <w:r>
        <w:t>457. Several accused parties contest in whole or in part their participation in the practices, relying on certain exchanges concerning them, attesting that they would have practiced prices lower than their competitors and adopted aggressive commercial behaviors in order to obtain certain contracts.</w:t>
      </w:r>
    </w:p>
    <w:p>
      <w:r>
        <w:t>458. However, it suffices, on this point, to recall the case law of the Union according to which neither the non-compliance with the agreement by its participants, nor the fact that some participants tend to use the agreement to their advantage558, call into question the existence of the infringement559.</w:t>
      </w:r>
    </w:p>
    <w:p>
      <w:r>
        <w:t>459. Thus, assuming that the existence of pro-competitive behaviors alleged by the applicants is proven, it would not be of a nature to call into question their participation in anticompetitive exchanges, nor the fact that these exchanges allowed them to adapt their respective strategies to that announced by their competitors and thus distort the free play of competition.</w:t>
      </w:r>
    </w:p>
    <w:p>
      <w:r>
        <w:t>On the existence of a single and continuous infringement</w:t>
      </w:r>
    </w:p>
    <w:p>
      <w:r>
        <w:t>460. The companies A2C, FB, IB, SLM, and Strudal contest having participated in a single and continuous agreement.</w:t>
      </w:r>
    </w:p>
    <w:p>
      <w:r>
        <w:t>461. They argue that the unique nature of the infringement is not demonstrated, as the practices in question do not present an identity of object and subject. They assert that the practices for which they are reproached cover distinct practices concerning different products, namely precast slabs and hollow-core slabs. They add that the practices did not concern the same geographical areas, with the agreement on precast slabs being implemented at a national level, while the agreement on hollow-core slabs was implemented only in Ile-de-France. They also point out that the agreements on precast slabs and hollow-core slabs did not involve the same companies. Furthermore, they argue that they were unaware of the overall plan in which the practices for which they are reproached were embedded, as they did not participate in the national agreement organized alongside the meetings of the GIE ThermoPrédalle. Finally, they contest the continuous nature of the agreement, arguing that there were periods of interruption in their participation in the practices lasting several months or even years.</w:t>
      </w:r>
    </w:p>
    <w:p>
      <w:r>
        <w:t>462. In accordance with the principles set out in paragraphs 363 and 364 above, the fact that certain companies only participated in part of the anticompetitive behaviors constituting a single and continuous infringement can only be taken into account to assess the extent of their individual participation in this infringement. However, it cannot be of a nature to call into question the legal qualification of this infringement. Consequently, the fact that the companies A2C, FB, IB, SLM, Soprel, and Strudal did not participate in the national steering of the agreement or that some of the companies suspended their participation in the agreement for a certain period has no impact on the qualification of the practices in question. Indeed, the existence of an overall plan characterizing the existence of a single infringement must be assessed solely in light of the content of the agreements or practices that make it up and must not be confused with the individual behaviors of the different companies that participated in it.</w:t>
      </w:r>
    </w:p>
    <w:p>
      <w:r>
        <w:t>463. Regarding the unique nature of the infringement, the elements of the file attest to the existence of a nationally coordinated agreement between KP1, Rector, and SEAC concerning prices and market allocations regarding the categories of precast slabs, which also include the ThermoPrédalle technology.</w:t>
      </w:r>
    </w:p>
    <w:p>
      <w:r>
        <w:t>464. In the context of the meetings organized at the national level, KP1, Rector, and SEAC exchanged information regarding the sales volumes achieved with construction companies at the national level and by region, and set the sales quotas to be respected by region.</w:t>
      </w:r>
    </w:p>
    <w:p>
      <w:r>
        <w:t>465. Prior to these national meetings, the commercial departments of KP1 and Rector collected the sales volumes of precast slabs achieved in each of the relevant regions and consolidated them into a summary table. Following the national meetings, the national commercial departments of KP1 and Rector sent the relevant regional sales directors the sales volumes of precast slabs achieved by each competitor, as well as the sales quotas to be respected for all the relevant regions. These tables were used by the regional sales directors during their meetings organized at the regional level to allocate contracts.</w:t>
      </w:r>
    </w:p>
    <w:p>
      <w:r>
        <w:t>466. The modalities for implementing the regional practices therefore directly depended on the decisions made at the national management levels of KP1, Rector, and SEAC. In this regard, the commercial director of Ile-de-France of KP1 stated that the market allocations between companies at the level of his region were made based on "quotas that were defined by the leaders of the companies among themselves"560 within the framework of the GIE ThermoPrédalle, which brought together KP1, Rector, and SEAC. He also specified that the holding of regional meetings was decided by his national management, which instructed him to participate561. An employee of Rector also specified that when the participants at the tables could not agree on a matter, "the subject is escalated to the level of the CEOs and GMs of the concerned companies who intervene to find a solution"562.</w:t>
      </w:r>
    </w:p>
    <w:p>
      <w:r>
        <w:t>467. If the collusive practices observed in Ile-de-France involved other companies than those participating in the national agreement and concerned other products than just precast slabs, which constitute the focal point of the nationally coordinated agreement, it remains that they are directly related to it.</w:t>
      </w:r>
    </w:p>
    <w:p>
      <w:r>
        <w:t>468. The elements of the file show that KP1, Rector, and SEAC (until December 2010) participated in an agreement on precast slabs in Ile-de-France with a view to allocating markets and setting minimum price grids with three other companies (A2C, SLM, and Soprel). The implementation of the agreement on precast slabs in Ile-de-France therefore presents an identity of object and the same core of companies as the nationally coordinated agreement.</w:t>
      </w:r>
    </w:p>
    <w:p>
      <w:r>
        <w:t>469. Members of the national management of KP1 and Rector also directly participated in a meeting regarding the agreement on precast slabs in Ile-de-France on June 19, 2018, attesting to the link between the practices implemented at the national level and those implemented in Ile-de-France. In the same vein, an internal email from KP1 dated November 9, 2013, attests that the commercial director of Ile-de-France received from his national management the estimates of market shares of companies active in Ile-de-France to prepare for the regional Qualiprédal meetings concerning him563.</w:t>
      </w:r>
    </w:p>
    <w:p>
      <w:r>
        <w:t>470. In addition to their participation in the agreement on precast slabs, A2C, KP1, and Soprel also participated in the regional agreement on hollow-core slabs in Ile-de-France. The agreement on hollow-core slabs was organized according to the same modalities as the agreement on precast slabs, with discussions focusing on the development and application of minimum price grids and lists of contracts to be allocated among the members of the agreement. The agreement on hollow-core slabs in Ile-de-France therefore presents an identity of object and the same core of companies as the agreement on precast slabs in this same region.</w:t>
      </w:r>
    </w:p>
    <w:p>
      <w:r>
        <w:t>471. Furthermore, precast slabs and hollow-core slabs have obvious connections. In this regard, the majority of the tables titled "tab affaires"564, used by the participants in the agreement on precast slabs, include a column dedicated to the volumes of hollow-core slabs565, while the "attributions" tables used by the members of the agreement on hollow-core slabs include a column dedicated to the volumes of precast slabs. Additionally, the recordings of telephone exchanges show that the members of the agreement on hollow-core slabs also integrated the volumes of precast slabs into their discussions on the allocation of contracts. Thus, in an exchange on June 13, 2008, relating to the Vinci project, the operational director of Soprel indicated that KP1 would be interested in Strudal's involvement.</w:t>
      </w:r>
    </w:p>
    <w:p>
      <w:r>
        <w:rPr>
          <w:b/>
        </w:rPr>
        <w:t>[Pages 127–129]</w:t>
      </w:r>
    </w:p>
    <w:p>
      <w:r>
        <w:t>take the volumes of hollow-core slabs, in order to recover the volumes of precast slabs: "[KP1] would be much happier if it were you who took the hollow-core slabs so that he would be sure to make the precast slabs."566 The recordings of telephone exchanges between Strudal and Soprel also show that discussions about the price of hollow-core slabs were mentioned during the cartel meeting on June 21, 2018, dedicated to precast slabs.</w:t>
      </w:r>
    </w:p>
    <w:p>
      <w:r>
        <w:t>472. It follows from all of the above that the practices observed in Ile-de-France are part of an overall plan developed at the national level by KP1, Rector, and SEAC, which has also been implemented in several other regions of France. All of these regional and national practices together form a single infringement, pursuing the same anticompetitive objective, which is to distort competition in the market for precast concrete products sold to construction companies, through the establishment of minimum price grids, the establishment of volume quotas per company, and the allocation of construction sites.</w:t>
      </w:r>
    </w:p>
    <w:p>
      <w:r>
        <w:t>473. Regarding the continuous nature of the infringement, when it is possible to qualify several practices as a single infringement, as is the case here, the Authority is not required to take into account the different durations of each of the observed practices. Since these are not distinct infringements, the Authority determines the duration of the infringement taken as a whole.</w:t>
      </w:r>
    </w:p>
    <w:p>
      <w:r>
        <w:t>474. In this case, the agreement orchestrated at the national level between KP1, Rector, and SEAC, to which the regional practices implemented in Ile-de-France in particular are attached, has persisted uninterruptedly, at least, between May 15, 2008, and October 25, 2018.</w:t>
      </w:r>
    </w:p>
    <w:p>
      <w:r>
        <w:t>475. The existence of a single and continuous infringement between May 15, 2008, and October 25, 2018, is therefore established.</w:t>
      </w:r>
    </w:p>
    <w:p>
      <w:r>
        <w:t>476. In accordance with the principles set out above, the extent of the liability of a company that did not participate in all components of a single and continuous infringement varies depending on whether that company was aware of the overall plan in which the practices to which it participated were included.</w:t>
      </w:r>
    </w:p>
    <w:p>
      <w:r>
        <w:t>477. In this case, the Authority does not have sufficiently probative elements to establish that A2C, FB, IB, SLM, Soprel, and Strudal were aware of the existence of a nationally orchestrated agreement between KP1, Rector, and SEAC throughout the duration of the practices. However, it notes that these six companies participated in the implementation of the agreement at the level of the Ile-de-France region and its neighboring regions. In accordance with the principles recalled in paragraphs 363 and 364, the Authority is entitled to attribute to them only the responsibility for the behaviors in which they directly participated in Ile-de-France and in the neighboring regions. The Authority took into account the fact that these six companies were not responsible for all practices related to the single and continuous agreement when assessing the duration of their participation in the practices. The Authority also reduced the sanctions imposed on these six companies due to their less intense participation in the practices.</w:t>
      </w:r>
    </w:p>
    <w:p>
      <w:r>
        <w:t>c) On the individual participation of companies in the single and continuous infringement</w:t>
      </w:r>
    </w:p>
    <w:p>
      <w:r>
        <w:t>On the participation of KP1</w:t>
      </w:r>
    </w:p>
    <w:p>
      <w:r>
        <w:t>478. The participation of KP1, the first applicant for leniency, which does not contest the charge, is established for all meetings and exchanges observed between May 15, 2008, and October 25, 2018.</w:t>
      </w:r>
    </w:p>
    <w:p>
      <w:r>
        <w:t>On the participation of Rector</w:t>
      </w:r>
    </w:p>
    <w:p>
      <w:r>
        <w:t>479. The participation of Rector, the second applicant for leniency, which does not contest the charge, is established for all meetings and exchanges observed between May 15, 2008, and October 25, 2018.</w:t>
      </w:r>
    </w:p>
    <w:p>
      <w:r>
        <w:t>On the participation of SEAC</w:t>
      </w:r>
    </w:p>
    <w:p>
      <w:r>
        <w:t>480. The participation of SEAC is established for all practices relating to the nationally orchestrated agreement, as well as for the practices implemented in the regions of Midi-Pyrénées, Languedoc-Roussillon, Aquitaine, Brittany, Pays de la Loire, Centre-Val de Loire, Auvergne-Rhône-Alpes, and Provence-Alpes-Côte d'Azur. These practices took place uninterruptedly between May 15, 2008, and October 25, 2018. Furthermore, it is established that SEAC participated in the agreement on precast slabs in the Ile-de-France region between May 15, 2008, and December 14, 2009.</w:t>
      </w:r>
    </w:p>
    <w:p>
      <w:r>
        <w:t>481. The participation of SEAC in the single and continuous agreement is therefore established between May 15, 2008, and October 25, 2018.</w:t>
      </w:r>
    </w:p>
    <w:p>
      <w:r>
        <w:t>On the participation of Soprel</w:t>
      </w:r>
    </w:p>
    <w:p>
      <w:r>
        <w:t>482. Soprel argues that the evidence of its participation in the practices would not be demonstrated before June 2014. It contests the probative value of the handwritten notebook of the commercial director of Ile-de-France of KP1 to establish its participation in the practices, as well as that of the "tab affaires" files seized at its premises. Regarding the files, Soprel notes that column 5, which KP1 attributes to Soprel, only appears on the tab dated July 18, 2013, which would prove its absence of participation in the said meetings before that date.</w:t>
      </w:r>
    </w:p>
    <w:p>
      <w:r>
        <w:t>483. It is established that Soprel participated in the practices in Ile-de-France and its neighboring regions, by participating in meetings concerning precast slabs between May 15, 2008, and October 25, 2018 (see paragraphs 94 to 112 above) and in meetings concerning hollow-core slabs between February 12, 2014, and May 30, 2018.</w:t>
      </w:r>
    </w:p>
    <w:p>
      <w:r>
        <w:t>484. While the "tab affaires" files do not allow for establishing Soprel's participation in the meetings on agreements concerning precast slabs between February 8, 2011, and June 11, 2013, several elements of the file attest to Soprel's adherence to these practices during the period covering the years 2011 to 2013. The table titled "Gestion des offres 2018 10 24," opened on the computer of the operational director of Soprel567, shows 92 construction sites with columns "affec pre" (for "affectation prédalle")568 with numbers 2, 4, and 6 for the years 2011 to 2013. Furthermore, an email dated November 9, 2013, sent by the national management of KP1 to the commercial director of Ile-de-France of KP1 for a "Qualiprédal" meeting includes market share percentages of the members of the agreement on precast slabs for the years 2011 and 2012, namely A2C, KP1, Rector, SLM, and Soprel569.</w:t>
      </w:r>
    </w:p>
    <w:p>
      <w:r>
        <w:t>485. Moreover, it is undisputed that Soprel participated in a particularly significant number (152) of bilateral exchanges with FB, IB, KP1, Rector, and Strudal, the anticompetitive nature of which is evident.</w:t>
      </w:r>
    </w:p>
    <w:p>
      <w:r>
        <w:t>486. The participation of Soprel in the practices referred to in the first charge concerning agreements on precast slabs and hollow-core slabs in Ile-de-France and its neighboring regions is therefore established between May 15, 2008, and October 25, 2018.</w:t>
      </w:r>
    </w:p>
    <w:p>
      <w:r>
        <w:t>On the participation of A2C</w:t>
      </w:r>
    </w:p>
    <w:p>
      <w:r>
        <w:t>487. A2C argues that its participation in the practices was extremely limited in terms of material, geographical, and temporal scope.</w:t>
      </w:r>
    </w:p>
    <w:p>
      <w:r>
        <w:t>488. Regarding the material scope, A2C acknowledges having participated in an agreement on precast slabs in Ile-de-France and its neighboring regions, but claims to have never participated in an agreement on other categories of precast concrete elements (hollow-core slabs, precast walls, beams, girders, frameworks). It contests its participation in several multilateral or bilateral meetings that were attributed to it in the notification of charges, on the grounds that its presence or the anticompetitive nature of these meetings would not be proven. Regarding the geographical scope of the agreement, A2C argues its purely regional dimension, which would prevent it from participating in national practices. Regarding the temporal scope, A2C claims to have attempted to exit the agreement as early as 2013, to have definitively decided to stop its participation at the end of 2014, and to have succeeded in effectively exiting in March 2015 to resume its participation in 2018.</w:t>
      </w:r>
    </w:p>
    <w:p>
      <w:r>
        <w:t>489. Regarding the material scope of the practices, it is established that A2C participated in several dozen meetings concerning precast slabs between May 15, 2008, and October 25, 2018 (see paragraphs 94 to 112 above). A2C played a particularly active role in organizing these meetings, with its representative serving as a "secretary" during cartel meetings between February 8, 2011, and November 6, 2014 (see paragraph 95 above). A2C also prepared and disseminated a minimum price grid related to precast slabs to KP1, Rector, and Soprel. This grid was intended to set minimum prices below which its competitors should not go (see paragraph 67 above).</w:t>
      </w:r>
    </w:p>
    <w:p>
      <w:r>
        <w:t>490. It is also established that A2C participated in the agreement on hollow-core slabs, with A2C's name appearing in the notes related to the meetings of February 12 and 25, 2014, as well as in the "attributions" tables relating to the market allocation practices for hollow-core slabs (see paragraphs 114 to 120 above). Furthermore, it is undisputed that A2C received a price grid for hollow-core slabs transmitted by KP1 and indicated its willingness to apply it (see paragraph 79 above).</w:t>
      </w:r>
    </w:p>
    <w:p>
      <w:r>
        <w:t>491. Regarding the geographical scope of the practices, A2C's lack of national dimension does not exempt it from liability for the regional practices in which it participated in Ile-de-France and its neighboring regions.</w:t>
      </w:r>
    </w:p>
    <w:p>
      <w:r>
        <w:t>492. Regarding the temporal scope of the practices, several elements allow for establishing the continuity of A2C's participation in the practices after March 2015.</w:t>
      </w:r>
    </w:p>
    <w:p>
      <w:r>
        <w:rPr>
          <w:b/>
        </w:rPr>
        <w:t>[Pages 130–132]</w:t>
      </w:r>
    </w:p>
    <w:p>
      <w:r>
        <w:t>493. First, it is established that A2C participated on February 11, 2016, with KP1, Rector, SLM, and Soprel, in a meeting concerning precast slabs, the anticompetitive nature of which is not contested by any participant.</w:t>
      </w:r>
    </w:p>
    <w:p>
      <w:r>
        <w:t>494. Next, the elements of the file attest to a bilateral exchange on prices between Soprel and A2C on November 13, 2017, according to which A2C reproaches Soprel for practicing prices that are too low, forcing it to lower its rates on a construction site (message from A2C to Soprel: "[i]f you want me to give you the list of sites I lost at those prices... Or the TAM site even though you are full you make me lower by €2 and I did not reproach you. So STOP giving lessons!").570</w:t>
      </w:r>
    </w:p>
    <w:p>
      <w:r>
        <w:t>495. Finally, it is undisputed that A2C resumed a particularly active participation in the practices between April 5, 2018, and October 25, 2018:</w:t>
        <w:br/>
        <w:t>− the exchanges between KP1 and A2C on April 5, 2018, attest to A2C's intention to apply a price grid for hollow-core slabs transmitted by KP1;</w:t>
        <w:br/>
        <w:t>− the exchanges between KP1 and A2C on June 7, 2018, attest to an anticompetitive exchange whereby A2C indicates to KP1 that it is "at war to raise prices";</w:t>
        <w:br/>
        <w:t>− it is established that A2C participated in the cartel meetings on June 19 and 21, 2018, July 17, 2018, and October 25, 2018.</w:t>
      </w:r>
    </w:p>
    <w:p>
      <w:r>
        <w:t>496. A2C's participation in the practices referred to in the first complaint regarding agreements on precast slabs and hollow-core slabs in Ile-de-France and its neighboring regions is therefore established between May 15, 2008, and October 25, 2018. However, the Authority notes that it does not have sufficient evidence to establish the continuity of A2C's participation in the practices between the meeting held on February 11, 2016, and the bilateral exchange with Soprel on November 13, 2017. Its participation in the practices referred to in the complaint will therefore not be retained for the period from February 12, 2016, to November 12, 2017.</w:t>
      </w:r>
    </w:p>
    <w:p>
      <w:r>
        <w:t>On the participation of SLM</w:t>
      </w:r>
    </w:p>
    <w:p>
      <w:r>
        <w:t>497. In its written observations, SLM acknowledges having participated in the agreement on precast slabs in the Ile-de-France region between May 15, 2008, and July 29, 2014. It claims that it did not participate in any meetings between July 29, 2014, and February 11, 2016, nor after February 11, 2016, and that it was not the recipient of the price grid prepared by A2C, as indicated by the first applicant for leniency. SLM also argues that the bilateral exchanges with A2C mentioned in the statement of objections were not anticompetitive in nature, but can be explained by commercial relationships from client to supplier. SLM further indicates that its subsidiary SPS is not involved in the practices, as it does not manufacture precast slabs. In the same vein, SLM contests the participation of its subsidiary CDLP, as this company is active only in the Rhône-Alpes region and there is no evidence to establish its participation in the practices in this region, which only involved KP1, Rector, and SEAC.</w:t>
      </w:r>
    </w:p>
    <w:p>
      <w:r>
        <w:t>498. Regarding SLM's participation, it is established that this company participated in multilateral meetings on the agreement concerning precast slabs in the Ile-de-France region and its neighboring regions between May 15, 2008, and February 11, 2016. Furthermore, the elements of the file attest to the existence of a bilateral exchange between SLM and A2C on June 21, 2018, whereby A2C indicates that it will provide a price grid to the president of SLM the following day. In this exchange, A2C and SLM also discuss the prices of ongoing construction sites, showing SLM's willingness to resume participation in anticompetitive practices.571</w:t>
      </w:r>
    </w:p>
    <w:p>
      <w:r>
        <w:t>499. On the other hand, the elements of the file show that at the time of the facts, the legal representatives of SLM held management positions within the companies CDLP and SPS. However, the elements of the file allow us to consider that only the company SLM was represented in the multilateral meetings on precast slabs in the Ile-de-France region and its neighboring regions, as SPS does not market this category of products and CDLP is not active in these regions. The companies CDLP and SPS must therefore be excluded from the proceedings.</w:t>
      </w:r>
    </w:p>
    <w:p>
      <w:r>
        <w:t>500. SLM's participation in the practices referred to in the first complaint regarding the agreement on precast slabs in Ile-de-France and its neighboring regions is established between May 15, 2008, and October 25, 2018. However, the Authority notes that it does not have sufficient evidence to establish the continuity of SLM's participation in the practices between February 11, 2016, and June 21, 2018.</w:t>
      </w:r>
    </w:p>
    <w:p>
      <w:r>
        <w:t>On the participation of IB and Strudal</w:t>
      </w:r>
    </w:p>
    <w:p>
      <w:r>
        <w:t>501. The elements of the file attest to the participation of IB and Strudal in the meetings of February 12 and 25, 2014, which relate to market allocation practices concerning hollow-core slabs in Ile-de-France and its neighboring regions. Furthermore, the elements of the file attest to the existence of meetings on November 8, 2016, and January 25, 2017, between IB, KP1, Soprel, and Strudal. Finally, the elements of the file establish the participation of IB and Strudal in two additional anticompetitive meetings concerning project allocations: the first held on April 25, 2018, in the presence of KP1, and the second on May 30, 2018, in the presence of KP1 and Soprel.</w:t>
      </w:r>
    </w:p>
    <w:p>
      <w:r>
        <w:t>502. IB and Strudal are also mentioned in the "allocations" tables used by the members of the agreement on hollow-core slabs, concerning market allocations assigned in 2014 and 2015. The mentions at the bottom of these tables, which directly refer to the "quotas" of market shares agreed upon between the members of the agreement, leave no doubt about the anticompetitive nature of the meetings that led to the development of these tables and the participation in the practices of the companies mentioned therein.</w:t>
      </w:r>
    </w:p>
    <w:p>
      <w:r>
        <w:t>503. Similarly, IB and Strudal are cited in the table titled "Hollow-core Slab Capacities" seized in the cases of the operational director of Soprel, which discusses the market shares retained for the year 2017, as well as those proposed for the year 2018. This table, which is part of the market allocation practices denounced by KP1, attests to the participation of IB and Strudal in market allocation practices for the years 2017 and 2018.</w:t>
      </w:r>
    </w:p>
    <w:p>
      <w:r>
        <w:t>504. Furthermore, several recordings of telephone exchanges attest that IB and Strudal were aware of the price grid exchanged between competitors. In an exchange on July 26, 2018, the operational director of Soprel contacts the general director of IB, indicating that he received a call from the client who informed him that IB made a price offer much lower than that of Soprel. The general director of IB replies that the person in charge of this matter was absent, but that "normally she has instructions."572 In an exchange on the same day, the operational director of Soprel and the general director of Strudal complain that IB does not respect the prices of the "grid" and sarcastically comment on the justifications provided by the general director of IB that he does not have the "right grid."573 In an exchange on September 13, 2018, the general director of Strudal indicates to the operational director of Soprel that he had a conversation with the general director of IB, during which the latter confirmed his willingness to apply the rates of the "grid."574</w:t>
      </w:r>
    </w:p>
    <w:p>
      <w:r>
        <w:t>505. The participation of IB and Strudal in the practices referred to in the first complaint regarding the agreement on hollow-core slabs in Ile-de-France and its neighboring regions is established between February 12, 2014, and October 25, 2018.</w:t>
      </w:r>
    </w:p>
    <w:p>
      <w:r>
        <w:t>On the participation of FB</w:t>
      </w:r>
    </w:p>
    <w:p>
      <w:r>
        <w:t>506. The elements of the file attest to the participation of FB in the meetings of February 12 and 25, 2014, which relate to market allocation practices concerning hollow-core slabs in Ile-de-France and its neighboring regions. Regarding the notes related to the meeting of February 25, 2014, the handwritten mention "FB declares" attests to FB's active participation in this meeting.</w:t>
      </w:r>
    </w:p>
    <w:p>
      <w:r>
        <w:t>507. FB is also mentioned in the "allocations" tables used by the members of the agreement on hollow-core slabs, concerning market allocations assigned in 2014 and 2015. Contrary to what FB claims, these tables do not constitute internal market tracking documents used by Soprel, as identical tables were communicated by KP1 to establish the existence of market allocation practices concerning hollow-core slabs. The mentions at the bottom of these tables, which directly refer to the "quotas" of market shares agreed upon between the members of the agreement, leave no doubt about the anticompetitive nature of these tables and the participation in the practices of the companies mentioned therein.</w:t>
      </w:r>
    </w:p>
    <w:p>
      <w:r>
        <w:t>508. Furthermore, the elements of the file show that FB participated in bilateral anticompetitive exchanges with A2C, Soprel, and Strudal between December 16, 2016, and October 4, 2018.</w:t>
      </w:r>
    </w:p>
    <w:p>
      <w:r>
        <w:t>509. On December 16, 2016, the general director of FB asked the operational director of Soprel not to respond to a call for tenders, indicating that he had applied a markup on this project: "[i]n case the Urma project contacts you for a level please do not respond I have put a markup on them."</w:t>
      </w:r>
    </w:p>
    <w:p>
      <w:r>
        <w:t>510. On January 24, 2017, the operational director of Soprel asked the general director of FB to provide him with his rates, in order to submit a cover offer for the Urma project. The general director of FB then communicated his rates to him, asking him to set prices €5 above his own: "Supply rates Hollow-core Slabs Project: Urma Training Center in Bruay sur Escaut" "Is this readable for you? (...) To add."</w:t>
      </w:r>
    </w:p>
    <w:p>
      <w:r>
        <w:rPr>
          <w:b/>
        </w:rPr>
        <w:t>[Pages 133–135]</w:t>
      </w:r>
    </w:p>
    <w:p>
      <w:r>
        <w:t>2.80 for lifting loops at prices of 36.30 and 40.90... And with that, we are thieves. (...) Try to put 5 euros above."577</w:t>
      </w:r>
    </w:p>
    <w:p>
      <w:r>
        <w:t>511. To attempt to justify these exchanges, FB argues that it was already the holder of a contract signed on June 20, 2016, with the project manager of the Urma site and that he had put it on notice to deliver hollow-core slabs following delivery delays. FB claims that it would have, in this context, requested Soprel to supply the project manager with the quantities of hollow-core slabs that it was unable to deliver on time.</w:t>
      </w:r>
    </w:p>
    <w:p>
      <w:r>
        <w:t>512. This explanation is not credible, as FB first asked Soprel to refrain from responding to the project manager (message of December 16, 2016), then asked him to respond by applying prices higher than its own (message of January 24, 2017). Contrary to FB's denials, these messages indeed relate to the existence of a cover offer issued by Soprel for its benefit, in order to prevent the project manager of the Urma site from turning to another supplier than FB to address its delivery difficulties.</w:t>
      </w:r>
    </w:p>
    <w:p>
      <w:r>
        <w:t>513. On August 30, 2017, the operational director of Soprel and the general director of FB exchanged messages to agree on a lunch that took place on September 13, 2017, at the Palais des Congrès. The SMS exchanges relating to this meeting attest to discussions concerning a cover offer issued by Soprel for the benefit of FB on a site located in Romainville, in exchange for a cover offer that was to be issued by FB for the benefit of Soprel on a site located in Saint-Amand. In this message, the operational director of Soprel compares his prices to those of FB on the Romainville site, indicating to the general director of FB: "I haven't changed anything... so you are indeed below me."578 On September 15, 2017, Soprel and FB exchanged information on the prices applied on the Saint-Amand site, with Soprel indicating that it had to lower its prices.579 In an exchange on the same day with KP1, Soprel mentions the cover offer issued by FB for its benefit in these terms: "at St Amand, FB is making a big effort!!!"580</w:t>
      </w:r>
    </w:p>
    <w:p>
      <w:r>
        <w:t>514. FB attempts to justify these exchanges by arguing that they relate to products it does not manufacture, namely ramps. These justifications are not credible. Indeed, the exchanges of September 13 and 15, 2017, directly relate to the prices of hollow-core slabs, as evidenced by the mentions "DAP" in the message of September 13, 2017. The anticompetitive nature of these exchanges is therefore established.</w:t>
      </w:r>
    </w:p>
    <w:p>
      <w:r>
        <w:t>515. The exchanges on October 26, 2017, between Soprel and FB show that FB used Soprel's offer to respond to a call for tenders. In the context of these exchanges, the operational director of Soprel reproaches the general director of FB for not having made "an effort to personalize" its offers and ironically mentions the possibility of asking him for "copyrights."581 FB did not contest the anticompetitive nature of these messages, which is therefore established.</w:t>
      </w:r>
    </w:p>
    <w:p>
      <w:r>
        <w:t>516. The elements of the file attest to the existence of exchanges between Soprel and FB on October 19, 20, and 22, 2017, concerning a "Lillenium" market for which FB asks Soprel to indicate its prices.582 On November 8 and 9, 2017, Soprel and FB exchanged again on the "Lillenium" market, with Soprel indicating that it had made a discount on its prices.583 FB alleges that these exchanges relate to a market it was not able to handle alone and for which it wanted to partner with Soprel. It must be noted that FB does not produce any document to support these allegations and that its exchanges with Soprel at no time refer to a project of co-contracting or grouping. The anticompetitive nature of these exchanges on prices is therefore established.</w:t>
      </w:r>
    </w:p>
    <w:p>
      <w:r>
        <w:t>517. Exchanges on February 27, 2018, between Soprel and KP1 also mention the existence of a cover offer issued by FB for the benefit of KP1: "there is no problem 44 in extensible in Lille, it's in the market, he [commercial director of KP1] told me he was covered by FB on this matter! It's sure with at least €15 of transport, it makes the 32 at less than €30 departure!!! The coefficient must be nice."584 (emphasis added).</w:t>
      </w:r>
    </w:p>
    <w:p>
      <w:r>
        <w:t>518. The recording of an exchange on June 13, 2018, attests to the existence of a discussion on prices between Soprel and FB.585 In this exchange, FB asks Soprel for the prices it should apply in the Ile-de-France region. Soprel indicates that the "starting price grid (...), which had been set at the time" is again applicable. This exchange attests to the existence of a price grid on hollow-core slabs applied in the past, of which both FB and Soprel were aware.</w:t>
      </w:r>
    </w:p>
    <w:p>
      <w:r>
        <w:t>519. The recording of a telephone exchange on September 13, 2018, between Soprel and FB relates to a proposal for market sharing involving the companies KP1, Soprel, and FB. In the terms of this exchange, Soprel indicates that it wishes to make a joint response with KP1 on a site and asks FB to refrain from responding to this call for tenders. In return, Soprel indicates that it will pass on a portion of the volumes obtained (20,000 m² or 30,000 m²) to FB: "I will probably redo a joint response with KP1, but the idea would be to say, in fact, you... you told me that you would like to recover, the idea I propose to you is that we do it like this. That is to say, today you do not make a response, but we commit that you will have between 20 and 30,000 to do."586 On the same day, Soprel informed KP1 of its discussions with FB, indicating that FB would refrain from responding to this call for tenders with a competing company, obtaining compensation in volume of 20,000 to 25,000 m²: "I had [FB], so he agrees, so he does not respond... He does not respond with anyone (...)."587</w:t>
      </w:r>
    </w:p>
    <w:p>
      <w:r>
        <w:t>520. Contrary to what FB claims in its writings, this exchange does not relate to a pooling of resources between FB and Soprel to respond to a call for tenders, but to an illicit market sharing between three companies, KP1, FB, and Soprel, whereby one company refrains from submitting an offer in exchange for volume compensation from the two companies awarded this market.</w:t>
      </w:r>
    </w:p>
    <w:p>
      <w:r>
        <w:t>521. It emerges from the telephone taps of October 5, 2018, that the representative of Strudal wished to organize a meeting between FB, KP1, Soprel, and Strudal concerning the distribution of construction site volumes. He confirmed that the representative of FB agreed to participate in this meeting and that he wished to claim a volume of 20,000 m² in the Ile-de-France region.</w:t>
      </w:r>
    </w:p>
    <w:p>
      <w:r>
        <w:t>522. FB's participation in the practices targeted by the first grievance concerning the agreement on hollow-core slabs in Ile-de-France and its neighboring regions is therefore established between February 12, 2014, and October 25, 2018.</w:t>
      </w:r>
    </w:p>
    <w:p>
      <w:r>
        <w:t>4. ON THE MERITS OF GRIEVANCE 2</w:t>
      </w:r>
    </w:p>
    <w:p>
      <w:r>
        <w:t>a) On the materiality of the practices</w:t>
      </w:r>
    </w:p>
    <w:p>
      <w:r>
        <w:t>523. It is established that KP1, Rector, and SEAC participated in meetings and telephone conversations concerning the prices applied to trading companies and CMIs. These exchanges focused on price increases, net prices, and certain commercial conditions granted to trading companies.</w:t>
      </w:r>
    </w:p>
    <w:p>
      <w:r>
        <w:t>524. The object of the practices is established in this case by the statements of KP1, which denounced the existence of this agreement in the context of its leniency application. In its observations on the report, Rector acknowledged having participated in this agreement between April 2011 and October 25, 2018. These statements are corroborated by various material elements, such as internal exchanges within KP1, meeting minutes, or handwritten notes revealing the existence and content of exchanges between the accused parties.</w:t>
      </w:r>
    </w:p>
    <w:p>
      <w:r>
        <w:t>525. These various elements, which present strong evidential value, demonstrate the existence of regular exchanges between KP1 and Rector aimed at neutralizing competition through prices.</w:t>
      </w:r>
    </w:p>
    <w:p>
      <w:r>
        <w:t>526. SEAC, whose participation in the practices is not established after the year 2013,588 is excluded from liability under the ten-year statute of limitations.</w:t>
      </w:r>
    </w:p>
    <w:p>
      <w:r>
        <w:t>b) On the anticompetitive object</w:t>
      </w:r>
    </w:p>
    <w:p>
      <w:r>
        <w:t>527. The observed practices consisted of exchanges of information on the prices offered to trading companies and CMIs, with a view to coordinating their bilateral pricing negotiations with their clients, in order to obstruct these clients' negotiation strategies and obtain price increases.</w:t>
      </w:r>
    </w:p>
    <w:p>
      <w:r>
        <w:t>528. Such behavior contravenes the principle of autonomy that companies must demonstrate when competing in a market. Each company must indeed rigorously refrain from participating in direct or indirect contacts with its competitors in order to exchange information on commercial policies and, in particular, on the prices they intend to propose in the market, or on the strategies they plan to pursue, particularly with respect to their clients.</w:t>
      </w:r>
    </w:p>
    <w:p>
      <w:r>
        <w:t>588 Paragraph 750 of the notification of grievances.</w:t>
      </w:r>
    </w:p>
    <w:p>
      <w:r>
        <w:rPr>
          <w:b/>
        </w:rPr>
        <w:t>[Pages 136–138]</w:t>
      </w:r>
    </w:p>
    <w:p>
      <w:r>
        <w:t>529. It follows that, through their exchanges, KP1 and Rector expressed a common intention to behave in a determined manner in the market, by repeatedly participating in exchanges aimed at coordinating the level of prices to be offered to their clients. Such a practice constitutes an agreement within the meaning of the provisions and principles mentioned above.</w:t>
      </w:r>
    </w:p>
    <w:p>
      <w:r>
        <w:t>530. Furthermore, it follows from both Article 101 TFEU and Article L. 420-1 of the Commercial Code that agreements aimed at directly or indirectly fixing selling prices have, in themselves, a restrictive object of competition.</w:t>
      </w:r>
    </w:p>
    <w:p>
      <w:r>
        <w:t>531. It follows from the above that, given their nature and purpose, the practices in dispute, which involve a real degree of harm to competition, have the character of an agreement with an anticompetitive object.</w:t>
      </w:r>
    </w:p>
    <w:p>
      <w:r>
        <w:t>c) On the individual participation of the companies</w:t>
      </w:r>
    </w:p>
    <w:p>
      <w:r>
        <w:t>532. The participation of KP1 and Rector, applicants for leniency who do not contest this grievance, is established for all meetings and exchanges noted between April 2011 and October 25, 2018.</w:t>
      </w:r>
    </w:p>
    <w:p>
      <w:r>
        <w:t>5. ON THE MERITS OF GRIEVANCE 3</w:t>
      </w:r>
    </w:p>
    <w:p>
      <w:r>
        <w:t>a) Reminder of the principles</w:t>
      </w:r>
    </w:p>
    <w:p>
      <w:r>
        <w:t>533. In the context of public or private markets on calls for tenders, an unlawful concertation between competing companies is established as soon as evidence is provided, either that they agreed to coordinate their offers, or that they exchanged commercially sensitive information before the date on which the result of the call for tenders is known or can be known, in order to escape the principle of the independence of offers, a normal condition of competition.589</w:t>
      </w:r>
    </w:p>
    <w:p>
      <w:r>
        <w:t>534. The proof of the prior concertation relative to the date on which the result of the call for tenders is known or can be known can be inferred, in the absence of a certain date affixed to a document, from the analysis of its content and the comparison of this with extrinsic elements, notably with the results of the calls for tenders.590 It can, more generally, result from a bundle of evidence constituted by the comparison of various elements, even if each of them does not, taken in isolation, have a sufficiently probative character.591</w:t>
      </w:r>
    </w:p>
    <w:p>
      <w:r>
        <w:t>535. As soon as there exists a bundle of serious, precise, and consistent evidence attesting to the existence of an exchange of information prior to the outcome of the call for tenders that led to coordination, it has an anticompetitive object, regardless of whether the exchange of information in question was not reciprocal.592</w:t>
      </w:r>
    </w:p>
    <w:p>
      <w:r>
        <w:t>b) On the absence of evidence of multilateral meetings and the exclusion of Soprel and IB</w:t>
      </w:r>
    </w:p>
    <w:p>
      <w:r>
        <w:t>536. The elements of the file attest to the existence of exchanges relating to three meetings on November 8, 2016, and April 25 and May 30, 2018, which took place within or near the premises of ACOB between IB, KP1, Soprel, and Strudal (see paragraphs 121, 124, and 125 above).</w:t>
      </w:r>
    </w:p>
    <w:p>
      <w:r>
        <w:t>537. Eurobéton, IB, Soprel, and Strudal argue that these meetings do not concern the third grievance. They note that these meetings are already mentioned in the notification of grievances as relating to the first grievance. They also argue that these meetings involve Soprel, which does not manufacture concrete frames, which would prove the absence of a link between these meetings and the third grievance.</w:t>
      </w:r>
    </w:p>
    <w:p>
      <w:r>
        <w:t>538. KP1 contested this point, specifying in its response to the report that there is a "significant porosity between the production activities of precast slabs, slabs, and inserts, on the one hand, and those of concrete frames, on the other hand. Indeed, the interactions between the teams of a company responsible for managing the production and sales activities of concrete frames and those responsible for activities concerning precast slabs, slabs, and inserts are frequent: for example, to prepare a response to a call for tenders from a potential client covering all or part of these products and then, if necessary, to execute it, or to subcontract to a team a lot of a call for tenders (e.g., that concerning only concrete frames), or more simply, to respond to the occasional needs of a client by providing a set of products including both precast slabs, slabs, inserts, and concrete frames. It is therefore completely false to assert that the exchanges that took place between (...) (Soprel) and (...) (KP1) would not be capable of demonstrating the existence of a price agreement for concrete frames between them (...). Soprel, IB, and Strudal, which also produce manufactured concrete elements intended for construction companies (precast slabs, etc.) as well as concrete frames, are showing evident bad faith in this regard."593.</w:t>
      </w:r>
    </w:p>
    <w:p>
      <w:r>
        <w:t>539. However, while the meetings mentioned in paragraph 536 can support the first grievance, the Authority finds that there are not enough elements in the file to establish a link between these meetings and the third grievance.594 The fact that these meetings were organized in the premises of ACOB is not sufficient to consider that they relate to discussions on concrete frames, KP1 having indicated in its leniency application that meetings held in the premises of ACOB had led to anticompetitive discussions on hollow-core slabs (first grievance), which is corroborated by numerous elements in the file regarding the meetings of April 25 and May 30, 2018 (see paragraphs 124 and following). These meetings also involve Soprel, which is not targeted by KP1's leniency application concerning the third grievance. While Soprel provides elements that are part of the composition of concrete frames (beams, columns, etc.), no element in the file allows us to consider that it responded to calls for tenders for concrete frames.</w:t>
      </w:r>
    </w:p>
    <w:p>
      <w:r>
        <w:t>540. In these circumstances, it is appropriate to exclude the meetings mentioned in paragraph 536 above from the bundle of evidence supporting the third grievance and to exclude Soprel from the practices targeted by the third grievance, it being recalled that IB has been excluded on the grounds of the ten-year statute of limitations.</w:t>
      </w:r>
    </w:p>
    <w:p>
      <w:r>
        <w:t>c) On the anticompetitive nature of the exchanges of information</w:t>
      </w:r>
    </w:p>
    <w:p>
      <w:r>
        <w:t>541. The Authority considers that the table established by KP1 in the context of its leniency application cannot, by itself, be sufficient to establish the participation of the companies in the denounced practices. This table does not constitute a contemporaneous material element of the facts, but was specifically prepared by KP1 to support its leniency application. Therefore, it must be considered as part of KP1's declaration and not as an independent element capable of enhancing its probative value.</w:t>
      </w:r>
    </w:p>
    <w:p>
      <w:r>
        <w:t>542. However, KP1 produced emails contemporaneous with the practices attesting to exchanges of quotes between the companies involved, which allow corroborating the statements of the leniency applicant regarding the existence of exchanges of sensitive information listed in the table prepared by KP1.</w:t>
      </w:r>
    </w:p>
    <w:p>
      <w:r>
        <w:t>543. First, the elements of the file attest that KP1 and Strudal exchanged quotes concerning concrete frame projects on nine occasions.</w:t>
      </w:r>
    </w:p>
    <w:p>
      <w:r>
        <w:t>544. Strudal considers that these nine emails are insufficient to establish its participation in collusive practices. It notes that only one of these emails was sent by Strudal to KP1 concerning a project that was ultimately won by KP1. According to Strudal, this circumstance would render unrealistic the thesis that it sent its quote to KP1 in order to benefit from a cover offer from the latter. Regarding the other eight emails, Strudal argues that they are unilateral transmissions of quotes from KP1 that Strudal did not solicit and of which it is not demonstrated that it benefited to modify its behavior. Strudal adds that it did not submit bids on two of the projects that were the subject of quotes sent by KP1 (projects "Feytat Super U" and "Iko") or that it would not have been able to submit competitive bids on projects far from its production site (projects "Leroy Merlin" in Venissieux, "Super U" in Feytiat, "FM Logistic" in Laudun). Strudal also indicates that three other projects were not carried out or were not won by KP1 (projects "Dhollandia," "Onival," and "Disney").</w:t>
      </w:r>
    </w:p>
    <w:p>
      <w:r>
        <w:t>545. Strudal does not contest having received KP1's offers concerning the markets "Iko" (September 2012), "Eco Riverparc-Gamblin" and "Eco Riverparc-Dhollandia" (September 2013), "Onival" (March 2013), "FM Logistique" (March 2013), "O Marché frais" (March 2013), "Feytat (Super U)" (January 2017), "Disney" (March 2018), and "Leroy Merlin" (January 2018), i.e., nine markets between September 2012 and March 2018.</w:t>
      </w:r>
    </w:p>
    <w:p>
      <w:r>
        <w:t>546. The fact that these are unilateral transmissions of information from KP1 to Strudal does not exclude their anticompetitive nature. In this regard, it is necessary to...</w:t>
      </w:r>
    </w:p>
    <w:p>
      <w:r>
        <w:rPr>
          <w:b/>
        </w:rPr>
        <w:t>[Pages 139–141]</w:t>
      </w:r>
    </w:p>
    <w:p>
      <w:r>
        <w:t>rappeler que les échanges d’informations entre sociétés soumissionnaires, avant le résultat de l’appel d’offres, perturbent nécessairement le jeu de la concurrence. Lors d’un appel d’offres fondé notamment sur le critère du moins-disant, chaque soumissionnaire subit deux incitations opposées : offrir un prix élevé pour maximiser son profit, proposer un prix faible pour maximiser ses chances de remporter le marché. L’intégrité concurrentielle du marché suppose que chacun choisisse son niveau de risque (et donc son prix) et effectue son choix en toute indépendance, sans disposer d’aucune information privilégiée concernant un ou plusieurs concurrents. En effet, toute information privilégiée éclairant les choix opérés (ou susceptibles d’être opérés) par les autres concurrents diminue artificiellement le risque pris par celui qui bénéficie de cette information au moment d’établir son offre, en réduisant ou supprimant l’incertitude dans laquelle il doit rester au regard du comportement des autres concurrents. Il importe peu à cet égard que l’échange d’informations auquel a procédé une entreprise n’ait pas été réciproque, c’est-à-dire que celle qui a été destinataire des informations soit restée taisante et n’ait pas eu un comportement positif démontrant son adhésion à l’entente.</w:t>
      </w:r>
    </w:p>
    <w:p>
      <w:r>
        <w:t>547. Strudal tente de mobiliser la jurisprudence de la cour d’appel de Paris rendue dans l’affaire de la messagerie express, selon laquelle une entreprise qui n’a participé à aucune réunion collusoire ne saurait voir sa responsabilité établie pour avoir reçu des informations qu’elle n’a ni sollicitées, ni acceptées et dont il n’est pas démontré qu’elle aurait tiré parti.</w:t>
      </w:r>
    </w:p>
    <w:p>
      <w:r>
        <w:t>548. Or, s’agissant des transmissions unilatérales de messages dont le contenu est anticoncurrentiel, la Cour de justice a jugé que les opérateurs destinataires de ces messages peuvent, à partir du moment où ils avaient connaissance de leur contenu, être présumés avoir participé à une pratique concertée, s’ils se sont abstenus de se distancier publiquement de cette pratique, ne l’ont pas dénoncée aux entités administratives ou n’ont pas apporté d’autres preuves pour réfuter cette présomption. Les nouvelles lignes directrices de la Commission européenne relatives aux accords de coopération horizontale indiquent que « si une entreprise envoie un courrier électronique aux adresses électroniques personnelles de salariés d’autres entreprises, cela ne veut pas dire en soi que les destinataires devaient avoir nécessairement connaissance de son contenu. Cela peut, au regard d’autres indices objectifs et concordants, fonder la présomption que les destinataires avaient connaissance du contenu et qu’ils ont pris les informations en considération, pourvu que ces destinataires gardent la possibilité de réfuter cette présomption ».</w:t>
      </w:r>
    </w:p>
    <w:p>
      <w:r>
        <w:t>549. Au cas d’espèce, les éléments du dossier permettent d’établir que Strudal avait connaissance du contenu des offres transmises par KP1 et ne s’est pas distanciée de cette pratique d’échange d’informations.</w:t>
      </w:r>
    </w:p>
    <w:p>
      <w:r>
        <w:t>550. La circonstance que KP1 adresse de manière répétée à Strudal ses offres sur plusieurs appels d’offres de charpentes en béton rend peu crédible l’hypothèse selon laquelle Strudal n’aurait pas pris connaissance de leur contenu pour déterminer son comportement sur le marché.</w:t>
      </w:r>
    </w:p>
    <w:p>
      <w:r>
        <w:t>551. Cette hypothèse est d’autant moins plausible que Strudal a eu un rôle actif à plusieurs reprises dans le cadre des échanges avec KP1, soit en envoyant elle-même son offre à KP1, soit en répondant à un de ses messages.</w:t>
      </w:r>
    </w:p>
    <w:p>
      <w:r>
        <w:t>552. Ainsi, le 20 juin 2017, Strudal a envoyé à KP1 l’offre qu’elle avait adressée le même jour à Eiffage Construction Nord Aquitaine concernant un chantier situé à Cestas. Strudal n’apporte aucun élément permettant de justifier l’envoi de l’intégralité de son offre à un concurrent direct. Contrairement à ce que soutient Strudal, la circonstance que KP1 ait finalement remporté ce chantier n’enlève rien au caractère anticoncurrentiel de cet échange.</w:t>
      </w:r>
    </w:p>
    <w:p>
      <w:r>
        <w:t>553. Le 26 janvier 2017, KP1 a envoyé par courriels séparés à Strudal et Eurobéton son offre pour le marché « Super U Feytiat » avec le même message « modification sur protection lourde ». Strudal a répondu à ce message en indiquant qu’elle n’avait pas déposé d’offre sur la protection lourde. Contrairement à ce que prétend Strudal, le contenu de ce message semble indiquer que Strudal a candidaté sur ce chantier. En tout état de cause, le fait pour un concurrent de communiquer son absence d’intérêt sur un marché à un autre concurrent dans le cadre d’une procédure d’appel d’offres suffit à établir le caractère anticoncurrentiel de l’échange.</w:t>
      </w:r>
    </w:p>
    <w:p>
      <w:r>
        <w:t>554. Par ailleurs, Strudal ne conteste pas avoir répondu aux consultations des chantiers pour lesquels KP1 lui avait communiqué son offre, à l’exception des chantiers « Iko » et « Super U Feytiat ».</w:t>
      </w:r>
    </w:p>
    <w:p>
      <w:r>
        <w:t>555. La circonstance invoquée par Strudal selon laquelle elle n’aurait pas été en mesure de déposer une offre compétitive sur les chantiers « Leroy Merlin », « Super U » et « Laudun » compte tenu de l’éloignement de ces chantiers avec son site de production situé à Château-Gontier ne saurait justifier l’existence d’échanges anticoncurrentiels avec KP1. Au demeurant, cette allégation n’est nullement démontrée.</w:t>
      </w:r>
    </w:p>
    <w:p>
      <w:r>
        <w:t>556. De même, le fait que Strudal se soit abstenue de déposer des offres sur les chantiers « Iko » et « Super U Feytiat » ou que trois chantiers n’ont pas été réalisés par KP1 (chantiers « Dhollandia », « Onival » et « Disney ») est sans incidence sur la qualification des pratiques. Il est en effet constant que l’échange d’informations entre entreprises, préalable au résultat de l’appel d’offres, peut faire l’objet d’une sanction, même si une des entreprises n’a pas présenté d’offre ou si une autre entreprise, extérieure à l'entente, a été retenue.</w:t>
      </w:r>
    </w:p>
    <w:p>
      <w:r>
        <w:t>557. En second lieu, les éléments du dossier attestent que KP1 et Eurobéton ont échangé leurs offres à 27 reprises sur des chantiers de charpentes en béton. KP1 a adressé son offre de manière unilatérale à Eurobéton dans le cas de 14 chantiers, tandis qu’Eurobéton a adressé son offre de manière unilatérale à KP1 dans 11 cas. Enfin, sur deux chantiers, KP1 et Eurobéton ont échangé leurs offres respectives.</w:t>
      </w:r>
    </w:p>
    <w:p>
      <w:r>
        <w:t>558. Eurobéton ne conteste pas l’existence d’échanges de devis avec KP1, mais conteste leur caractère anticoncurrentiel, en faisant valoir que ces échanges sont courants dans le secteur et s’inscrivent dans des relations de cotraitance ou de sous-traitance. Selon Eurobéton, lorsque KP1 souhaitait obtenir un devis d’un fournisseur, elle adressait son projet d’offre à Eurobéton, qui lui proposait de lui fournir les matériaux requis au prix de vente proposé par KP1 au client, minoré de 15 %. Eurobéton a fourni des éléments documentaires permettant d’étayer l’existence de relations de sous-traitance ou de cotraitance concernant 4 chantiers (« Rocadest », « Socamil », « ITM », « Corbas Hermes »).</w:t>
      </w:r>
    </w:p>
    <w:p>
      <w:r>
        <w:t>559. Toutefois, la tentative de justification d’Eurobéton n’emporte pas la conviction.</w:t>
      </w:r>
    </w:p>
    <w:p>
      <w:r>
        <w:t>560. Premièrement, Eurobéton n’a pas été en mesure de justifier l’existence de relations de sous-traitance ou cotraitance sur la très grande majorité des chantiers qui ont donné lieu à des échanges de devis avec KP1.</w:t>
      </w:r>
    </w:p>
    <w:p>
      <w:r>
        <w:t>561. Sur un certain nombre de chantiers, l’hypothèse d’une potentielle collaboration entre KP1 et Eurobéton n’apparaît pas plausible pour justifier ces échanges de devis.</w:t>
      </w:r>
    </w:p>
    <w:p>
      <w:r>
        <w:t>562. Par exemple, KP1 a envoyé ses offres relatives aux marchés « ECO RIVERPARC-GAMBLIN » et « ECO RIVERPARC-DHOLLANDIA » à IB, Eurobéton, CGM et Strudal, le 13 septembre 2013 avec le même message : « bonjour, comme convenu veuillez trouver ci-joint notre meilleure offre dans le cadre de notre collaboration éventuelle sur ces affaires ». La circonstance que KP1 adresse une même offre de collaboration à quatre concurrents différents sur deux marchés de petite taille (d’environ 2 800 m² chacun) ne peut pas être justifiée par une collaboration entre ces cinq entreprises pour réaliser ces marchés.</w:t>
      </w:r>
    </w:p>
    <w:p>
      <w:r>
        <w:t>563. Un autre exemple concerne l’affaire « SEDE Environnement ». Eurobéton et KP1 ont échangé leurs offres respectives entre le 21 et le 31 mai 2013. Ces offres ont été envoyées par KP1 et Eurobéton au client SEDE Environnement séparément. Si, comme l’indiquent les courriels de couverture échangés entre KP1 et Eurobéton, comportant en pièces jointes leurs offres, il s’agissait d’une « éventuelle collaboration sur cette affaire » ou « à réaliser conjointement », l’offre aurait dû être envoyée au client par les deux concurrents en groupement. Le même constat s’applique pour l’affaire « Mercedes Loubet », qui a donné lieu à des échanges réciproques par lesquels Eurobéton et KP1 se sont communiqué leurs offres respectives.</w:t>
      </w:r>
    </w:p>
    <w:p>
      <w:r>
        <w:t>564. De même, KP1 a envoyé son offre relative au marché « Feytiat (Super U) » à Strudal et à Eurobéton, le 23 janvier 2017 par des courriels séparés, respectivement à 14h21 et à 14h24. Puis, le 26 janvier 2017, KP1 a envoyé par courriels séparés à Strudal et Eurobéton (respectivement à 9h38 et 9h39) son offre pour le marché « Super U Feytiat » avec le message « modification sur protection lourde ». Strudal lui a répondu à 9h59 : « Je n’ai pas répondu à la protection lourde ». Il ressort de ces échanges que chacun des concurrents a reçu l’offre de KP1 et, à tout le moins, Strudal a aussi envoyé de son côté une proposition au client (sans détails sur la « protection lourde ») et ce, en dehors de toute collaboration avec KP1 sur ce chantier. Une éventuelle collaboration entre les trois concurrents aurait dû se traduire par l’envoi d’une offre commune en groupement au client.</w:t>
      </w:r>
    </w:p>
    <w:p>
      <w:r>
        <w:rPr>
          <w:b/>
        </w:rPr>
        <w:t>[Pages 142–144]</w:t>
      </w:r>
    </w:p>
    <w:p>
      <w:r>
        <w:t>565. Regarding the "Leroy Merlin" project, Eurobéton argues that it would not have considered applying for this project and had sent a quote to KP1 amounting to €5,295,960 to supply it with columns and floors, in order to enable it to apply for this project. This justification is not credible. On the one hand, KP1 sent its offer on January 8, 2018, to Strudal (and not to Eurobéton), so the transmission of Eurobéton's offer to KP1 cannot be interpreted as a response to a proposal for collaboration from KP1. On the other hand, Eurobéton's offer, which was transmitted to KP1 on January 10, 2018, is addressed to the project owner (Groupe Nox), which contradicts Eurobéton's thesis that this exchange relates to a supply relationship between KP1 and Eurobéton.</w:t>
      </w:r>
    </w:p>
    <w:p>
      <w:r>
        <w:t>566. Secondly, regarding the exchanges of quotes that Eurobéton justified by co-contracting or subcontracting relationships, it should be recalled that while the cooperation of independent and competing companies in order to respond to a call for tenders is not anticompetitive in itself, this cooperation must not lead to exchanges of information that could distort competition. In a ruling dated January 13, 1998, the Paris Court of Appeal recalled that "while it is permissible for a company that is not able to carry out all the work involved in a call for tenders on its own to exchange information with a potential subcontractor, it must do so in compliance with the rules of competition."610</w:t>
      </w:r>
    </w:p>
    <w:p>
      <w:r>
        <w:t>567. However, the exchanges of offers that took place between KP1 and Eurobéton on these projects exceed what is permissible under competition law. Indeed, these exchanges do not concern the subsets of services that each company might have wished to subcontract to the other, but rather the entirety of their services, including those not related to any potential subcontracts.</w:t>
      </w:r>
    </w:p>
    <w:p>
      <w:r>
        <w:t>568. Regarding the "PRD Corbas" project, Eurobéton sent KP1 its entire offer, even though KP1 only subcontracted a small portion of the market in question. There is no justification for Eurobéton sending its entire offer intended for the client at a very early stage of the market to one of its direct competitors, even though the latter subsequently became its supplier.</w:t>
      </w:r>
    </w:p>
    <w:p>
      <w:r>
        <w:t>569. Similarly, regarding the "Rocadest" market, KP1 sent Eurobéton its entire financial offer on January 8, 2016611, while the part to be subcontracted to Eurobéton only concerned the supply of panels612, which represented less than 10% of the market value. The fact that Eurobéton sent quotes to two competing companies related to this project after January 8, 2016613 indicates that the Rocadest project had not yet been awarded when KP1 sent its offer to Eurobéton. The exchange of information between KP1 and Eurobéton therefore occurred prior to the award date of this project, which characterizes the existence of an exchange of future information between these two companies regarding this project.</w:t>
      </w:r>
    </w:p>
    <w:p>
      <w:r>
        <w:t>570. Regarding the "Socamil" project, KP1 also sent its entire financial offer to Eurobéton, while the part related to the subcontracting only concerned the supply of panels representing less than 30% of the value of KP1's offer. Contrary to what Eurobéton claims in its submissions, there is no evidence that this project was the subject of a contract with KP1. The contract provided by Eurobéton in support of this allegation indeed relates to another project614.</w:t>
      </w:r>
    </w:p>
    <w:p>
      <w:r>
        <w:t>571. Regarding the "ITM" project located in Saint-Quentin Fallavier, KP1 sent five different quotes covering the entirety of this project, which was divided into several cells615. While the documents provided by Eurobéton confirm that this project was ultimately carried out in co-contracting by Eurobéton and KP1, it appears that the part co-contracted by KP1 represented less than 25% of the value of this project, so Eurobéton cannot claim this co-contracting relationship to justify receiving KP1's offer, which covers the entirety of the value of this project and not just the co-contracted part.</w:t>
      </w:r>
    </w:p>
    <w:p>
      <w:r>
        <w:t>572. Finally, Eurobéton argues that no element in the file allows for the assertion that the exchanges of quotes took place prior to the prices proposed to clients, nor that the parties influenced each other regarding their prices and offers, so it is not possible to conclude that the exchanges in question would have been likely to reduce the commercial autonomy of KP1 and Eurobéton. According to Eurobéton, no element attests to the individual submission by each of the parties to the various calls for tenders that were the subject of exchanges of quotes between Eurobéton and KP1.</w:t>
      </w:r>
    </w:p>
    <w:p>
      <w:r>
        <w:t>573. However, contrary to what Eurobéton claims, KP1 has communicated tables detailing the dates of sending these quotes to the client, which shows, on the one hand, that KP1 did indeed submit bids for the majority of the calls for tenders that were the subject of information exchanges with Eurobéton, and, on the other hand, that for some of these projects, the exchanges occurred prior616 or concurrently617 with the submission of KP1's offers or the awarding of contracts.</w:t>
      </w:r>
    </w:p>
    <w:p>
      <w:r>
        <w:t>574. It follows from all of the above that the practices implemented by the companies KP1, Eurobéton, and Strudal violate, by their anticompetitive object, the first paragraph of Article 101 TFEU and Article L. 420-1 of the Commercial Code.</w:t>
      </w:r>
    </w:p>
    <w:p>
      <w:r>
        <w:t>575. The Authority notes that there is not sufficient evidence in the file to establish the continuity of practices between October 11, 2013, and January 8, 2016. However, as stated in paragraph 358, the suspension of an anticompetitive practice for a determined period does not prevent it from being classified as a single infringement as long as, after its interruption, it was resumed under the same conditions.</w:t>
      </w:r>
    </w:p>
    <w:p>
      <w:r>
        <w:t>576. In this case, the qualification of the facts requires not to separate the practices implemented by the companies Eurobéton, KP1, and Strudal in the context of each of the specific calls for tenders by treating them as separate infringements, while they only constitute successive manifestations of identical conduct pursuing the same objective.</w:t>
      </w:r>
    </w:p>
    <w:p>
      <w:r>
        <w:t>577. The unique nature of the infringement over the entire period, before and after the suspension of practices, is deduced from the identity of both the modalities of implementation (exchanges of quotes justified by potential collaboration), the participants (Eurobéton, KP1, and Strudal), the individuals involved in the exchanges, the objectives of the practices (artificial increase of transparency in the concrete framework markets), the products concerned (the concrete framework projects), and the geographical scope concerned (French territory).</w:t>
      </w:r>
    </w:p>
    <w:p>
      <w:r>
        <w:t>578. It follows from the above that the companies Eurobéton and KP1 participated in a single and repeated infringement from December 14, 2011, to October 11, 2013, and from January 8, 2016, to October 3, 2018. The company Strudal, for its part, participated in the practices during the periods from September 5, 2012, to September 13, 2013, and from January 26, 2017, to March 5, 2018.</w:t>
      </w:r>
    </w:p>
    <w:p>
      <w:r>
        <w:t>6. ON THE MERITS OF GRIEVANCE 4</w:t>
      </w:r>
    </w:p>
    <w:p>
      <w:r>
        <w:t>a) On the materiality of the practices</w:t>
      </w:r>
    </w:p>
    <w:p>
      <w:r>
        <w:t>579. It follows from the findings made in points 158 to 178 above that, within the framework of a contractual relationship marked by the holding of a 10% minority stake by KPI in the capital of SPL, KP1 and SPL agreed on all aspects of SPL's commercial policy.</w:t>
      </w:r>
    </w:p>
    <w:p>
      <w:r>
        <w:t>580. This agreement results, on the one hand, from certain contractual clauses included in the agreements binding the two parties, in particular:</w:t>
        <w:br/>
        <w:t>- Article 7 of the supply and procurement contract stipulating that SPL could not sell the production not purchased by KP1 to any of its competitors618; and</w:t>
        <w:br/>
        <w:t>- Article 7 of the technical services contract relating to the non-poaching of the respective employees of each company619.</w:t>
      </w:r>
    </w:p>
    <w:p>
      <w:r>
        <w:t>581. On the other hand, various documents and exchanges demonstrate the holding of regular meetings and exchanges of sensitive information between KP1 and SPL relating in particular to the joint setting of prices and the allocation of clientele between these companies.</w:t>
      </w:r>
    </w:p>
    <w:p>
      <w:r>
        <w:t>b) On the qualification of the practices</w:t>
      </w:r>
    </w:p>
    <w:p>
      <w:r>
        <w:t>582. Firstly, SPL alleges that at the time of the conclusion of the contractual framework on December 15, 2010, it was financially and technically dependent on KP1, so that KP1 had de facto control over it. This control would result from the fact that KP1 entered the capital of SPL at a time when the latter was facing difficulties and had not yet developed its own technical expertise (design office, scheduling, technical opinions) allowing it to offer a complete proposal for the design, manufacture, and delivery of precast walls.</w:t>
      </w:r>
    </w:p>
    <w:p>
      <w:r>
        <w:rPr>
          <w:b/>
        </w:rPr>
        <w:t>[Pages 145–147]</w:t>
      </w:r>
    </w:p>
    <w:p>
      <w:r>
        <w:t>583. Nevertheless, such dependence, assuming it is proven, cannot lead to the conclusion that KP1, which held only a 10% share in the capital of SPL without veto rights, and SPL constituted a single and same entity within the meaning of Article L. 420-1 of the Commercial Code.</w:t>
      </w:r>
    </w:p>
    <w:p>
      <w:r>
        <w:t>584. Furthermore, in its observations on the report, SPL itself repeatedly claims its independence from KP1. Thus, it indicates that it "explicitly showed KP1 from the beginning of their relationship that it intended to remain free in its commercial policy" and "retained its autonomy in determining its market policy"620 and that it disregarded KP1's opposition to launch the production of precast slabs621 and continued to market its products to trading operators622.</w:t>
      </w:r>
    </w:p>
    <w:p>
      <w:r>
        <w:t>585. Secondly, SPL considers that, in the context of the disputed practice, the relationship between the accused parties was purely vertical, with SPL being merely the supplier of precast slabs to KP1. However, it is established, on the one hand, that throughout the duration of the practices (but also before and after), KP1 produced and marketed precast slabs in France. On the other hand, although at the time of launching its production unit, SPL was only active in the manufacture of precast slabs, it emerges from both SPL's observations and the documents in the file that it has expanded its activities through the development of its own technical expertise (creation of a design office, in particular). SPL has also diversified its activities by launching the production of precast slabs, a product in which KP1 is also active. As evidenced by the internal email from KP1 dated May 30, 2013, mentioned in paragraph 175 above, KP1 expressed its concern regarding the competition posed by SPL. Thus, SPL and KP1 were, from the early stages of their relationship, competitors – at least potential, but most often actual – in the segment of the manufacture and marketing of precast slabs.</w:t>
      </w:r>
    </w:p>
    <w:p>
      <w:r>
        <w:t>586. However, it follows from Article 2, paragraph 4 of Regulation (EU) 2022/720 of May 10, 2022, concerning the application of Article 101, paragraph 3, of the TFEU to categories of vertical agreements and concerted practices that the exemption provided for in Article 2, paragraph 1, of this regulation does not apply to vertical agreements between competing companies.</w:t>
      </w:r>
    </w:p>
    <w:p>
      <w:r>
        <w:t>587. The disputed practices must therefore be analyzed in light of the prohibition of agreements between competitors.</w:t>
      </w:r>
    </w:p>
    <w:p>
      <w:r>
        <w:t>588. Thirdly, SPL contests the qualification of the practices and considers that, in any event, these practices were necessary and justified in order to allow the entry of a new player into the precast slab manufacturing market.</w:t>
      </w:r>
    </w:p>
    <w:p>
      <w:r>
        <w:t>589. However, it is established that KP1 and SPL implemented practices concerning all aspects of SPL's economic life relating, in particular, to a common policy regarding customers, the pricing of precast concrete products, product studies, their marketing, customer sharing, and the non-poaching of their respective employees.</w:t>
      </w:r>
    </w:p>
    <w:p>
      <w:r>
        <w:t>590. It follows from the supply and procurement contract signed by the accused parties and communicated by KP1 that SPL committed not to sell the production not purchased by KP1 to any of its competitors. Contrary to what SPL indicates, the fact that this clause only concerns 50% of its production is irrelevant since the other half of KP1's production was, under this same contract, reserved for KP1.</w:t>
      </w:r>
    </w:p>
    <w:p>
      <w:r>
        <w:t>591. Regarding the prices charged by the two competitors, it emerges from the elements of the file that KP1 and SPL exchanged information regarding future price increases and resale prices applied to their respective customers.</w:t>
      </w:r>
    </w:p>
    <w:p>
      <w:r>
        <w:t>592. Regarding customer sharing, the two competitors agreed that smaller customers were reserved for SPL and the larger ones for KP1623. It is also established that the two competitors created a common customer database to track the distribution of volumes.</w:t>
      </w:r>
    </w:p>
    <w:p>
      <w:r>
        <w:t>593. Regarding non-poaching, the two competitors agreed not to recruit employees or corporate officers from the other party during the entire duration of the contract and for two years following its termination.</w:t>
      </w:r>
    </w:p>
    <w:p>
      <w:r>
        <w:t>594. Finally, it emerges from meeting minutes between the two competitors that they recurrently discussed customer distribution and balancing business volumes, as well as pricing increase objectives and minimum prices per product.</w:t>
      </w:r>
    </w:p>
    <w:p>
      <w:r>
        <w:t>595. Thus, the behaviors identified constitute an anticompetitive practice by object within the meaning of Article L. 420-1 of the Commercial Code.</w:t>
      </w:r>
    </w:p>
    <w:p>
      <w:r>
        <w:t>596. Insofar as SPL does not provide elements allowing for the consideration that this practice could be exempted on the basis of I of Article L. 420-4 of the Commercial Code, it should be considered that, by entering into the contracts of December 15, 2010, and the regular exchanges that followed in this context, KP1 and SPL violated Article L. 420-1 of the Commercial Code.</w:t>
      </w:r>
    </w:p>
    <w:p>
      <w:r>
        <w:t>597. This infringement is established from the date of conclusion of the contracts, December 15, 2010, until their expiration, December 15, 2017.</w:t>
      </w:r>
    </w:p>
    <w:p>
      <w:r>
        <w:t>7. ON THE MERITS OF GRIEVANCE 5</w:t>
      </w:r>
    </w:p>
    <w:p>
      <w:r>
        <w:t>598. It follows from the findings made in paragraphs 179 to 185 that the grievance notified to Fidal is based on three series of elements:</w:t>
        <w:br/>
        <w:t>− a training material prepared on November 22, 2007, by Fidal for the FIB;</w:t>
        <w:br/>
        <w:t>− several elements revealing the organization of various trainings by this law firm for employees of Rector between 2012 and 2014;</w:t>
        <w:br/>
        <w:t>− statements from January 21, 2016, and March 14, 2019, from two former employees of Rector mentioning the holding of trainings for Rector employees in 2014 by a lawyer from the firm.</w:t>
      </w:r>
    </w:p>
    <w:p>
      <w:r>
        <w:t>599. Fidal considers that the investigative services have not demonstrated that it was aware of the existence of an agreement between its clients and other operators in the precast concrete products sector nor, a fortiori, the intention to participate in it. Fidal emphasizes in this regard that:</w:t>
        <w:br/>
        <w:t>− concerning the 2007 presentation, contrary to what the investigative services indicate, no element of this material allows for the conclusion that Fidal encouraged the FIB or its members to destroy evidence;</w:t>
        <w:br/>
        <w:t>− concerning the trainings that took place between 2012 and 2014, the investigative services did not criticize their content, which falls within the normal exercise of a law firm's activity;</w:t>
        <w:br/>
        <w:t>− concerning the statements of the former employees of Rector, they do not corroborate, they are imprecise, and they are not confirmed by any element in the file.</w:t>
      </w:r>
    </w:p>
    <w:p>
      <w:r>
        <w:t>600. As a preliminary point, the Authority notes that, between the training material from 2007 prepared for the FIB and the two statements from 2016 mentioning the holding of trainings within Rector in 2014, only elements revealing the holding of trainings, the content of which is not criticized by the investigative services, are present in the file and which, therefore, cannot reveal adherence to a continuous practice of facilitating collusion that would have begun in 2007 and continued until 2014, within the meaning of the case law mentioned in paragraphs 355 to 358.</w:t>
      </w:r>
    </w:p>
    <w:p>
      <w:r>
        <w:t>601. Thus, the Authority will not be able to verify the compatibility with Articles 101 of the TFEU and L. 420-1 of the Commercial Code of the training material from 2007, on the one hand, and the statements mentioning the holding of trainings in 2014, on the other hand.</w:t>
      </w:r>
    </w:p>
    <w:p>
      <w:r>
        <w:t>602. First, given the ten-year limitation period provided for in Article L. 462-7 of the Commercial Code, recalled above in paragraph 291, the Authority cannot sanction a possible anticompetitive practice demonstrated by the training material of November 22, 2007. Moreover, the Authority notes that although this presentation provides specific advice to a company regarding the concealment of evidence of potentially anticompetitive behaviors that could fall under the qualification of facilitating collusion or obstructing the detection of anticompetitive practices, it should be noted that it does not, on its own, demonstrate that Fidal was actually aware of the existence of an agreement between companies that are members of the FIB, within the meaning of the case law recalled in paragraphs 366 to 371 above.</w:t>
      </w:r>
    </w:p>
    <w:p>
      <w:r>
        <w:t>603. Secondly, regarding the statements of the former employees of Rector, the Authority considers that they are imprecise regarding the location, the identity of the trainer, and the date of the alleged trainings and, in any case, they do not demonstrate that Fidal was aware of the ongoing agreement between different actors in the sector and that it would have participated, through its behavior, in achieving the objectives of the agreement.</w:t>
      </w:r>
    </w:p>
    <w:p>
      <w:r>
        <w:t>604. In light of these elements, and without it being necessary to rule on the other arguments of Fidal, it is appropriate not to pursue the practices referred to in grievance 5.</w:t>
      </w:r>
    </w:p>
    <w:p>
      <w:r>
        <w:t>8. ON THE IMPLEMENTATION OF THE OBSTRUCTION PROCEDURE</w:t>
      </w:r>
    </w:p>
    <w:p>
      <w:r>
        <w:t>a) Reminder of the principles</w:t>
      </w:r>
    </w:p>
    <w:p>
      <w:r>
        <w:t>605. In accordance with paragraph 2 of V of Article L. 464-2 of the Commercial Code, "when a company or an association of companies has obstructed the investigation or the instruction, notably by providing incomplete or inaccurate information, or by communicating incomplete or distorted documents, the Authority may, at the request of the general rapporteur, and after hearing the company in question and the Government Commissioner, decide to impose a financial penalty. The maximum amount of this penalty may not exceed 1% of the highest amount of worldwide turnover excluding taxes achieved during one of the financial years closed since the financial year preceding that during which the practices were implemented."</w:t>
      </w:r>
    </w:p>
    <w:p>
      <w:r>
        <w:rPr>
          <w:b/>
        </w:rPr>
        <w:t>[Pages 148–150]</w:t>
      </w:r>
    </w:p>
    <w:p>
      <w:r>
        <w:t>606. In accordance with the first paragraph of section I of Article L. 450-1 of the Commercial Code, “[t]he agents of the investigation services of the Competition Authority authorized for this purpose by the general rapporteur may carry out any investigation necessary for the application of the provisions of Titles II and III of this book.”</w:t>
      </w:r>
    </w:p>
    <w:p>
      <w:r>
        <w:t>607. Among the investigative measures in question are those mentioned in the fourth paragraph of Article L. 450-3 of the Commercial Code, which states that “the agents [of the investigation services of the Authority] may require the communication of books, invoices, and other professional documents and obtain or take copies of these documents by any means and on any medium. They may also collect, on-site or upon summons, any information, document, or justification necessary for the control.”</w:t>
      </w:r>
    </w:p>
    <w:p>
      <w:r>
        <w:t>608. As the Authority pointed out in its decision No. 21-D-28624, confirmed by the Court of Appeal of Paris625, it is in light of the obligation to respond actively, diligently, and in good faith to requests for information that weighs on any company subject to an investigation conducted by the Authority that the breaches constituting an obstruction should be assessed.</w:t>
      </w:r>
    </w:p>
    <w:p>
      <w:r>
        <w:t>609. The second paragraph of section V of the aforementioned Article L. 464-2 states that obstruction may result notably from the provision by the company of incomplete or inaccurate information, or from the communication of incomplete or distorted documents. The Authority's decision-making practice has noted that the enumeration of forms of obstruction in the legal provisions is not exhaustive, but that obstruction in the sense of these provisions broadly covers any behavior of the company aimed, deliberately or negligently, at hindering, by any means, the progress of the investigation or inquiry, or delaying it626.</w:t>
      </w:r>
    </w:p>
    <w:p>
      <w:r>
        <w:t>610. Thus, the refusal to provide the requested information or documents within the prescribed time, as well as the failure to correct an incorrect or incomplete response, may constitute an obstruction, as long as this refusal or omission hinders the investigative powers conferred on the agents of the Authority.</w:t>
      </w:r>
    </w:p>
    <w:p>
      <w:r>
        <w:t>611. The Constitutional Council has confirmed this interpretation of the notion of obstruction, considering that “obstruction to investigative or inquiry measures is understood as any hindrance to the progress of these measures, attributable to the company, whether intentional or resulting from negligence”627.</w:t>
      </w:r>
    </w:p>
    <w:p>
      <w:r>
        <w:t>612. The same applies in Union law, which, in accordance with section I of Article 23 of Regulation No. 1/2003628, penalizes obstruction offenses committed deliberately or through negligence. The analysis of European case law allows us to conclude that it is not only “the intention to mislead the investigators” that is sanctioned under obstruction in the cited cases. The negligence of the company, or its passivity, which is likely to compromise the effectiveness of the investigators' actions, can alone constitute an offense. Thus, the Court of the Union ruled, as early as 1994, that “[d]ue to the obligation of active collaboration imposed on the concerned individuals during the preliminary investigation procedure, a passive reaction may justify, on its own, the adoption of a formal decision under Article 11, paragraph 5, of Regulation No. 17 [repealed by Regulation No. 1/2003]”629.</w:t>
      </w:r>
    </w:p>
    <w:p>
      <w:r>
        <w:t>b) Application to the case at hand</w:t>
      </w:r>
    </w:p>
    <w:p>
      <w:r>
        <w:t>613. In its observations in response to the notification of grievances, Eurobéton indicates that it provided incorrect information to the investigation services regarding the date on which VAMTAJ took control of Eurobéton. The company VAMTAJ was actually created in December 2016 and not in September 2018 as indicated by Eurobéton in its response to the questionnaire of July 21, 2021, on imputability630.</w:t>
      </w:r>
    </w:p>
    <w:p>
      <w:r>
        <w:t>614. As a result, VAMTAJ's responsibility as the parent company of Eurobéton should have been retained for the period from December 14, 2016, to October 25, 2018, and not only for the period from September to October 2018 as mentioned in the notification of grievances. Thus, this incorrect information directly resulted in the notification of the grievance to VAMTAJ for a duration much shorter than the duration that actually concerned it.</w:t>
      </w:r>
    </w:p>
    <w:p>
      <w:r>
        <w:t>615. Eurobéton only corrected the information provided to the investigation services regarding the date of creation of VAMTAJ in its observations in response to the notification of grievances and not immediately after realizing this error.</w:t>
      </w:r>
    </w:p>
    <w:p>
      <w:r>
        <w:t>616. In its observations in response to the report, Eurobéton claims that this material error was unintentional and asserts that it corrected it immediately, “as soon as it became aware of it” in the context of its observations in response to the notification of grievances. According to Eurobéton, this error could not have had any practical consequences on the investigation conducted nor on the amount of any potential sanction and thus, even if the correction had been made earlier, it would not have justified a supplementary notification of grievances631.</w:t>
      </w:r>
    </w:p>
    <w:p>
      <w:r>
        <w:t>617. However, Eurobéton should have immediately informed the investigation services of the error found and, in any case, before submitting its observations in response to the notification of grievances. The investigation services only discovered this correction upon reading Eurobéton's observations. Any supplementary notification of grievances at this advanced stage of the procedure would have caused significant delays for all parties involved in the case. Eurobéton thus obstructed the effectiveness of the actions of the investigation services and consequently of the Authority. Therefore, by providing the investigation services with incorrect information and failing to correct it in a timely manner, Eurobéton obstructed the investigation of the ongoing case within the meaning of section V of Article L. 464-2 of the Commercial Code.</w:t>
      </w:r>
    </w:p>
    <w:p>
      <w:r>
        <w:t>629 Judgment of the Court of November 9, 1994, Scottish Football Association/Commission, T-46/92, paragraph 31 (clarification added).</w:t>
      </w:r>
    </w:p>
    <w:p>
      <w:r>
        <w:t>630 References 7285 to 7314, 32181.</w:t>
      </w:r>
    </w:p>
    <w:p>
      <w:r>
        <w:t>631 References 35242 to 35244.</w:t>
      </w:r>
    </w:p>
    <w:p>
      <w:r>
        <w:t>E. ON IMPUTABILITY</w:t>
      </w:r>
    </w:p>
    <w:p>
      <w:r>
        <w:t>1. RECALL OF APPLICABLE PRINCIPLES</w:t>
      </w:r>
    </w:p>
    <w:p>
      <w:r>
        <w:t>a) On the imputability of a practice to an economic unit</w:t>
      </w:r>
    </w:p>
    <w:p>
      <w:r>
        <w:t>618. It follows from consistent case law that Articles 101 and 102 TFEU, as well as Articles L. 420-1 and L. 420-2 of the Commercial Code, relate to offenses committed by companies. The notion of a company and the rules that derive from this notion under which the behavior of one company can be attributed to another company, notably to its parent company, fall under the substantive rules of Union competition law. The interpretation given by the Union courts therefore binds the national competition authority and national courts when applying Articles 101 and 102 TFEU alongside the internal competition rules of the Commercial Code632.</w:t>
      </w:r>
    </w:p>
    <w:p>
      <w:r>
        <w:t>619. The notion of a company in the sense of Union case law refers to any entity that engages in economic activity, regardless of its legal status and mode of financing633. It should be understood as designating an economic unit even if, from a legal point of view, this economic unit is made up of several natural or legal persons634. It is this economic entity that must, when it infringes competition rules, be held accountable for this infringement in accordance with the principle of personal responsibility635.</w:t>
      </w:r>
    </w:p>
    <w:p>
      <w:r>
        <w:t>b) On imputability in the case of transformation of companies</w:t>
      </w:r>
    </w:p>
    <w:p>
      <w:r>
        <w:t>620. It follows from consistent case law that as long as the legal entity responsible for the operation of the company that has engaged in practices infringing competition rules legally exists, it must be held responsible for these practices.</w:t>
      </w:r>
    </w:p>
    <w:p>
      <w:r>
        <w:rPr>
          <w:b/>
        </w:rPr>
        <w:t>[Pages 151–153]</w:t>
      </w:r>
    </w:p>
    <w:p>
      <w:r>
        <w:t>If this legal entity has changed its name or legal form, it nonetheless continues to be liable for the offense committed.</w:t>
      </w:r>
    </w:p>
    <w:p>
      <w:r>
        <w:t>621. On the other hand,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effectively ensures its economic and functional continuity.</w:t>
      </w:r>
    </w:p>
    <w:p>
      <w:r>
        <w:t>622. Similarly, under Union law, it follows from the case law of the Court that "when the company in question ceases to exist due to being absorbed by a purchaser, the latter takes over its assets and liabilities, including its responsibilities for violations of Community law (...). In this case, liability for the offense committed by the absorbed company can be attributed to the purchaser."</w:t>
      </w:r>
    </w:p>
    <w:p>
      <w:r>
        <w:t>c) On the attribution within a group of companies</w:t>
      </w:r>
    </w:p>
    <w:p>
      <w:r>
        <w:t>623. Under both domestic law and Union law, within a group of companies, the behavior of a subsidiary can be attributed to the parent company when, although having a distinct legal personality, this subsidiary does not autonomously determine its behavior in the market, but essentially applies the instructions given to it by the parent company, in light of the economic, organizational, and legal links that unite these two entities.</w:t>
      </w:r>
    </w:p>
    <w:p>
      <w:r>
        <w:t>624. When a parent company holds, directly or indirectly through an intermediary company, all or nearly all of the capital of its subsidiary that has engaged in unlawful behavior, there is a presumption that this parent company exerts a determining influence on the behavior of its subsidiary. In this case, it is sufficient for the competition authority to provide evidence of this capital holding to attribute the behavior of the subsidiary that engaged in the practices to the parent company.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w:t>
      </w:r>
    </w:p>
    <w:p>
      <w:r>
        <w:t>625. Furthermore, as recalled by the Court of Cassation in a judgment of October 18, 2017, the fact that a company is a non-operational holding company providing financial direction, particularly by coordinating financial investments within the group, is not sufficient to exclude the exercise of a determining influence over its subsidiaries, and the non-interference of the holding company in the activities of the subsidiary is not sufficient to overturn this presumption.</w:t>
      </w:r>
    </w:p>
    <w:p>
      <w:r>
        <w:t>626. If, on the other hand, a parent company does not hold, directly or indirectly through an intermediary company, all or nearly all of the capital of its subsidiary that has engaged in unlawful behavior, it is necessary to verify that the parent company actually exerts a determining influence on the behavior of its subsidiary and, in particular, a direction power over it. In such a case, it is appropriate to take into account all relevant elements specific to the circumstances of the case, relating to the economic, organizational, and legal links that unite the subsidiary to the parent company, in order to establish whether a subsidiary autonomously determines its behavior in the market, such as capital links, the identity of the directors, the existence of a decision-making power of the parent company over its subsidiary, the instructions, directives, or obligations imposed on the subsidiary, or the definition of the business strategy by the parent company.</w:t>
      </w:r>
    </w:p>
    <w:p>
      <w:r>
        <w:t>2. APPLICATION TO THE CASE AT HAND</w:t>
      </w:r>
    </w:p>
    <w:p>
      <w:r>
        <w:t>a) Attribution of practices to KP1</w:t>
      </w:r>
    </w:p>
    <w:p>
      <w:r>
        <w:t>627. It should be noted, as the author of the practices, the liability of KP1 SAS for grievances 1, 2, and 4, and that of KP1 Bâtiments for grievance 3.</w:t>
      </w:r>
    </w:p>
    <w:p>
      <w:r>
        <w:t>628. Furthermore, the liability of the company KP1 SAS must be retained for grievance 3, in its capacity as the parent company holding all the capital of KP1 Bâtiments and presumed, therefore, to have exercised a determining influence on the behavior of its subsidiary and the subsidiaries of the latter during the period of commission of the practices.</w:t>
      </w:r>
    </w:p>
    <w:p>
      <w:r>
        <w:t>629. Similarly, the liability of the company KP1 Services must be retained for these four grievances as the parent company of KP1 SAS and KP1 Bâtiments and presumed to have exercised a determining influence on their behavior during the period of commission of the practices.</w:t>
      </w:r>
    </w:p>
    <w:p>
      <w:r>
        <w:t>630. Finally, the liability of the company K Alpha SA, a company under Luxembourg law, must also be retained for the four grievances in its capacity as the ultimate parent company indirectly holding all the capital of the company KP1 Services and presumed to have exercised a determining influence on the behavior of its subsidiaries during the period of commission of the practices. For these same reasons, the liability of the company K Alpha 1 SARL, a company created following a restructuring on September 5, 2018, and controlling from that date the company K Alpha SA by holding all or nearly all of the capital of the latter, will be retained as the ultimate parent company from September 5, 2018, until the end of the period of commission of the practices for grievances 1, 2, and 3.</w:t>
      </w:r>
    </w:p>
    <w:p>
      <w:r>
        <w:t>631. KP1 does not contest this point.</w:t>
      </w:r>
    </w:p>
    <w:p>
      <w:r>
        <w:t>b) Attribution of practices to Rector</w:t>
      </w:r>
    </w:p>
    <w:p>
      <w:r>
        <w:t>632. It should be noted, as the authors of the practices, the liability of Rector Lesage for grievance 1 and that of Rector Lesage and Planchers Fabre for grievance 2.</w:t>
      </w:r>
    </w:p>
    <w:p>
      <w:r>
        <w:t>633. Furthermore, the liability of the company Rector Lesage must be retained for grievance 2 as the parent company of Planchers Fabre and presumed to have exercised a determining influence on its behavior during the period of commission of the practices.</w:t>
      </w:r>
    </w:p>
    <w:p>
      <w:r>
        <w:t>634. Between 2008 and 2013, the capital of the company Rector Lesage was held 99.97% by the company Lesage Industrie du Béton. From 2013 to 2018, this holding was reduced to 88.18% of the capital, the remaining share being held by the company Basaltes SA, without this holding granting the latter any rights allowing it to exercise a determining influence over Rector Lesage.</w:t>
      </w:r>
    </w:p>
    <w:p>
      <w:r>
        <w:t>635. Consequently, the liability of the company Lesage Industrie du Béton must also be retained for grievances 1 and 2, in its capacity as the ultimate parent company presumed to have exercised a determining influence on the behavior of its subsidiaries during the period of commission of the practices.</w:t>
      </w:r>
    </w:p>
    <w:p>
      <w:r>
        <w:t>636. The Rector group does not contest this point.</w:t>
      </w:r>
    </w:p>
    <w:p>
      <w:r>
        <w:t>c) Attribution of practices to A2C</w:t>
      </w:r>
    </w:p>
    <w:p>
      <w:r>
        <w:t>637. It should be noted, for grievance 1, the liability of the company A2C Préfa as the author of the practices.</w:t>
      </w:r>
    </w:p>
    <w:p>
      <w:r>
        <w:t>638. It follows from the elements communicated by the company that since 2008, the capital of the company A2C Préfa has been primarily held by Mr. X..., with a holding fluctuating between 35% and 38.083%, and by the company A2C Matériaux with a holding varying from 34.7% to 47.9%, a company itself controlled by members of the X... family, including Mr. X..., who holds a stake fluctuating between 48.9% and 49.5%.</w:t>
      </w:r>
    </w:p>
    <w:p>
      <w:r>
        <w:rPr>
          <w:b/>
        </w:rPr>
        <w:t>[Pages 154–156]</w:t>
      </w:r>
    </w:p>
    <w:p>
      <w:r>
        <w:t>639. Furthermore, regarding the company A2C Matériaux, although it does not hold the entirety or even the majority of the capital of A2C Préfa, these two companies are nonetheless managed by the same person, Mr. X..., general director of A2C Préfa and chairman of the management board of A2C Matériaux SA and, from 2012, general director of A2C Matériaux SAS. Mr. X... himself holds a significant stake, amounting to approximately 49%, in the share capital of A2C Matériaux. In light of the principles recalled in paragraph 626 above, it should be considered that the company A2C Matériaux exercised a decisive influence over A2C Préfa and, consequently, its liability should be retained under grievance 1 during the period of the practices.</w:t>
      </w:r>
    </w:p>
    <w:p>
      <w:r>
        <w:t>640. The companies of the A2C group do not contest this point.</w:t>
      </w:r>
    </w:p>
    <w:p>
      <w:r>
        <w:t>d) Attribution of practices to Soprel</w:t>
      </w:r>
    </w:p>
    <w:p>
      <w:r>
        <w:t>641. It should be noted, under grievance 1, the liability of the company Groupe Soprel as the author of the practices.</w:t>
      </w:r>
    </w:p>
    <w:p>
      <w:r>
        <w:t>642. Furthermore, the liability of the company Soprel Group Entreprises, a holding company that holds the entirety of the capital of its subsidiary, should be retained as a parent company presumed to have exercised a decisive influence over its behavior during the period of the practices.</w:t>
      </w:r>
    </w:p>
    <w:p>
      <w:r>
        <w:t>643. The companies of the Soprel group do not contest this point.</w:t>
      </w:r>
    </w:p>
    <w:p>
      <w:r>
        <w:t>e) Attribution of practices to SEAC</w:t>
      </w:r>
    </w:p>
    <w:p>
      <w:r>
        <w:t>644. It should be noted, under grievance 1, the liability of the company SEAC as the author of the practices for the entire period of their commission.</w:t>
      </w:r>
    </w:p>
    <w:p>
      <w:r>
        <w:t>645. Furthermore, the liability of the company SOFIB, which holds almost all of the capital of SEAC, will be retained as a parent company presumed to have exercised a decisive influence over its behavior during the period of the practices.</w:t>
      </w:r>
    </w:p>
    <w:p>
      <w:r>
        <w:t>646. The companies of the SEAC group do not contest this point.</w:t>
      </w:r>
    </w:p>
    <w:p>
      <w:r>
        <w:t>f) Attribution of practices to SLM</w:t>
      </w:r>
    </w:p>
    <w:p>
      <w:r>
        <w:t>647. It should be noted, under grievance 1, the liability of the company Saint-Léonard Matériaux as the author for its participation in the commission of the practices.</w:t>
      </w:r>
    </w:p>
    <w:p>
      <w:r>
        <w:t>648. Furthermore, the liability of the company Groupe Saint-Léonard, which directly held the entirety of the share capital of the company Saint-Léonard Matériaux, will be retained as a parent company presumed to have exercised a decisive influence over its behavior from 2012 onwards.</w:t>
      </w:r>
    </w:p>
    <w:p>
      <w:r>
        <w:t>649. The companies Groupe Saint-Léonard and Saint-Léonard Matériaux do not contest this point.</w:t>
      </w:r>
    </w:p>
    <w:p>
      <w:r>
        <w:t>g) Attribution of practices to Strudal</w:t>
      </w:r>
    </w:p>
    <w:p>
      <w:r>
        <w:t>650. It should be noted, under grievances 1 and 3, the liability of the company Strudal as the author.</w:t>
      </w:r>
    </w:p>
    <w:p>
      <w:r>
        <w:t>651. Furthermore, it is established that during the duration of the practices, the share capital of Strudal was held 68% by the company DAL Industries SAS, which became DAL Industries Sprl, a Belgian law company, from 2016, and 31% by Y..., manager of DAL Industries Sprl and owner of 96% of the shares of the latter. In light of the majority ownership of Strudal's capital by the company DAL Industries Sprl and the indirect holding of almost all of this capital by the same individual, who is also the manager of this parent company, it is permissible to consider that the company DAL Industries Sprl exercised a decisive influence over the behavior of its subsidiary during the period of the practices. The liability of this company will therefore be retained under grievances 1 and 3.</w:t>
      </w:r>
    </w:p>
    <w:p>
      <w:r>
        <w:t>652. This point is not contested by Strudal.</w:t>
      </w:r>
    </w:p>
    <w:p>
      <w:r>
        <w:t>h) Attribution of practices to FB</w:t>
      </w:r>
    </w:p>
    <w:p>
      <w:r>
        <w:t>653. It should be noted, under grievance 1, the liability of the company FB Groupe France (formerly Echo France, until May 2018) as the author.</w:t>
      </w:r>
    </w:p>
    <w:p>
      <w:r>
        <w:t>654. Furthermore, the company Industry Partner, a Luxembourg law company, acquired the entirety of the capital of Echo France in 2013. It is therefore presumed to have exercised a decisive influence over Echo France, renamed FB Groupe France, during the period of the practices. Its liability will therefore be retained as a parent company.</w:t>
      </w:r>
    </w:p>
    <w:p>
      <w:r>
        <w:t>655. The companies of the FB group raise, in their observations to the notification of grievances, objections regarding the choice of the investigating services to attribute the practices to certain companies of the group. However, these objections relate to circumstances prior to the start of the practices retained in this decision against FB and therefore do not need to be examined.</w:t>
      </w:r>
    </w:p>
    <w:p>
      <w:r>
        <w:t>i) Attribution of practices to IB</w:t>
      </w:r>
    </w:p>
    <w:p>
      <w:r>
        <w:t>656. It should be noted, under grievance 1, the liability of the company L’Industrielle du Béton SAS as the author of the practices.</w:t>
      </w:r>
    </w:p>
    <w:p>
      <w:r>
        <w:t>657. Furthermore, the liability of the company CRH France, which held during the period of the practices the entirety of the share capital of the company L’Industrielle du Béton, should be retained as a parent company presumed to have exercised a decisive influence over the behavior of the latter.</w:t>
      </w:r>
    </w:p>
    <w:p>
      <w:r>
        <w:t>658. For the same reasons, the liability of the company CRH plc., an Irish law company, which held during the period of the practices the entirety or almost the entirety of the capital of CRH France through several intermediary companies, will be retained as a parent company presumed to have exercised a decisive influence over the behavior of its subsidiary, L’Industrielle du Béton.</w:t>
      </w:r>
    </w:p>
    <w:p>
      <w:r>
        <w:t>659. This point is not contested.</w:t>
      </w:r>
    </w:p>
    <w:p>
      <w:r>
        <w:t>j) Attribution of practices to Eurobéton</w:t>
      </w:r>
    </w:p>
    <w:p>
      <w:r>
        <w:t>660. It should be noted, under grievance 3, the liability of the company Eurobéton as the author of the practices.</w:t>
      </w:r>
    </w:p>
    <w:p>
      <w:r>
        <w:t>661. The company Eurobéton was acquired in November 2013 by the company PBM Groupe, whose capital was entirely held by the company JAV Investissement. Between 2013 and 2018, the share of PBM Groupe in the share capital of Eurobéton fluctuated between [90 - 100%].</w:t>
      </w:r>
    </w:p>
    <w:p>
      <w:r>
        <w:t>662. Since December 6, 2016, the capital of the company JAV Investissement has been entirely held by the company VAMTAJ, a Luxembourg law company.</w:t>
      </w:r>
    </w:p>
    <w:p>
      <w:r>
        <w:t>663. The parties seek to overturn the presumption of decisive influence in order to contest the attribution of the practices to JAV Investissement and VAMTAJ. They argue that Eurobéton is actually managed by the company TNA Conseil, particularly by its manager, Mr. W..., under a "management and direction agreement" signed between TNA Conseil and the company PBM Groupe. Under this agreement, [confidential].</w:t>
      </w:r>
    </w:p>
    <w:p>
      <w:r>
        <w:t>664. The parties further argue that Eurobéton has no common manager with JAV Investissement and would only be included in the consolidation perimeter of VAMTAJ since September 30, 2018. They also claim that VAMTAJ is a financial holding company whose purpose is limited to asset management for the benefit of its shareholder.</w:t>
      </w:r>
    </w:p>
    <w:p>
      <w:r>
        <w:t>665. These arguments will be dismissed.</w:t>
      </w:r>
    </w:p>
    <w:p>
      <w:r>
        <w:t>666. First, it follows from consistent case law, recalled in paragraph 625 above, that the fact that a company is a non-operational holding company that provides financial direction by coordinating, among other things, financial investments within the group, is not sufficient to exclude the exercise of a decisive influence over its subsidiaries. Likewise, the non-interference of this holding company in the activities of the subsidiary is not sufficient to overturn this presumption. The diversity of activities, the configuration of the group, and the geographical distance of the parent company are, in this regard, irrelevant in light of this case law.</w:t>
      </w:r>
    </w:p>
    <w:p>
      <w:r>
        <w:t>667. Second, the exact terms of the "management and direction agreement" contradict the parties' arguments. It indeed follows from this agreement that [confidential].</w:t>
      </w:r>
    </w:p>
    <w:p>
      <w:r>
        <w:t>668. The parties argue that in this case, [confidential].</w:t>
      </w:r>
    </w:p>
    <w:p>
      <w:r>
        <w:t>669. On the contrary, it follows from the terms of the agreement that the company TNA Conseil, [confidential]. The parties' argument on this point essentially asserts that TNA Conseil should adhere to a policy that it sets itself.</w:t>
      </w:r>
    </w:p>
    <w:p>
      <w:r>
        <w:t>670. Moreover, the "management and direction agreement" submitted to the debates dates from [confidential] and is therefore not relevant for assessing the decisive influence within the group for the entire preceding period.</w:t>
      </w:r>
    </w:p>
    <w:p>
      <w:r>
        <w:t>671. Consequently, the arguments put forward by the parties are not sufficient to overturn the presumption that the companies JAV Investissement and VAMTAJ exercised a decisive influence during the practices.</w:t>
      </w:r>
    </w:p>
    <w:p>
      <w:r>
        <w:rPr>
          <w:b/>
        </w:rPr>
        <w:t>[Pages 157–159]</w:t>
      </w:r>
    </w:p>
    <w:p>
      <w:r>
        <w:t>the period of commission of the practices a determining influence on the behavior of the company Eurobéton, of which they indirectly held the entire capital.</w:t>
      </w:r>
    </w:p>
    <w:p>
      <w:r>
        <w:t>672. The liability of JAV Investissement will therefore be retained for the entire period of commission of the practices, and that of VAMTAJ for the period extending from December 6, 2016, to October 5, 2018.</w:t>
      </w:r>
    </w:p>
    <w:p>
      <w:r>
        <w:t>k) Attribution of practices to SPL</w:t>
      </w:r>
    </w:p>
    <w:p>
      <w:r>
        <w:t>673. It is appropriate to hold, under grievance 4, the liability of the Société de Préfabrication de Landaul, as the author of the practices. The company does not contest this conclusion.</w:t>
      </w:r>
    </w:p>
    <w:p>
      <w:r>
        <w:t>F. ON FINANCIAL SANCTIONS</w:t>
      </w:r>
    </w:p>
    <w:p>
      <w:r>
        <w:t>674. The principles relating to the determination of sanctions will be addressed successively (1), the determination of the base amount of the sanction (2), the elements of individualization of the sanction (3), and the final adjustments (4).</w:t>
      </w:r>
    </w:p>
    <w:p>
      <w:r>
        <w:t>1. THE PRINCIPLES RELATING TO THE DETERMINATION OF SANCTIONS</w:t>
      </w:r>
    </w:p>
    <w:p>
      <w:r>
        <w:t>a) The applicable law</w:t>
      </w:r>
    </w:p>
    <w:p>
      <w:r>
        <w:t>675. The provisions of I of Article L. 464-2 of the Commercial Code and Article 5 of Council Regulation (EC) No. 1/2003 of December 16, 2002 empower the Authority to impose a financial sanction on companies and organizations engaging in anticompetitive practices prohibited by Articles L. 420-1 of the Commercial Code and 101 of the TFEU.</w:t>
      </w:r>
    </w:p>
    <w:p>
      <w:r>
        <w:t>676. The third paragraph of I of Article L. 464-2 of the Commercial Code, in its version applicable to the present case,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r>
    </w:p>
    <w:p>
      <w:r>
        <w:t>677. Under the fourth paragraph of I of Article L. 464-2 of the Commercial Code, "the maximum amount of the sanction is, for a company,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b) On the application of the sanctions communiqué of July 30, 2021</w:t>
      </w:r>
    </w:p>
    <w:p>
      <w:r>
        <w:t>678. The Authority assesses the legal criteria for calculating sanctions according to the modalities described in its communiqué of July 30, 2021, relating to the method of determining financial sanctions (hereinafter "the sanctions communiqué"), unless "[a]fter a global analysis of the particular circumstances of the case, particularly in light of the characteristics of the practices in question, the activities of the parties involved, and the economic and legal context of the case, or for reasons of general interest, [it decides] to deviate from it, justifying this choice."</w:t>
      </w:r>
    </w:p>
    <w:p>
      <w:r>
        <w:t>679. KP1, Rector, Soprel, and Strudal argue that the sanctions communiqué should not apply, given the principle of non-retroactivity of more severe criminal law.</w:t>
      </w:r>
    </w:p>
    <w:p>
      <w:r>
        <w:t>680. In particular, Rector, relying on a ruling from the Court of Cassation of March 17, 2015, argues that the sanctions communiqué can only be applied if it fits within the existing legal framework, if it does not modify and merely clarifies the method followed by the Authority to implement the criteria set by Article L. 464-2 of the Commercial Code, and if it does not allow for the assumption that an aggravation of sanctions will automatically result from its implementation. However, for Rector, these three conditions are not met.</w:t>
      </w:r>
    </w:p>
    <w:p>
      <w:r>
        <w:t>681. First, Rector argues that the sanctions communiqué does not fit within the existing legal framework, because it results from legislative provisions adopted after the commission of the practices noted and qualified in the notification of grievances. Rector believes that this legal framework includes, through the amendments made to Article L. 464-2 of the Commercial Code, substantial changes regarding the criteria for determining the amount of financial sanctions, particularly the introduction of the duration of the infringement as a standalone criterion for this determination, the removal of the notion of damage caused to the economy, and the establishment of a new legal ceiling for sanctions for associations of companies.</w:t>
      </w:r>
    </w:p>
    <w:p>
      <w:r>
        <w:t>682. Secondly, the sanctions communiqué would provide, for the calculation of sanctions, changes in method likely to substantially increase the amount of the sanctions incurred, notably an additional "entry fee" or "ticket" of 15% to 25% of the value of sales.</w:t>
      </w:r>
    </w:p>
    <w:p>
      <w:r>
        <w:t>683. Thirdly, in light of a comparative simulation of the fines incurred under the sanctions communiqué or the previous version of said communiqué, Rector concludes that the base amount of the sanction would be doubled in the first case.</w:t>
      </w:r>
    </w:p>
    <w:p>
      <w:r>
        <w:t>684. The other companies contesting the application of the sanctions communiqué put forward similar arguments. KP1, for its part, emphasizes that the introduction of the "entry ticket" and the consideration of duration for calculating fines lead to "an automatic and considerable aggravation" of the amount of the sanction incurred, even though they were "absolutely not foreseeable" at the time of the commission of the offenses. Soprel invokes this same lack of foreseeability to argue that applying the sanctions communiqué would also infringe the principles of legitimate trust and legal certainty.</w:t>
      </w:r>
    </w:p>
    <w:p>
      <w:r>
        <w:t>685. Thus, several principles, particularly that of the non-retroactivity of more severe criminal law, should lead, according to the accused, to exclude the application of the sanctions communiqué in favor of its 2011 version.</w:t>
      </w:r>
    </w:p>
    <w:p>
      <w:r>
        <w:t>686. These arguments will be rejected.</w:t>
      </w:r>
    </w:p>
    <w:p>
      <w:r>
        <w:t>687. As a preliminary point, it should be recalled that the law grants the Authority broad discretion to determine on a case-by-case basis, under the legal requirement of individualization and in accordance with the principle of proportionality, the financial sanctions it imposes in application of the criteria provided, in accordance with the principle of legality of offenses and penalties, by I of Article L. 464-2 of the Commercial Code. The law frames this power by providing a maximum amount of sanction. Since the law of May 15, 2001, this ceiling has been set, for a company, at "10% of the highest amount of worldwide turnover excluding taxes achieved during one of the financial years closed since the financial year preceding the one during which the practices were implemented." It has not evolved since the date of the practices.</w:t>
      </w:r>
    </w:p>
    <w:p>
      <w:r>
        <w:t>688. Ordinance No. 2021-649 of May 26, 2021, relating to the transposition of Directive (EU) 2019/1 of the European Parliament and of the Council of December 11, 2018, led to the modification of certain legal criteria provided by I of Article L. 464-2 of the Commercial Code. Thus, the criterion of the duration of the infringement has been explicitly introduced, while the one relating to the significance of the damage to the economy has been removed. However, the ceiling of 10% of turnover has not been modified. Under these conditions, and the new legal criteria not being more severe than the old ones, Article 6 of the ordinance could provide that these modifications are applicable to procedures for which grievances have been notified, in application of Article L. 463-2 of the Commercial Code, after the entry into force of the ordinance.</w:t>
      </w:r>
    </w:p>
    <w:p>
      <w:r>
        <w:t>689. The implementation of Article L. 464-2 of the Commercial Code leads the Authority to state, in its decisions imposing sanctions, the main elements taken into consideration for determining them, which contributes to ensuring transparency regarding how the Authority exercises its discretion on a case-by-case basis. This reasoning is necessarily linked to the context and the facts specific to each case and cannot prejudge how the Authority may be led to determine financial sanctions in other cases.</w:t>
      </w:r>
    </w:p>
    <w:p>
      <w:r>
        <w:t>690. In this context, and in order to clarify how it exercises its sanctioning power in application of the criteria provided by I of Article L. 464-2 of the Commercial Code as amended by Ordinance No. 2021-649, the Authority adopted, on July 30, 2021, a procedural communiqué on the method of determining financial sanctions, replacing the previous communiqué dated May 6, 2011. The latter had become obsolete due to the removal in the law of the criteria for which it clarified the application.</w:t>
      </w:r>
    </w:p>
    <w:p>
      <w:r>
        <w:rPr>
          <w:b/>
        </w:rPr>
        <w:t>[Pages 160–162]</w:t>
      </w:r>
    </w:p>
    <w:p>
      <w:r>
        <w:t>(notably the criterion relating to the significance of the damage to the economy). The Authority has thus logically applied the new sanctions communiqué to cases in which the new legal criteria were applicable, namely those in which the grievances were notified after the entry into force of Ordinance No. 2021-649667.</w:t>
      </w:r>
    </w:p>
    <w:p>
      <w:r>
        <w:t>691. Furthermore, it should be noted that the sanctions communiqués adopted by the Authority cannot be considered as texts with normative value and thus as criminal law. In the new sanctions communiqué, the Authority indicates in this regard that it takes the form of guidelines in the sense of administrative jurisprudence668. Indeed, this new communiqué, like that of 2011, merely aims, in the interest of transparency, to specify in advance, and subject to the concrete examination of the specific circumstances of each case, the concrete modalities according to which the Authority intends to exercise the discretionary power entrusted to it by law to determine, under the provisions of I of Article L. 464-2 of the Commercial Code, under the control of the courts, the sanctions it imposes669.</w:t>
      </w:r>
    </w:p>
    <w:p>
      <w:r>
        <w:t>692. However, the Authority reminds that the different stages of this method structure the way it exercises its discretionary power, without substituting itself for the specific examination it conducts in each case, depending on the specific circumstances of that case and in accordance with the legal requirement of individualization. While the sanctions communiqué allows, among other things, all economic actors to anticipate the financial risks associated with the commission of offenses, it is neither possible nor desirable, from the perspective of the Authority or in the interest of the companies and business associations concerned, to conceive an automatic scale allowing for the advance prediction of the precise amount of the sanctions incurred. The amount applicable to each case gives rise to a specific decision, which takes into account all relevant reasons for the decision in question and the context of the case670.</w:t>
      </w:r>
    </w:p>
    <w:p>
      <w:r>
        <w:t>693. Moreover, the principle of non-retroactivity of harsher criminal law does not prevent the Authority from adapting its method of calculating sanctions to legislative developments or the needs of effective application of competition rules671. Thus, in a judgment of July 4, 2019, the Paris Court of Appeal described the purpose of the sanctions communiqué as follows: "The sanctions communiqué, which aims to increase transparency by making known in advance the concrete way in which the Authority exercises its sanctioning power, has, among other purposes, the aim of providing predictability regarding the sanctions incurred by companies and, thus, enhancing their deterrent effect, but (...) it does not establish any particular amount or any range of sanctions."</w:t>
      </w:r>
    </w:p>
    <w:p>
      <w:r>
        <w:t>"Now, as the Court of Justice ruled in its judgment of June 28, 2005, Dansk Rørindustri e.a./Commission (C-189/02 P, C-202/02 P, C-205/02 P to C-208/02 P and C-213/02 P, paragraph 228), and the Union Court in the judgment Archer Daniels Midland/Commission (paragraph 48), companies involved in an administrative procedure that may lead to a fine cannot acquire legitimate confidence that the Commission will not exceed the level of fines previously imposed nor in a method of calculating these fines."</w:t>
      </w:r>
    </w:p>
    <w:p>
      <w:r>
        <w:t>"It follows that the Authority's application, in the contested decision, of the analytical rules set out in the sanctions communiqué does not constitute a violation of the principle of non-retroactivity of punitive sanctions and that the arguments are rejected."672</w:t>
      </w:r>
    </w:p>
    <w:p>
      <w:r>
        <w:t>694. It results from the above that the application of the new sanctions communiqué cannot constitute a modification of the exercise of the Authority's sanctioning power that would not be reasonably foreseeable.</w:t>
      </w:r>
    </w:p>
    <w:p>
      <w:r>
        <w:t>695. In any event, the adoption of the new sanctions communiqué does not constitute a sudden and unpredictable break from previous practice, nor from the general competition policy of the Authority regarding fines. On the contrary, it is important to emphasize the evident continuity, despite the modification of the legal criteria for sanctions (removal of damage to the economy, explicit introduction of the duration criterion), between the methodology of the 2011 sanctions communiqué and that of 2021, which is based on the same major steps: calculation of a base amount that is a proportion of the value of sales related to the infringement, application to this amount of a coefficient taking into account the severity and duration of the practices, assessment of any mitigating or aggravating circumstances and other elements of individualization, consideration of recidivism, and final adjustments. Thus, as the Court of Cassation has already ruled, insofar as the new communiqué does not mark a sudden and unpredictable break with previous practice, the arguments based on the violation of the legality of penalties and the non-retroactivity of harsher criminal law cannot be founded673.</w:t>
      </w:r>
    </w:p>
    <w:p>
      <w:r>
        <w:t>696. It should also be noted that the sanctions communiqué of May 16, 2011674, like the current sanctions communiqué675, provides for the possibility for the Authority to deviate from the method outlined in light of the specific circumstances of the case, justifying this choice. The calculation methods recommended by these communiqués are therefore not systematically applicable, and the adoption of the sanctions communiqué cannot constitute a break in the sanctions policy conducted by the Authority.</w:t>
      </w:r>
    </w:p>
    <w:p>
      <w:r>
        <w:t>697. In this context, the companies involved knew that the commission of anticompetitive practices exposed them to a sanction of up to 10% of their consolidated global turnover. The subsequent developments of the sanctions communiqué, even while the infringement continued, did not lead to a challenge of this ceiling established by the legislator, whether at the national or European level.</w:t>
      </w:r>
    </w:p>
    <w:p>
      <w:r>
        <w:t>698. It follows that the application of the sanctions communiqué is not likely to undermine the principle of non-retroactivity of harsher criminal law. It is therefore appropriate to assess the legal criteria according to the practical modalities described therein. In accordance with point 19 of the sanctions communiqué, the determination of the base amount of the financial sanction, the elements of individualization of this amount, and its final adjustments will be addressed successively.</w:t>
      </w:r>
    </w:p>
    <w:p>
      <w:r>
        <w:t>c) On the imposition of a single sanction</w:t>
      </w:r>
    </w:p>
    <w:p>
      <w:r>
        <w:t>699. It emerges from the decision-making practice of the Authority that when several grievances have been notified, the Authority may impose on each company involved multiple sanctions corresponding to multiple infringements676, determining each of them according to the criteria provided for by the Commercial Code677.</w:t>
      </w:r>
    </w:p>
    <w:p>
      <w:r>
        <w:t>700. The Authority may also impose a single sanction on each company involved corresponding to multiple infringements, "given the identity or connection of the sectors or markets involved, on the one hand, and the general purpose of the practices, on the other"678. However, the use of this possibility is not automatic but remains a faculty. In a judgment of November 16, 2023, the Court of Appeal recalled that "while it is permissible for the Authority to impose a single sanction for multiple infringements, notwithstanding the differences relating to their duration, severity, or the damages resulting therefrom, given the identity or connection of the sectors or markets involved and the general purpose of the practices, no text obliges it to do so."679</w:t>
      </w:r>
    </w:p>
    <w:p>
      <w:r>
        <w:t>701. By way of illustration, in decision No. 16-D-17 of July 21, 2016, the Authority justified the application of this method by emphasizing that the notified grievances "concern practices implemented [in the same market] both at the wholesale and retail stages, and during the same period. This identity of periods, markets, and the general purpose pursued by the various agreements prevents distinguishing the potential or actual effects."676 Court of Cassation, June 29, 2007, Bouygues Télécom, No. 07-10303.677 See, in this sense, Court of Cassation, July 12, 2011, Lafarge, No. 10-17482.678 See, in this sense, the judgments of the Court of Cassation of November 22, 2005, Dexxon Data Media, No. 04-19102, of the Paris Court of Appeal of January 28, 2009, EPSE Joué Club, No. 2008/00255, page 20, and No. 16-D-09 of May 12, 2016, concerning practices implemented in the sectors of metal reinforcements and welded mesh on the island of Reunion, paragraphs 426 and 427, confirmed on this point by the judgment of the Paris Court of Appeal of March 15, 2018, Sermetal Réunions e.a., No. 16/14231, paragraphs 140 and 156.679 Judgment of the Paris Court of Appeal of November 16, 2023, RG No. 20/03434, No. 20/3438, No. 20/3454, No. 20/3470 (joined cases), paragraph 599, and cited jurisprudence.</w:t>
      </w:r>
    </w:p>
    <w:p>
      <w:r>
        <w:rPr>
          <w:b/>
        </w:rPr>
        <w:t>[Pages 163–165]</w:t>
      </w:r>
    </w:p>
    <w:p>
      <w:r>
        <w:t>products on the market by each of these offenses and to assess separately the damage caused to the economy by each of the practices."680</w:t>
      </w:r>
    </w:p>
    <w:p>
      <w:r>
        <w:t>702. In the case at hand, it has been demonstrated, on the one hand, that several companies involved participated in practices forming a single and continuous offense, the overall plan of which was developed at the national level by KP1, Rector, and SEAC, and whose implementation was also managed at the national level by these three companies. This agreement, referred to in the first complaint, aimed to distort competition in the market for precast concrete products sold to construction companies, through the establishment of minimum price grids, the setting of volume quotas per company, and the allocation of construction sites.</w:t>
      </w:r>
    </w:p>
    <w:p>
      <w:r>
        <w:t>703. It has also been demonstrated, on the other hand, that an agreement was implemented within the framework of meetings held at the national level between the management of KP1, Rector, and SEAC and at the regional level since 2011, through exchanges concerning the net prices of precast concrete products and certain commercial conditions granted to distributors, on sales volumes to distributors, as well as on the pass-through of price increases to the prices charged to CMI. The exchanges took place between the management of KP1, Rector, and SEAC during meetings—sometimes on the sidelines of GIE ThermoPrédalle meetings—or through telephone discussions. The implementation of decisions made at the national level was also ensured by the regional management.</w:t>
      </w:r>
    </w:p>
    <w:p>
      <w:r>
        <w:t>704. These practices, which are the subject of the second complaint, have the character of an agreement with an anticompetitive object, it being recalled, as indicated in paragraph 524, that the practices that can be established regarding SEAC are time-barred.</w:t>
      </w:r>
    </w:p>
    <w:p>
      <w:r>
        <w:t>705. These two sets of practices present similarities, given their anticompetitive objectives and their methods of implementation. They are both characterized by national management by three companies, KP1, Rector, and SEAC, and a regional implementation by the regional management of these same companies. They also share a similarity regarding the duration—as it has been established in this case—and the frequency of the exchanges in question, as well as the importance of the GIE ThermoPrédalle meetings for their realization. Finally, the sectors or markets to which the practices relate present a connection due to the nature of the products involved, namely precast concrete products intended for construction companies in the first case, and for distributors and CMI in the second.</w:t>
      </w:r>
    </w:p>
    <w:p>
      <w:r>
        <w:t>706. For all these reasons, it appears justified to impose a single sanction for complaints 1 and 2.</w:t>
      </w:r>
    </w:p>
    <w:p>
      <w:r>
        <w:t>707. On the other hand, complaints 3 and 4 will each be subject to distinct sanctions, as the general object, the methods of implementation, and the identity of the participating companies differ significantly from those of complaints 1 and 2.</w:t>
      </w:r>
    </w:p>
    <w:p>
      <w:r>
        <w:t>2. DETERMINATION OF THE BASE AMOUNT OF THE SANCTION</w:t>
      </w:r>
    </w:p>
    <w:p>
      <w:r>
        <w:t>708. The sanctions communiqué states in point 20 that "the base amount of the sanction is determined by a proportion of the value of the sales of the product(s) or service(s) in relation to the offense (1), and is based on the Authority's assessment of the severity of the facts (2) and the duration of the offense (3)."</w:t>
      </w:r>
    </w:p>
    <w:p>
      <w:r>
        <w:t>709. The following will be addressed successively:</w:t>
        <w:br/>
        <w:t>− – the value of sales;</w:t>
        <w:br/>
        <w:t>− – the severity of the practices;</w:t>
        <w:br/>
        <w:t>− – the duration of the practices.</w:t>
      </w:r>
    </w:p>
    <w:p>
      <w:r>
        <w:t>a) The value of sales</w:t>
      </w:r>
    </w:p>
    <w:p>
      <w:r>
        <w:t>710. According to point 22 of the sanctions communiqué, "the reference taken by the Authority is the value of all categories of products or services directly or indirectly related to the offense, sold by the company or the association of companies concerned during its last complete accounting year of participation in the offense, subject to point 25 […]. The qualification of the offense or offenses made by the Authority, in light of their object or their anticompetitive effects, determines these categories of products or services."</w:t>
      </w:r>
    </w:p>
    <w:p>
      <w:r>
        <w:t>711. The sanctions communiqué further specifies in point 25 that "[i]n cases where it considers that the last complete accounting year of participation in the offense does not clearly constitute a representative reference, the Authority retains a year it deems more appropriate, or an average of years, justifying this choice."</w:t>
      </w:r>
    </w:p>
    <w:p>
      <w:r>
        <w:t>712. In a ruling dated July 19, 2018, the Court of Appeal of Paris held that "as soon as a category of products or services is 'related to the offense,' the value of sales of that category of products or services must be taken into account. […] However, there is no reference to a necessary allocation of the sales of these categories of products or services by the offense in order to take their sale into account."681 The Court of Cassation confirmed this position in a ruling dated September 22, 2021, specifying that "sales related to the offense, in the sense of the communiqué, are the sales made in the market where the practices in question […] were established, thus affecting the functioning of competition in that market."682 This approach is also adopted by the Union judge.683</w:t>
      </w:r>
    </w:p>
    <w:p>
      <w:r>
        <w:t>713. Furthermore, it follows from the decision-making practice, confirmed by the jurisprudence of the Court of Appeal of Paris,684 that when the Authority decides to impose a single sanction corresponding to several offenses, it may consider as the basis for the base amount a single value of sales related to all the practices in question.</w:t>
      </w:r>
    </w:p>
    <w:p>
      <w:r>
        <w:t>Complaints 1 and 2</w:t>
      </w:r>
    </w:p>
    <w:p>
      <w:r>
        <w:t>714. As indicated in paragraph 704 above, the Authority has chosen to impose a single sanction for complaints 1 and 2 due to the similarities of the practices in question regarding their anticompetitive objectives and their methods of implementation. It is therefore necessary to identify the sales related to these two offenses.</w:t>
      </w:r>
    </w:p>
    <w:p>
      <w:r>
        <w:t>715. Complaint 1 concerns a set of practices including the joint fixing of selling prices for precast concrete products, as well as the allocation of market shares (allocation of customers and/or customer volumes) concerning construction companies.</w:t>
      </w:r>
    </w:p>
    <w:p>
      <w:r>
        <w:t>716. Several companies emphasize that, according to the observed practices, the products covered by the agreement under the first complaint are hollow-core slabs and precast slabs and therefore believe that the sales to be taken into account should be limited to those of these two products to construction companies.</w:t>
      </w:r>
    </w:p>
    <w:p>
      <w:r>
        <w:t>717. A2C believes that its participation in the offense was "strictly limited" to precast slabs and, to a lesser extent, to hollow-core slabs. According to it, only the value of sales related to these products should therefore be taken into account, at the risk of leading to a disproportionate sanction in light of A2C's moderate participation.</w:t>
      </w:r>
    </w:p>
    <w:p>
      <w:r>
        <w:t>718. Soprel agrees with A2C in this argument, asserting that only the value of sales related to precast slabs, as well as to hollow-core slabs of 1.20 m, which constitute the market standard, should be taken into account, [confidential] and for which, consequently, no anticompetitive practice could have been committed. It argues that all other goods or services it sells, to construction companies or other clients, are [confidential] and are in any case outside the scope of the complaint.</w:t>
      </w:r>
    </w:p>
    <w:p>
      <w:r>
        <w:t>719. Strudal adds that, for its part, it only produces hollow-core slabs and frameworks, so that no value of sales could be retained regarding precast slabs.</w:t>
      </w:r>
    </w:p>
    <w:p>
      <w:r>
        <w:t>720. SLM further argues that its participation in the practices was limited to the sale of a single product, precast slabs, and only in the region of Ile-de-France. It believes that sales to its subsidiaries SPS685 (which manufactures beams and walls) and CDLP686 (which is active only in the Auvergne-Rhône-Alpes region) should not be taken into account.</w:t>
      </w:r>
    </w:p>
    <w:p>
      <w:r>
        <w:t>721. FB asserts that its value of sales directly or indirectly related to the offense concerns only one product, hollow-core slabs, and only one region, Ile-de-France, where it is only active to a minor extent (approximately [10-20]% of the slabs marketed, in volume). Reminding that it is primarily active in the North-East of France, a region not affected by the offense, it invites the Authority to exclude from the base amount of the sanction all sales it has made in that region and in any case in all regions other than Ile-de-France. It concludes that not limiting the value of sales to Ile-de-France would be excessively penalizing in light of its low participation in the offense, and that, on the contrary, adjusting this value to the products actually involved in the practice would reflect FB's actual activity in relation to it.</w:t>
      </w:r>
    </w:p>
    <w:p>
      <w:r>
        <w:rPr>
          <w:b/>
        </w:rPr>
        <w:t>[Pages 166–168]</w:t>
      </w:r>
    </w:p>
    <w:p>
      <w:r>
        <w:t>722. It should be recalled that this grievance relates to a single and continuous infringement. However, as the Authority recalled in decision No. 23-D-08 mentioned above, referring to national and European case law687, "the fact that a company did not participate in all the constitutive elements of an agreement or that it played a minor role in the aspects to which it participated should only be taken into account when assessing the seriousness of the infringement and, where appropriate, in determining the fine"688. The arguments of certain companies regarding their lesser participation are therefore irrelevant for the choice of the sales value to be retained.</w:t>
      </w:r>
    </w:p>
    <w:p>
      <w:r>
        <w:t>723. Given the nature of the practices targeted by this grievance, the Authority considers that the categories of products directly or indirectly related to the infringement in the sense of the sanctions press release, and whose sales are therefore to be included in the base amount, are hollow-core slabs and precast slabs.</w:t>
      </w:r>
    </w:p>
    <w:p>
      <w:r>
        <w:t>724. As noted in paragraphs 496 and 500, the individual participation of A2C and SLM is not established between February 12, 2016, and November 12, 2017, and between February 11, 2016, and June 21, 2018, respectively. For these two companies, the reference accounting period to be considered for the sales value is therefore the 2015 financial year. For all other companies, the last complete accounting period of participation in the practices corresponds to the year 2017.</w:t>
      </w:r>
    </w:p>
    <w:p>
      <w:r>
        <w:t>725. The Authority provides the following clarifications regarding the sales value to be taken into account.</w:t>
      </w:r>
    </w:p>
    <w:p>
      <w:r>
        <w:t>726. First, regarding Rector, the sales of its subsidiary Planchers Fabre will not be taken into account, as it turns out that it does not sell precast slabs or hollow-core slabs to construction companies.</w:t>
      </w:r>
    </w:p>
    <w:p>
      <w:r>
        <w:t>727. Second, regarding SLM, the sales of its subsidiaries Comptoir de la Préfabrication (CDLP) and Structures Préfabrications Services (SPS), whose individual participation in the grievance is not established, will not be taken into account, as noted in paragraph 499.</w:t>
      </w:r>
    </w:p>
    <w:p>
      <w:r>
        <w:t>728. Third, regarding FB, its sales of precast slabs and hollow-core slabs at the national level will be taken into account, the regional nature of its participation being able to be considered for the individualization of the sanction.</w:t>
      </w:r>
    </w:p>
    <w:p>
      <w:r>
        <w:t>729. Grievance 2 concerns agreements and concerted practices relating to the prices of products sold to individual house builders (CMI) and traders. The sales to be taken as a reference are those of precast concrete products sold to these two categories of clients. The last complete accounting period of participation in the practices corresponds, for all the companies concerned, to the year 2017.</w:t>
      </w:r>
    </w:p>
    <w:p>
      <w:r>
        <w:t>730. The sales value taken into account for these two grievances is established as follows:</w:t>
      </w:r>
    </w:p>
    <w:p>
      <w:r>
        <w:t>Sales Value</w:t>
        <w:br/>
        <w:t>Companies</w:t>
        <w:br/>
        <w:t>(Grievances 1 and 2)</w:t>
        <w:br/>
        <w:t>A2C [confidential] €</w:t>
        <w:br/>
        <w:t>FB [confidential] €</w:t>
        <w:br/>
        <w:t>687 Judgment of the Court of July 8, 1999, Anic Partecipazioni SpA, C-49/92, paragraph 90. See also the judgment of the Court of Cassation, commercial chamber, of March 27, 2019, No. 219 FS-D, page 33.</w:t>
        <w:br/>
        <w:t>688 Decision No. 23-D-08, paragraph 212.</w:t>
      </w:r>
    </w:p>
    <w:p>
      <w:r>
        <w:t>IB [confidential] €</w:t>
        <w:br/>
        <w:t>KP1 [confidential] €</w:t>
        <w:br/>
        <w:t>Rector [confidential] €</w:t>
        <w:br/>
        <w:t>including Rector Lesage [confidential] €</w:t>
        <w:br/>
        <w:t>including Planchers Fabre [confidential] €</w:t>
        <w:br/>
        <w:t>SEAC [confidential] €</w:t>
        <w:br/>
        <w:t>SLM [confidential] €</w:t>
        <w:br/>
        <w:t>Soprel [confidential] €</w:t>
        <w:br/>
        <w:t>Strudal [confidential] €</w:t>
      </w:r>
    </w:p>
    <w:p>
      <w:r>
        <w:t>Grievance 3</w:t>
      </w:r>
    </w:p>
    <w:p>
      <w:r>
        <w:t>731. Grievance 3 concerns agreements and concerted practices aimed at coordinating pricing policies and distributing tenders related to concrete frames. The sales value to be considered is therefore the annual turnover achieved from the sale of concrete frames by each company that participated in the practices.</w:t>
      </w:r>
    </w:p>
    <w:p>
      <w:r>
        <w:t>732. Eurobéton contests the choice of the year 2017 as the reference for the sales value to be retained (more precisely, in its case, the accounting period extending from October 1, 2016, to September 30, 2017), emphasizing that no participation in the practices can be attributed to it beyond October 2013. However, as indicated in paragraph 578, Eurobéton's participation in the practices targeted by grievance 3 is established until October 3, 2018. Therefore, the Authority will take into account the period extending from October 1, 2016, to September 30, 2017.</w:t>
      </w:r>
    </w:p>
    <w:p>
      <w:r>
        <w:t>733. For KP1, the last complete accounting period of participation in the practices is the 2017 financial year.</w:t>
      </w:r>
    </w:p>
    <w:p>
      <w:r>
        <w:t>734. As for Strudal, the two distinct periods during which its participation is established do not exactly cover a complete accounting period. Therefore, in accordance with point 25 of the sanctions press release, the Authority will take as a reference a financial year that it deems sufficiently representative. The second period of participation of Strudal extends from January 26, 2017, to March 5, 2018. The 2017 financial year, during which the company's participation is established for more than eleven months, therefore appears as an appropriate reference for the sales value.</w:t>
      </w:r>
    </w:p>
    <w:p>
      <w:r>
        <w:t>735. The sales value related to concrete frames is presented below.</w:t>
      </w:r>
    </w:p>
    <w:p>
      <w:r>
        <w:t>Sales Value</w:t>
        <w:br/>
        <w:t>Companies</w:t>
        <w:br/>
        <w:t>(Grievance 3)</w:t>
        <w:br/>
        <w:t>Eurobéton [confidential] €</w:t>
        <w:br/>
        <w:t>KP1 [confidential] €</w:t>
        <w:br/>
        <w:t>Strudal [confidential] €</w:t>
      </w:r>
    </w:p>
    <w:p>
      <w:r>
        <w:t>Grievance 4</w:t>
      </w:r>
    </w:p>
    <w:p>
      <w:r>
        <w:t>736. Grievance 4 concerns collusive practices relating in particular to pricing and the setting of prices for precast concrete products. Given the characteristics of the agreement and the fact that the infringement only concerned precast walls, the Authority will take as a reference for the sales value the turnover achieved by the two companies targeted by the grievance for the sale of precast walls in France.</w:t>
      </w:r>
    </w:p>
    <w:p>
      <w:r>
        <w:t>737. Given the end date of the observed practices, December 15, 2017, which is the date of termination of the contract between the two companies, the relevant sales value is that which refers to the financial year ending December 31, 2016.</w:t>
      </w:r>
    </w:p>
    <w:p>
      <w:r>
        <w:t>Sales Value</w:t>
        <w:br/>
        <w:t>Companies</w:t>
        <w:br/>
        <w:t>(Grievance 4)</w:t>
        <w:br/>
        <w:t>KP1 [confidential] €</w:t>
        <w:br/>
        <w:t>SPL [confidential] €</w:t>
      </w:r>
    </w:p>
    <w:p>
      <w:r>
        <w:t>b) The seriousness of the practices</w:t>
      </w:r>
    </w:p>
    <w:p>
      <w:r>
        <w:t>738. According to the sanctions press release, the Authority assesses the seriousness of the facts "objectively and concretely, in light of all relevant elements of the case"689. To do this, the Authority may take into account, depending on their relevance, the elements listed non-exhaustively in point 28 of the sanctions press release, among which are the nature of the infringement in question and the facts retained to characterize it, the nature of the competition parameters concerned, the nature of the activities, sectors, or markets involved, or the objective characteristics of the infringement (secret or not, degree of sophistication, knowledge of the unlawful nature of the practice, existence of policing mechanisms or retaliatory measures, circumvention of legislation, etc.).</w:t>
      </w:r>
    </w:p>
    <w:p>
      <w:r>
        <w:t>739. In consideration of the seriousness of the facts thus assessed, the sanctions press release provides that the Authority retains on a case-by-case basis a proportion of the sales value realized between 0 and 30%. It adds that for the most serious competition restrictions, and in particular "horizontal price-fixing agreements [and] market allocation," the proportion taken into account will generally be between 15 and 30%. The Authority may also, for deterrent purposes, increase the previously defined amount by an amount between 15% and 25% of the sales value690.</w:t>
      </w:r>
    </w:p>
    <w:p>
      <w:r>
        <w:t>Grievances 1 and 2</w:t>
      </w:r>
    </w:p>
    <w:p>
      <w:r>
        <w:t>740. The decision-making practice of the Authority691 and that of the Paris Court of Appeal692 consider horizontal agreements between competitors in the same market as the most serious anticompetitive practices. The same applies to the courts of the Union, particularly regarding price-fixing agreements, which appear by nature as a "very serious" infringement693. According to point 30 of the sanctions press release, for horizontal price-fixing agreements, market allocation, and limitation of competition...</w:t>
      </w:r>
    </w:p>
    <w:p>
      <w:r>
        <w:rPr>
          <w:b/>
        </w:rPr>
        <w:t>[Pages 169–171]</w:t>
      </w:r>
    </w:p>
    <w:p>
      <w:r>
        <w:t>production, which are by their very nature among the most serious offenses, the proportion of sales to be taken into account is generally between 15% and 30%.</w:t>
      </w:r>
    </w:p>
    <w:p>
      <w:r>
        <w:t>741. Furthermore, regarding practices committed during one or more calls for tenders, the decision-making practice holds that the concerted establishment of cover bids constitutes a serious practice that aims to and can have the effect of undermining the competitive bidding process of companies694.</w:t>
      </w:r>
    </w:p>
    <w:p>
      <w:r>
        <w:t>742. More generally, concerning agreements in sectors that commonly operate through calls for tenders, the Authority has emphasized that "the disruption of the normal course of tendering procedures, by preventing price setting through the free play of the market and misleading the public entity about the reality and extent of competition exercised among bidding companies, disrupts the sector where such practices occur and causes serious harm to the economic public order"695. In this regard, the decision-making practice, approved by case law696, does not distinguish between public contracts and private contracts in assessing this seriousness, generally considering that "such practices are particularly serious by nature, as they limit the intensity of the competitive pressure to which companies would have been subjected if they had determined themselves independently, (...) the very foundation of calls for competition residing in the secrecy surrounding the companies involved in preparing their bids, each of them having to remain unaware of the quality of their competitors, of their financial capacities to offer the best possible service or supply at the lowest price"697.</w:t>
      </w:r>
    </w:p>
    <w:p>
      <w:r>
        <w:t>743. In the case at hand, it is established that nine competing companies participated in an agreement, the subject of the first grievance, aimed at jointly fixing the prices of precast concrete products and allocating clients and volumes of clients through the awarding of tenders. The notified grievance highlights that this practice distorted two essential parameters for the competitive functioning of the market: the price of products and the free choice of clients regarding their supplier. Among these nine companies, two of them698 – KP1 and Rector – also participated in an agreement concerning, in particular, the prices of precast concrete products sold to merchants and CMI, an infringement classified as anticompetitive by object.</w:t>
      </w:r>
    </w:p>
    <w:p>
      <w:r>
        <w:t>744. It should be noted that these practices had a notably secretive and elaborate character. The long duration of their implementation is an indication both of the effectiveness of the concealment techniques designed to make their detection difficult and of the awareness that the participating companies had of their unlawful nature.</w:t>
      </w:r>
    </w:p>
    <w:p>
      <w:r>
        <w:t>694 See in particular decision No. 18-D-19 of September 24, 2018, regarding practices implemented in the public lighting works sector in Ardèche and the ruling of the Paris Court of Appeal of December 20, 2018, Sécurité Vol Feu SARL, No. 18/07722.</w:t>
      </w:r>
    </w:p>
    <w:p>
      <w:r>
        <w:t>695 Decision No. 23-D-08 of September 7, 2023, regarding practices implemented in the sector of engineering services, maintenance, dismantling, and waste treatment for nuclear sites, paragraph 569.</w:t>
      </w:r>
    </w:p>
    <w:p>
      <w:r>
        <w:t>696 Ruling of the Paris Court of Appeal of January 21, 2016, RG No. 2014/22811, page 7, confirmed on this point by the ruling of the Court of Cassation of September 27, 2017, appeal No. K 16-12.907.</w:t>
      </w:r>
    </w:p>
    <w:p>
      <w:r>
        <w:t>697 Decision No. 11-D-13 of October 5, 2011, regarding practices noted in the sectors of electrification works and electrical installation in the Midi-Pyrénées, Languedoc-Roussillon, Auvergne regions and neighboring areas, paragraphs 367 and 368.</w:t>
      </w:r>
    </w:p>
    <w:p>
      <w:r>
        <w:t>698 The expiration of the ten-year limitation period prevents the participation of SEAC from being taken into account (see in particular paragraph 545).</w:t>
      </w:r>
    </w:p>
    <w:p>
      <w:r>
        <w:t>745. As horizontal agreements on several competitive parameters, including the price of products, these practices fall under the most serious offenses in the sense of decision-making practice and case law. In addition, other objective characteristics observed in the case at hand and taken into account by the Authority in the analysis of seriousness include the secret nature of the exchanges, through the holding of multilateral meetings, and their significant degree of sophistication materialized, in particular, by the use of coded messages. In order to downplay the seriousness of the practices, Rector describes in its observations various characteristics of the precast slabs and hollow-core slabs segment. In particular, it argues that precast slab sales have experienced a significant decline for many years, that suppliers are under competitive pressure from their own clients, who also have strong counter-power. Under these conditions, construction companies would prefer "cast in place and on site," which in fact would have weighed on the sales of precast products (a decrease of 32% between 2008 and 2018). It adds that its suppliers have strong market power, which drives up the cost of raw materials.</w:t>
      </w:r>
    </w:p>
    <w:p>
      <w:r>
        <w:t>746. Rector further argues that the practices had a limited effect on the market. Thus, for the period from 2012 to 2018, the average selling price of beams decreased, despite the increases announced by the Rector Lesage group and the substantial rise in the cost of raw materials, and the results recorded by the Rector Lesage group in the beam activity decreased by more than 65%. It thus estimates that the infringement did not cause any proven damage to the economy and is therefore of very relative seriousness. KP1 agrees with Rector in this argument, asserting that the practices were ineffective, as the average selling prices of precast slabs decreased by 6%. It also claims that its own market share has decreased by approximately [0-10]%. According to KP1, the absence of effect of the practices is further illustrated by the fact that its operating results are [confidential]. KP1 invites the Authority to take into account the dual phenomenon of the collapse of the building construction market and the soaring cost of raw materials during the infringement period. Thus, according to KP1, over the period 2000-2018, its production costs increased by approximately [60-70]%.</w:t>
      </w:r>
    </w:p>
    <w:p>
      <w:r>
        <w:t>747. KP1 argues that the practices in question – punctuated by episodes of "price wars" – were not implemented to maximize the profits of the companies involved, but rather to precisely overcome these economic difficulties.</w:t>
      </w:r>
    </w:p>
    <w:p>
      <w:r>
        <w:t>748. KP1 also emphasizes the strong negotiating power of its clients, who are large construction groups, such as Eiffage, Bouygues, or Vinci. It recalls that the calls for tenders that were subject to allocations were not public contracts, but calls for competition organized by private companies, and that the methods employed by the accused companies were not accompanied by mechanisms for monitoring or retaliation. It concludes that the practices had a "very relative seriousness."</w:t>
      </w:r>
    </w:p>
    <w:p>
      <w:r>
        <w:t>749. SEAC contests, for its part, the seriousness of the facts by insisting on its residual and episodic participation in the practices and recalling that these were not implemented in sensitive markets, recently opened to competition or related to public services or health. SEAC joins Rector and KP1 in indicating that the clients of the products concerned were large construction companies, merchants, or CMIs with strong negotiating power. Thus, the seriousness of the practices would be less than if these clients had been vulnerable consumers or small businesses.</w:t>
      </w:r>
    </w:p>
    <w:p>
      <w:r>
        <w:t>750. In response to these objections, it should be noted, firstly, that KP1's argument regarding the strong counter-power of its clients is not supported by any tangible evidence, particularly since the company does not specify the share that large construction companies represent in its activity, compared to that of smaller companies. Moreover, the negotiating power of a segment of the clientele, however significant, does not detract from the intrinsic seriousness of the practices, which combine agreements on prices and allocation of volumes and clientele, and which moreover involve participants representing a significant share of the market. As the Paris Court of Appeal pointed out in a ruling of May 23, 2017, the economic realities of the sector cannot be taken into account to challenge the seriousness of anticompetitive practices, unless one "admits that it is, in certain hypotheses, legitimate for economic operators to violate the fundamental rules of competition law"699.</w:t>
      </w:r>
    </w:p>
    <w:p>
      <w:r>
        <w:t>751. Secondly, regarding the competitive pressure invoked by Rector from its clients, the substitutability of cast-in-place concrete for the products concerned by the infringement is not sufficiently established for this argument to be accepted.</w:t>
      </w:r>
    </w:p>
    <w:p>
      <w:r>
        <w:t>752. Thirdly, while it is true that the practices particularly concerned private calls for tenders, as opposed to public contracts, it remains that in many cases, the construction sites to which the concrete products were destined were financed by public authorities using public funds. Consequently, the absence of any negative consequence on public finances cannot be put forward to mitigate the seriousness of the practices.</w:t>
      </w:r>
    </w:p>
    <w:p>
      <w:r>
        <w:t>753. Fourthly, while the parties argue the absence of significant effect or effectiveness of the practices to see their seriousness mitigated, it remains that the sanctions communiqué emphasizes the very serious nature of horizontal agreements by their very nature700 and that, since the removal of damage to the economy as a legal criterion, any potential effects on the market are not mentioned among the relevant elements for assessing seriousness701.</w:t>
      </w:r>
    </w:p>
    <w:p>
      <w:r>
        <w:t>754. However, in this case, it has been demonstrated that the practices targeted by the first two grievances constitute anticompetitive horizontal agreements by object, particularly concerning prices. Even if they had little effect on the economy of the sector, as the parties argue, no other objective characteristic capable of challenging their seriousness can be noted.</w:t>
      </w:r>
    </w:p>
    <w:p>
      <w:r>
        <w:t>755. Fifthly, finally, some parties argue the absence of a mechanism for monitoring or retaliation as part of the objective characteristics of the infringement that the Authority must take into account to assess the seriousness of the facts. However, it should be emphasized that this absence is precisely part of the objective characteristics of the infringement that the Authority considers to assess its seriousness, alongside, for example, the nature of the competitive parameters affected and the secret or elaborate nature of the exchanges between competitors.</w:t>
      </w:r>
    </w:p>
    <w:p>
      <w:r>
        <w:t>756. For the reasons set out above, and taking into account in particular the objective characteristics of the practices as previously described, the Authority considers that the infringements targeted by the first two grievances justify retaining a proportion of 15% of the value of sales.</w:t>
      </w:r>
    </w:p>
    <w:p>
      <w:r>
        <w:t>699 Ruling of the Paris Court of Appeal of May 23, 2017, No. 2015/08224, points 224-225. See also in this sense the ruling of the Paris Court of Appeal of March 7, 2024, No. RG 20/13093, point 918.</w:t>
      </w:r>
    </w:p>
    <w:p>
      <w:r>
        <w:t>700 Sanctions communiqué, point 30.</w:t>
      </w:r>
    </w:p>
    <w:p>
      <w:r>
        <w:t>701 Sanctions communiqué, points 27 and 28.</w:t>
      </w:r>
    </w:p>
    <w:p>
      <w:r>
        <w:rPr>
          <w:b/>
        </w:rPr>
        <w:t>[Pages 172–174]</w:t>
      </w:r>
    </w:p>
    <w:p>
      <w:r>
        <w:t>Grievance 3</w:t>
      </w:r>
    </w:p>
    <w:p>
      <w:r>
        <w:t>757. It has been demonstrated that several competing companies targeted by this grievance engaged in exchanges of commercially sensitive information, particularly regarding prices, within the framework of tender procedures concerning concrete frame construction sites. In doing so, they implemented a concerted practice pursuing an anticompetitive objective.</w:t>
      </w:r>
    </w:p>
    <w:p>
      <w:r>
        <w:t>758. Eurobéton contests the seriousness of the practices on the grounds that the investigation did not examine their effects and that no element in the file demonstrates that they contributed to the setting of higher prices.</w:t>
      </w:r>
    </w:p>
    <w:p>
      <w:r>
        <w:t>759. Strudal claims for its part that the seriousness of the practices should be relativized, considering that they consist only of occasional exchanges of information on tenders, far from a genuine agreement between companies, and this over a limited part of the territory. It also emphasizes the particularities of the sector, marked by the very significant negotiating power of clients, the large construction groups, as well as the nature of the exchanges themselves, which did not have the secretive and elaborate character described by the investigative services and were not supported by mechanisms of enforcement or retaliation.</w:t>
      </w:r>
    </w:p>
    <w:p>
      <w:r>
        <w:t>760. As recalled in paragraph 738 above, the Authority assesses the seriousness of the practices by taking into account all relevant elements, particularly the nature and objective characteristics of the infringement. In the specific case of concerted practices resulting from exchanges of information, the assessment of seriousness largely focuses on the nature of the information exchanged and the extent to which these exchanges distorted competition.</w:t>
      </w:r>
    </w:p>
    <w:p>
      <w:r>
        <w:t>761. Thus, it follows from the decision-making practice and case law that the Authority assesses the seriousness of an exchange of information differently depending on whether these exchanges concerned past or future information.</w:t>
      </w:r>
    </w:p>
    <w:p>
      <w:r>
        <w:t>762. In this sense, in decision No. 19-D-25, the Authority noted that "regarding the nature of the infringement, the exchanges of information concerned past data relating to the national activity of historical issuers. The infringement therefore has, in light of the sanctions communiqué, a lesser degree of seriousness than practices of express agreements on prices or market allocation."702 The Court of Appeal confirmed the Authority's decision on this point, emphasizing that it "correctly found that [the practices] were not devoid of any seriousness, but that this seriousness was nevertheless limited."703</w:t>
      </w:r>
    </w:p>
    <w:p>
      <w:r>
        <w:t>763. As for the criteria for assessing the seriousness of the different forms of horizontal agreements, the Court of Appeal of Paris recalled, in a judgment of October 27, 2016, that "competition law punishes practices that tend to oppose a competitive functioning of the market all the more when they concern prices or quantities exchanged. Case law distinguishes a priori several levels of seriousness of practices, which is assessed in concreto in light of all relevant elements in the specific case."</w:t>
      </w:r>
    </w:p>
    <w:p>
      <w:r>
        <w:t>764. The Court of Appeal clarified its position in these terms: "[a]greements concerning prices, the allocation of quantities or clients are logically considered the most serious. But concerted practices constituted by direct exchanges on future prices of competitors have, even in the absence of agreements, the same level of seriousness (...). Practices aimed at obstructing the setting of prices by the free play of competition are by nature very serious practices." It added that similar seriousness should be recognized for concerted practices when the information indirectly concerns prices: "[i]ndeed, these horizontal concerted practices of exchanges of information regarding prices aim by their very nature to manipulate an essential parameter of competition in the relevant market and can be considered as part of particularly serious violations (...), even if they do not involve price agreements or price-fixing agreements stricto sensu."704</w:t>
      </w:r>
    </w:p>
    <w:p>
      <w:r>
        <w:t>765. In this case, Eurobéton, KP1, and Strudal, through the exchange of quotes concerning concrete frame construction sites before the results of the corresponding tenders, communicated commercially sensitive information, particularly the price of services. These practices caused the companies to escape the principle of independence of offers and, by eliminating uncertainties regarding the behavior contemplated by each other, disrupted the play of competition.</w:t>
      </w:r>
    </w:p>
    <w:p>
      <w:r>
        <w:t>766. By its nature, the concerted practice implemented by the three companies thus has a high degree of seriousness.</w:t>
      </w:r>
    </w:p>
    <w:p>
      <w:r>
        <w:t>767. Regarding the nature of the persons likely to be affected by the practices, they consist, on the one hand, of construction companies acting as project managers for the realization of construction sites and, on the other hand, of the clients who are project managers of these sites, mostly companies active in various sectors of commerce and of varying sizes, sometimes very large (Ikea, Leroy Merlin, Mercedes, etc.).</w:t>
      </w:r>
    </w:p>
    <w:p>
      <w:r>
        <w:t>768. Finally, concerning the objective characteristics of the infringement, the Authority notes that despite the obvious confidentiality of the exchanges, it did not present a degree of organization or sophistication comparable to that of the infringements targeted by the first two grievances.</w:t>
      </w:r>
    </w:p>
    <w:p>
      <w:r>
        <w:t>769. Moreover, the reasons already presented regarding the first two grievances remain relevant to respond to the parties' arguments concerning the absence of effect and the functioning of the sector.</w:t>
      </w:r>
    </w:p>
    <w:p>
      <w:r>
        <w:t>770. Consequently, the Authority considers the practices to be serious, albeit of a lesser seriousness than that of a price-fixing agreement, and will therefore retain a proportion of the value of sales of 8%.</w:t>
      </w:r>
    </w:p>
    <w:p>
      <w:r>
        <w:t>Grievance 4</w:t>
      </w:r>
    </w:p>
    <w:p>
      <w:r>
        <w:t>771. It has been established that KP1 and SPL agreed on all aspects of SPL's commercial policy and jointly set the prices of precast concrete products, allocated customers, and exchanged sensitive information.</w:t>
      </w:r>
    </w:p>
    <w:p>
      <w:r>
        <w:t>772. KP1, which invokes the benefit of a total exemption from sanction under leniency for these practices, refrains from contesting their seriousness.</w:t>
      </w:r>
    </w:p>
    <w:p>
      <w:r>
        <w:t>773. SPL explains for its part that its economic development depended on the partnership with KP1, which allowed it a gradual emancipation, to the point of now realizing almost all of its turnover from the sale of precast walls to clients other than those of KP1. It observes in this regard that "this new competition undoubtedly benefits the end customer." It contests the seriousness of the practices attributed to it by recalling that it only operates in the precast wall market, within a strictly limited radius in the West of France, which, in light of all the practices highlighted by the investigation, could only confer on it an anecdotal role, with necessarily minimal effect on the relevant market. SPL concludes that this low seriousness should lead the Authority to retain a low proportion "even zero" of the value of sales of precast walls.</w:t>
      </w:r>
    </w:p>
    <w:p>
      <w:r>
        <w:t>774. In this case, the practice targeted by the fourth grievance concerned all aspects of SPL's economic life. It consisted of defining and applying a common commercial policy towards clients, establishing complete transparency on the prices of precast concrete products, and pooling, with a view to extensive coordination between the two companies, several competencies regarding, in particular, the study or marketing of the products.</w:t>
      </w:r>
    </w:p>
    <w:p>
      <w:r>
        <w:t>775. In this case, it has been demonstrated that the relations between SPL and KP1 led them to exchange information on future price increases and the resale prices applied to clients. Furthermore, the two companies systematically allocated volumes and customers by maintaining a common customer file, thereby acting on the freedom of clients to choose their supplier.</w:t>
      </w:r>
    </w:p>
    <w:p>
      <w:r>
        <w:t>776. Therefore, it is important to highlight the systematic nature of the practice, its sustainability ensured by the contractual framework binding KP1 and SPL, as well as the fact that it governed a very extensive part of SPL's activity. In this regard, it influenced a particularly wide range of competitive parameters, which enhances its seriousness.</w:t>
      </w:r>
    </w:p>
    <w:p>
      <w:r>
        <w:t>777. Given its objective characteristics, this practice, constituting an anticompetitive horizontal agreement by object, is thus among the most serious infringements in the sense of the sanctions communiqué and the consistent decision-making practice of the Authority.</w:t>
      </w:r>
    </w:p>
    <w:p>
      <w:r>
        <w:t>778. The Authority will therefore retain a proportion of the value of sales of 15%.</w:t>
      </w:r>
    </w:p>
    <w:p>
      <w:r>
        <w:t>c) Consideration of the duration</w:t>
      </w:r>
    </w:p>
    <w:p>
      <w:r>
        <w:t>779. As stated in the sanctions communiqué in points 32 and following, the duration of the infringement necessarily impacts the potential consequences of the infringement on the market and therefore plays a significant role in determining the amount of the sanction. This is why, to calculate the base amount of the monetary sanction, the Authority multiplies the amount determined by the value of sales of each company by the number of years during which that company participated in the infringement.</w:t>
      </w:r>
    </w:p>
    <w:p>
      <w:r>
        <w:t>Grievances 1 and 2</w:t>
      </w:r>
    </w:p>
    <w:p>
      <w:r>
        <w:t>780. In this case, regarding grievance 1, the agreement orchestrated at the national level between KP1, Rector, and SEAC, to which the practices implemented in Ile-de-France are attached, lasted uninterrupted from May 15, 2008, to October 25, 2018.</w:t>
      </w:r>
    </w:p>
    <w:p>
      <w:r>
        <w:t>781. The individual participation of KP1, Rector, SEAC, and Soprel is established for the entire duration of this infringement.</w:t>
      </w:r>
    </w:p>
    <w:p>
      <w:r>
        <w:t>782. For two companies, individual participation is established from May 15, 2008, to October 25, 2018, with an interruption that will be taken into account for the calculation of the multiplier coefficient: A2C from February 11, 2016, to November 13, 2017, and SLM from February 11, 2016, to June 21, 2018.</w:t>
      </w:r>
    </w:p>
    <w:p>
      <w:r>
        <w:rPr>
          <w:b/>
        </w:rPr>
        <w:t>[Pages 175–177]</w:t>
      </w:r>
    </w:p>
    <w:p>
      <w:r>
        <w:t>783. The individual participation of IB, Strudal, and FB is established between February 12, 2014, and October 25, 2018.</w:t>
      </w:r>
    </w:p>
    <w:p>
      <w:r>
        <w:t>784. Regarding grievance 2, the participation of KP1 as well as Rector is noted for the entire duration of the agreement, from April 18, 2011, to October 25, 2018, an agreement that was implemented alongside the agreement referred to in the first grievance.</w:t>
      </w:r>
    </w:p>
    <w:p>
      <w:r>
        <w:t>785. According to a solution approved by case law, when the Authority imposes a single sanction on a company for two grievances, it is permissible to consider, for the calculation of this sanction, the duration of its participation in the longest grievance705. Given the choice to impose a single sanction in this case, the same duration coefficient of 10.44 will be applied to determine the common base amount for both grievances.</w:t>
      </w:r>
    </w:p>
    <w:p>
      <w:r>
        <w:t>786. The table below summarizes the duration of participation of each of the companies in the agreement and the corresponding multiplier coefficients.</w:t>
      </w:r>
    </w:p>
    <w:p>
      <w:r>
        <w:t>| Companies | Duration of Participation | Coefficient |</w:t>
        <w:br/>
        <w:t>|-----------|--------------------------|-------------|</w:t>
        <w:br/>
        <w:t>| A2C      | 8 years, 8 months, and 14 days | 8.68        |</w:t>
        <w:br/>
        <w:t>| FB       | 4 years, 8 months, and 13 days | 4.70        |</w:t>
        <w:br/>
        <w:t>| IB       | 4 years, 8 months, and 13 days | 4.70        |</w:t>
        <w:br/>
        <w:t>| KP1      | 10 years, 5 months, and 10 days | 10.44      |</w:t>
        <w:br/>
        <w:t>| Rector    | 10 years, 5 months, and 10 days | 10.44      |</w:t>
        <w:br/>
        <w:t>| SEAC      | 10 years, 5 months, and 10 days | 10.44      |</w:t>
        <w:br/>
        <w:t>| SLM      | 8 years and 1 month         | 8.08        |</w:t>
        <w:br/>
        <w:t>| Soprel    | 10 years, 5 months, and 10 days | 10.44      |</w:t>
        <w:br/>
        <w:t>| Strudal   | 4 years, 8 months, and 13 days | 4.70        |</w:t>
      </w:r>
    </w:p>
    <w:p>
      <w:r>
        <w:t>Grievance 3</w:t>
      </w:r>
    </w:p>
    <w:p>
      <w:r>
        <w:t>787. In the case of a single and repeated offense, that is to say when "the participation of a company in the offense has been interrupted and the company participated in the offense before and after this interruption," the duration of the interruption periods is deducted from the duration between the start and end of the established practices. According to the case law of the Court of the European Union, to which the Authority refers for the qualification of a single and repeated offense, "if the Commission can impose a fine for the entire infringement period, it cannot, however, for the period during which the infringement was interrupted"706.</w:t>
      </w:r>
    </w:p>
    <w:p>
      <w:r>
        <w:t>788. The companies KP1 and Eurobéton participated in a single and repeated offense from December 14, 2011, to October 11, 2013, and then from January 8, 2016, to October 3, 2018.</w:t>
      </w:r>
    </w:p>
    <w:p>
      <w:r>
        <w:t>789. The individual participation of Strudal, for its part, extends from September 5, 2012, to September 13, 2013, and from January 26, 2017, to March 5, 2018.</w:t>
      </w:r>
    </w:p>
    <w:p>
      <w:r>
        <w:t>790. In accordance with the principles recalled above, the duration multiplier coefficient will be calculated by deducting the duration of the interruption. The results are presented in the table below.</w:t>
      </w:r>
    </w:p>
    <w:p>
      <w:r>
        <w:t>| Companies | Duration of Participation | Coefficient |</w:t>
        <w:br/>
        <w:t>|-----------|--------------------------|-------------|</w:t>
        <w:br/>
        <w:t>| KP1      | 4 years, 6 months, and 26 days | 4.56        |</w:t>
        <w:br/>
        <w:t>| Eurobéton | 4 years, 6 months, and 26 days | 4.56        |</w:t>
        <w:br/>
        <w:t>| Strudal   | 2 years, 1 month, and 18 days | 2.13        |</w:t>
      </w:r>
    </w:p>
    <w:p>
      <w:r>
        <w:t>Grievance 4</w:t>
      </w:r>
    </w:p>
    <w:p>
      <w:r>
        <w:t>791. The offense referred to in this grievance consists of a horizontal agreement between KP1 and SPL. The individual duration of participation of each of these companies is identical and covers the validity period of the contracts concluded between them, from December 10, 2010, to December 15, 2017.</w:t>
      </w:r>
    </w:p>
    <w:p>
      <w:r>
        <w:t>| Companies | Duration of Participation | Duration Coefficient |</w:t>
        <w:br/>
        <w:t>|-----------|--------------------------|---------------------|</w:t>
        <w:br/>
        <w:t>| KP1      | 7 years, 2 months, and 22 days | 7                   |</w:t>
        <w:br/>
        <w:t>| SPL      | 7 years, 2 months, and 22 days | 7                   |</w:t>
      </w:r>
    </w:p>
    <w:p>
      <w:r>
        <w:t>d) Conclusion on the base amount of sanctions</w:t>
      </w:r>
    </w:p>
    <w:p>
      <w:r>
        <w:t>792. It follows from all of the above that the Authority will take the amounts presented below as the base amount of sanctions.</w:t>
      </w:r>
    </w:p>
    <w:p>
      <w:r>
        <w:t>Base Amounts of Sanctions</w:t>
      </w:r>
    </w:p>
    <w:p>
      <w:r>
        <w:t>| Companies | Grievances 1 and 2 | Grievance 3 | Grievance 4 |</w:t>
        <w:br/>
        <w:t>|-----------|---------------------|--------------|--------------|</w:t>
        <w:br/>
        <w:t>| KP1      | [confidential] €    | [confidential] € | [confidential] € |</w:t>
        <w:br/>
        <w:t>| Strudal   | [confidential] €    | [confidential] € |</w:t>
        <w:br/>
        <w:t>| A2C      | [confidential] €    |</w:t>
        <w:br/>
        <w:t>| FB       | [confidential] €    |</w:t>
        <w:br/>
        <w:t>| IB       | [confidential] €    |</w:t>
        <w:br/>
        <w:t>| Rector    | [confidential] €    |</w:t>
        <w:br/>
        <w:t>| including Rector Lesage | [confidential] € |</w:t>
        <w:br/>
        <w:t>| including Planchers Fabre | [confidential] € |</w:t>
        <w:br/>
        <w:t>| SEAC      | [confidential] €    |</w:t>
        <w:br/>
        <w:t>| SLM      | [confidential] €    |</w:t>
        <w:br/>
        <w:t>| Soprel    | [confidential] €    |</w:t>
        <w:br/>
        <w:t>| Eurobéton | [confidential] €    |</w:t>
        <w:br/>
        <w:t>| SPL      | [confidential] €    |</w:t>
      </w:r>
    </w:p>
    <w:p>
      <w:r>
        <w:t>3. ON THE INDIVIDUALIZATION OF SANCTIONS</w:t>
      </w:r>
    </w:p>
    <w:p>
      <w:r>
        <w:t>793. Pursuant to Article L. 464-2 of the Commercial Code, sanctions "are determined individually for each sanctioned company or organization."</w:t>
      </w:r>
    </w:p>
    <w:p>
      <w:r>
        <w:t>794. Depending on the elements specific to each case, the Authority may take into account the existence of various mitigating or aggravating circumstances characterizing the behavior of each company in the context of its participation in the offense, as well as other relevant individualization elements related to the situation.</w:t>
      </w:r>
    </w:p>
    <w:p>
      <w:r>
        <w:rPr>
          <w:b/>
        </w:rPr>
        <w:t>[Pages 178–180]</w:t>
      </w:r>
    </w:p>
    <w:p>
      <w:r>
        <w:t>of each company or association of companies707. This consideration may lead to adjusting the sanction both upwards and downwards.</w:t>
      </w:r>
    </w:p>
    <w:p>
      <w:r>
        <w:t>795. The individualization of the determinants of the sanction leads to addressing, for each of the companies involved, the existence of aggravating or mitigating circumstances (a) and other elements of individualization (b).</w:t>
      </w:r>
    </w:p>
    <w:p>
      <w:r>
        <w:t>a) Aggravating and mitigating circumstances</w:t>
      </w:r>
    </w:p>
    <w:p>
      <w:r>
        <w:t>796. The sanctions communiqué mentions several circumstances that may lead the Authority to increase the sanction, among which is the fact that a company has played a leading or instigating role, or has played a particular role in the design or implementation of the infringement708.</w:t>
      </w:r>
    </w:p>
    <w:p>
      <w:r>
        <w:t>797. In this case, it results from the findings that, with regard to the infringement referred to in the fourth complaint, KP1 had an instigating behavior towards SPL in the establishment and continuation of the contractual relationships whose anticompetitive nature has been demonstrated. Consequently, the Authority considers that the particular role of KP1 constitutes an aggravating circumstance that justifies an increase in the sanction by 15%.</w:t>
      </w:r>
    </w:p>
    <w:p>
      <w:r>
        <w:t>798. Regarding mitigating circumstances, the sanctions communiqué specifies in point 37 the circumstances that the Authority may take into account to moderate the individual sanction it applies to companies, "based on an assessment that takes into account all relevant elements of the case at hand." The Authority may thus notably consider the fact that the company has sustainably adopted competitive behavior for a substantial part of the products or services involved to the point of disrupting, as a "free rider," the very functioning of the practice, that it was compelled to participate in the infringement, and that it has effectively cooperated with the Authority by going beyond the obligations to which it is legally subject (outside the leniency procedure).</w:t>
      </w:r>
    </w:p>
    <w:p>
      <w:r>
        <w:t>On the circumstance relating to the limited role or small size of the companies</w:t>
      </w:r>
    </w:p>
    <w:p>
      <w:r>
        <w:t>799. As part of the mitigating circumstances, several companies assert their limited role, due to their size, the short duration of their participation, or the local nature of the geographical scope of their activity, in the implementation of the practices.</w:t>
      </w:r>
    </w:p>
    <w:p>
      <w:r>
        <w:t>800. SLM argues that it was the smallest player, with a regional presence, and that it did not play a decisive role in the agreement, but was merely a "follower." FB emphasizes its small size, the low volume of its activity, and its anecdotal and sporadic participation in the practices. A2C argues its modest size, local scope, lack of active participation in the practices, and also claims that it had limited participation in the generalized system of the agreement. SEAC insists on its low market share and the limited geographical scope of its activity.</w:t>
      </w:r>
    </w:p>
    <w:p>
      <w:r>
        <w:t>801. The Authority recalls that the small size of a company participating in an agreement is not a specific parameter taken into account to moderate the sanction incurred. The value of sales is indeed a magnitude that adequately reflects its relative weight in the concerned sector.</w:t>
      </w:r>
    </w:p>
    <w:p>
      <w:r>
        <w:t>On the existence of pressures from other participants</w:t>
      </w:r>
    </w:p>
    <w:p>
      <w:r>
        <w:t>802. Several companies claim to have been subjected to pressures from some of their competitors to participate in the agreement.</w:t>
      </w:r>
    </w:p>
    <w:p>
      <w:r>
        <w:t>803. SLM argues that the sector was marked by strong competitive pressure for a small player like itself and that it perceived the invitation to participate in meetings among competitors as pressure, under the threat of being pushed out of the precast slab market by more powerful players. Similarly, A2C asserts that its participation in the practices is the result of pressure from competitors, particularly KP1 and Rector, who allegedly threatened to "sink" it if it did not participate in the practices. SEAC also claims to have been compelled by KP1 and Rector to join the agreement.</w:t>
      </w:r>
    </w:p>
    <w:p>
      <w:r>
        <w:t>804. The investigation services refute the allegations of SLM, A2C, and SEAC regarding the pressures exerted by KP1 and Rector, noting that they are not supported by any material evidence.</w:t>
      </w:r>
    </w:p>
    <w:p>
      <w:r>
        <w:t>805. The conditions resulting from the decision-making practice for pressures exerted on a company to lead to a mitigation of the sanction are strict. The Authority believes that while the leading role in an agreement may constitute an aggravating circumstance, the role of a follower, conversely, cannot lead to mitigation as long as the company "has not been subject to irresistible pressure, that it approved the conclusion of the agreement and that it applied it"709.</w:t>
      </w:r>
    </w:p>
    <w:p>
      <w:r>
        <w:t>806. SLM claims to have been pressured by its competitors to join the discussions in May 2008, after having stayed away from them for five years. It adds that it participated in a final meeting on February 11, 2016, and then decided to cease all participation in the practices, "despite the pressure from some of its competitors"710. Aside from the fact that SLM does not describe the pressures it allegedly suffered, it appears that it was able to exit the agreement for at least two years, starting in 2016, during which it claims to have been the target of pressures. Assuming that such pressures, whatever their form, were exerted, it appears that they did not constitute irresistible pressure, since they did not persuade SLM to resume its participation in the agreement.</w:t>
      </w:r>
    </w:p>
    <w:p>
      <w:r>
        <w:t>807. As for A2C, it emerges from its observations in the report that it does not establish any particular pressure, aside from reproaches from competitors such as KP1 regarding its low prices.</w:t>
      </w:r>
    </w:p>
    <w:p>
      <w:r>
        <w:t>808. Finally, if SEAC claims to have also been compelled to participate in the agreement, the justification it puts forward is not convincing. It explains that the market shares of KP1 and Rector were such that, in order to win tenders, particularly in Ile-de-France, it had no choice but to participate in the agreement. It thus does not demonstrate any irresistible pressure, but rather indicates an individual incentive.</w:t>
      </w:r>
    </w:p>
    <w:p>
      <w:r>
        <w:t>809. Consequently, the Authority will not retain any mitigating circumstance related to the existence of pressures.</w:t>
      </w:r>
    </w:p>
    <w:p>
      <w:r>
        <w:t>On the ignorance of the illicit nature of the practices</w:t>
      </w:r>
    </w:p>
    <w:p>
      <w:r>
        <w:t>810. In order to be recognized as a mitigating circumstance, A2C states its status as a regional and family-owned SME that employs no legal expert and lacks the internal means that would have allowed it to be aware of competition law. It was therefore unaware of the illicit nature of the practices.</w:t>
      </w:r>
    </w:p>
    <w:p>
      <w:r>
        <w:t>811. However, ignorance of the illicit nature is not taken into account by the Authority as a mitigating circumstance on its own. Aside from the fact that it is not mentioned in the sanctions communiqué, it is not retained by the decision-making practice in the absence of other factual circumstances such as assurances given, wrongly, by the Administration regarding the possibility of benefiting from an exemption711, or the ambiguity of the Administration's positioning on the legality of a practice capable of creating a "reasonable and legitimate doubt"712. In this regard, the Authority has unequivocally expressed in its decision n° 22-D-21 that "the circumstance that [the association of companies in question] was not aware of the seriousness of the practices does not constitute a mitigating circumstance"713.</w:t>
      </w:r>
    </w:p>
    <w:p>
      <w:r>
        <w:t>812. A2C's arguments on this point will therefore be dismissed.</w:t>
      </w:r>
    </w:p>
    <w:p>
      <w:r>
        <w:t>On the role of free riders disrupting the functioning of the agreement</w:t>
      </w:r>
    </w:p>
    <w:p>
      <w:r>
        <w:t>813. Several companies argue that they have sustainably adopted competitive behavior for a substantial part of the products involved in the practices, to the point of disrupting the functioning of the agreement by acting as "free riders."</w:t>
      </w:r>
    </w:p>
    <w:p>
      <w:r>
        <w:t>814. According to point 37 of the sanctions communiqué, a reduction of the sanction may be justified when the individual behavior of a company demonstrates that it has "sustainably adopted competitive behavior, for a substantial part of the products or services involved, to the point of having disrupted, as a free rider, the very functioning of the practice in question."</w:t>
      </w:r>
    </w:p>
    <w:p>
      <w:r>
        <w:t>815. The decision-making practice714 and national and Union jurisprudence715 have accepted that this circumstance could lead to a mitigation of the individual sanction. However, as the Authority recalled in the aforementioned decision n° 19-D-24, "to be taken into consideration, this mitigating circumstance must be demonstrated by the company or organization that alleges it. While it is not required that the interested party publicly distanced itself from the infringement, it is nevertheless not sufficient that it has violated, in a punctual or partial manner, the common discipline"716.</w:t>
      </w:r>
    </w:p>
    <w:p>
      <w:r>
        <w:rPr>
          <w:b/>
        </w:rPr>
        <w:t>[Pages 181–183]</w:t>
      </w:r>
    </w:p>
    <w:p>
      <w:r>
        <w:t>816. In this decision, the Authority granted a 15% reduction on the base amount of the sanction imposed on a company, observing from the documents in the file that "the other participants in the agreement [have] several times reproached it for its behavior," demonstrating a deviation in relation to the "common discipline" to the point of disrupting the functioning of the agreement, and thereby gaining numerous market shares.</w:t>
      </w:r>
    </w:p>
    <w:p>
      <w:r>
        <w:t>On the situation of SEAC</w:t>
      </w:r>
    </w:p>
    <w:p>
      <w:r>
        <w:t>817. SEAC claims not to have complied with the terms of the agreement, particularly in Ile-de-France, and cites in this regard the example of a construction site in Champigny-sur-Marne that SEAC allegedly won thanks to "an extremely aggressive pricing policy," applying a precast slab price of €17.50 per square meter, compared to an average price of €21.717. SEAC further asserts that its prices were "widely commented on" by the other participants, who lamented their low level. It cites a telephone conversation on June 21, 2018, during which 1... (SLM) informed Mr. L... (A2C) of the low prices practiced by SEAC on "a construction site of Saint-Denis Construction": "yesterday I [saw] price reductions from SEAC. Precast slab of 6: 17.50, Precast slab of 8: 19.50 (...)". Mr. L... reportedly expressed concern about these figures by stating: "They are crazy."</w:t>
      </w:r>
    </w:p>
    <w:p>
      <w:r>
        <w:t>818. However, the examples cited by SEAC only concern two construction sites, which are isolated events in light of the scope and duration of the agreement, and merely establish that SEAC has partially or occasionally disregarded the common discipline. It cannot therefore be concluded that it has sustainably adopted competitive behavior to the point of disrupting the functioning of the agreement.</w:t>
      </w:r>
    </w:p>
    <w:p>
      <w:r>
        <w:t>819. There is therefore no reason to consider any mitigating circumstance regarding any free-rider behavior in favor of SEAC.</w:t>
      </w:r>
    </w:p>
    <w:p>
      <w:r>
        <w:t>On the situation of Rector</w:t>
      </w:r>
    </w:p>
    <w:p>
      <w:r>
        <w:t>820. Rector argues that it has adopted sustainably competitive behavior in three segments covered by the first two grievances.</w:t>
      </w:r>
    </w:p>
    <w:p>
      <w:r>
        <w:t>821. In the segment of precast concrete products sold to CMIs and trading companies, Rector would have continued to apply low prices in violation of the pricing instructions given by its competitors. It mentions two email exchanges from February-March 2014 and February 2018718 highlighting the lack of consistency between the announced price increases and the prices observed on the ground. Rector also recalls that it provided incorrect information to KP1719.</w:t>
      </w:r>
    </w:p>
    <w:p>
      <w:r>
        <w:t>822. However, Rector itself explains that the announced prices are the average selling prices before discounts. The prices actually applied are, on the other hand, the result of negotiations with buyers, who have high bargaining power, which explains the observed discrepancy. Thus, this argument is not sufficient to demonstrate competitive behavior by Rector. Furthermore, the allegedly incorrect figures (in light of the mention "false figures" from KP1),717 do not in themselves, as Rector believes it can support, attest to a competitive zeal put to the service of sabotaging the agreement.</w:t>
      </w:r>
    </w:p>
    <w:p>
      <w:r>
        <w:t>823. Regarding the segment of precast concrete products covered by the first grievance, hollow-core slabs and precast slabs, Rector cites several elements that it believes demonstrate that it continued to adopt competitive behavior during the duration of the practices.</w:t>
      </w:r>
    </w:p>
    <w:p>
      <w:r>
        <w:t>824. However, the vast majority of the arguments put forward by Rector in this regard720 concern the lack of evidence of the company's involvement in one or more aspects of the practices: non-communication to Rector of the price grid established by KP1, A2C, and Soprel, non-participation of Rector in a meeting where representatives of competing companies were present, weakness of evidence of participation in the practices before 2008, for example. These factual elements reflect the intensity of Rector's participation in the practices and can be taken into account regarding the individual participation of the company. However, they have no influence on the characterization of free-rider behavior in the sense of the sanctions press release and the decision-making practice.</w:t>
      </w:r>
    </w:p>
    <w:p>
      <w:r>
        <w:t>825. To support its claim that it did not comply with the terms of the agreement, Rector also relies on a series of email exchanges cited in the notification of grievances, particularly internal emails from KP1, which report the difficulty in enforcing the agreed prices on construction sites in the West region721. However, Rector explained elsewhere, in its leniency statement, that in this region, the prices decided in common with competitors were communicated to the salespeople, who were not aware of the practices and sometimes did not apply the instructions722. The gap between the agreed prices and the prices practiced therefore does not correspond to a voluntary approach by Rector aimed at deviating from the line defined in common.</w:t>
      </w:r>
    </w:p>
    <w:p>
      <w:r>
        <w:t>826. Rector's arguments will therefore be rejected.</w:t>
      </w:r>
    </w:p>
    <w:p>
      <w:r>
        <w:t>On the situation of A2C</w:t>
      </w:r>
    </w:p>
    <w:p>
      <w:r>
        <w:t>827. A2C claims that it tried to exit the system of the agreement and exhibited free-rider behavior, notably by adopting a low pricing policy, contrary to the competitors participating in the agreement. It cites several exchanges or statements present in the file that testify to the annoyance of A2C's competitors.</w:t>
      </w:r>
    </w:p>
    <w:p>
      <w:r>
        <w:t>828. Thus, Mr. M... (Soprel) complained twice, in October 2016723 and in November 2017724, to Mr. L... (A2C) that the prices practiced by A2C were too low. In a text message, he notably urgently asked regarding the Eiffage site in Lognes: "Why are you doing 20 to €33?? Eiffage Lognes. Even for 100,000 m2 in 20 I do 36. + handling... STOP THE LOW PRICES."</w:t>
      </w:r>
    </w:p>
    <w:p>
      <w:r>
        <w:t>829. A2C also cites hearings of representatives of KP1 who reported price reductions from A2C. Mr. Z... notably described, on November 20, 2018, the evolution of the agreement "from 2015 or 2016": "KP1 lost market shares at that time because we refused to lower prices as much as our competitors. The companies that lowered prices were RECTOR and A2C"725. Similarly, according to Mr. B...'s statements, meetings between competitors within the GIE ThermoPrédalle would have ceased during the year 2017 "as soon as A2C was accused of not having respected the agreement on prices, by practicing prices lower than those decided in consultation. It was notably RECTOR who complained about this to everyone (...), that the company A2C did not respect the terms of the agreement"726.</w:t>
      </w:r>
    </w:p>
    <w:p>
      <w:r>
        <w:t>830. A2C asserts that this circumstance is supported by other conversations, for example in a text message from November 11, 2017, between Mr. J... (KP1) and Mr. M... (Soprel): "[d]o you have contacts with A2C? The precast slab ep 8 at €22.5 on BY Issy is completely crazy"727. It mentions another telephone conversation that took place on June 13, 2018, between Mr. M... and Mr.2... (FB), during which A2C's deficient participation was denounced: "[e]veryone is playing the game. (...) Except A2C, which said (...) at the beginning 'No, but anyway, I [do not] want to... there you go.' And then later it said 'I will apply the grid if there is a grid' and then afterwards it [does not] apply it"728.</w:t>
      </w:r>
    </w:p>
    <w:p>
      <w:r>
        <w:t>831. A2C believes that these circumstances, which reflect the constrained nature of its participation in the agreement and its resistance to the system established by the other participants, should lead the Authority to moderate the financial sanction.</w:t>
      </w:r>
    </w:p>
    <w:p>
      <w:r>
        <w:t>832. It emerges from the elements present in the file that A2C, despite its participation in the meetings, maintained to a significant extent competitive behavior. It notably practiced low prices, going against the collective discipline, to the point of regularly provoking the annoyance of the other participants.</w:t>
      </w:r>
    </w:p>
    <w:p>
      <w:r>
        <w:t>833. In its decision-making practice729, confirmed on this point by the Paris Court of Appeal730, the Authority retained, for example, this mitigating circumstance in favor of Andros, noting that this company had gained market shares during the infringement period and that the other participants in the agreement had several times reproached it for its behavior, which demonstrated that it had not respected the common discipline of the agreement to the point of disrupting its functioning. The Authority had granted it a 15% reduction in the base amount of the sanction for this reason.</w:t>
      </w:r>
    </w:p>
    <w:p>
      <w:r>
        <w:t>834. In light of the conditions recalled in paragraphs 814 to 816, the Authority considers that in this case, A2C exhibited free-rider behavior in the sense of the sanctions press release and its decision-making practice. This circumstance justifies reducing the sanction that will be imposed on A2C by a 15% reduction on the base amount.</w:t>
      </w:r>
    </w:p>
    <w:p>
      <w:r>
        <w:t>On the situation of SPL</w:t>
      </w:r>
    </w:p>
    <w:p>
      <w:r>
        <w:t>835. SPL argues that it has adopted sustainably competitive behavior, particularly by terminating on December 15, 2017, the supply and procurement contract that linked it to...</w:t>
      </w:r>
    </w:p>
    <w:p>
      <w:r>
        <w:rPr>
          <w:b/>
        </w:rPr>
        <w:t>[Pages 184–186]</w:t>
      </w:r>
    </w:p>
    <w:p>
      <w:r>
        <w:t>KP1 and ceasing "purely and simply" to participate in meetings with KP1 as of May 24, 2018. It invokes these circumstances to seek a reduction in the amount of its sanction.</w:t>
      </w:r>
    </w:p>
    <w:p>
      <w:r>
        <w:t>836. However, the mitigating circumstances presented by SPL relate to a period after December 15, 2017, the date that was retained as the end of the practices referred to in the complaint. SPL's resistance to KP1's anticompetitive behavior and the adoption of autonomous behavior in the market are, in this case, taken into account by the choice to retain a shorter duration of infringement than that proposed by the investigation services in the notification of grievances.</w:t>
      </w:r>
    </w:p>
    <w:p>
      <w:r>
        <w:t>837. Therefore, there is no reason to further reduce the amount of the sanction for the practices established before December 15, 2017.</w:t>
      </w:r>
    </w:p>
    <w:p>
      <w:r>
        <w:t>On the other circumstances invoked</w:t>
      </w:r>
    </w:p>
    <w:p>
      <w:r>
        <w:t>838. Finally, SEAC argues, on the one hand, that it did not derive any profit from the agreement and that its results and market shares increased after the period of the practices for which it is being accused and, on the other hand, that the Authority should take into account the fact that it cooperated with the investigation services and adopted a code of conduct aimed at preventing any anticompetitive practices in the future.</w:t>
      </w:r>
    </w:p>
    <w:p>
      <w:r>
        <w:t>839. Firstly, regarding the alleged absence of profit, it follows from case law that the fact that a company did not derive profit from an agreement does not call into question its participation in the established anticompetitive practices and cannot be taken into account to mitigate the sanction.</w:t>
      </w:r>
    </w:p>
    <w:p>
      <w:r>
        <w:t>840. Secondly, as indicated in the sanctions communiqué, a company's cooperation with the Authority, outside of the leniency procedure, can only justify a mitigation of the sanction if the company goes beyond the obligations to which it is legally subject. Even if SEAC established a code of good conduct or took internal compliance measures, these circumstances do not demonstrate that it went beyond its legal obligations.</w:t>
      </w:r>
    </w:p>
    <w:p>
      <w:r>
        <w:t>841. SEAC's arguments on this point will therefore be rejected.</w:t>
      </w:r>
    </w:p>
    <w:p>
      <w:r>
        <w:t>b) Other elements of individualization</w:t>
      </w:r>
    </w:p>
    <w:p>
      <w:r>
        <w:t>842. According to point 39 of the sanctions communiqué, after individually adjusting the amount of the sanction in light of any aggravating and mitigating circumstances, the Authority may then adapt the obtained amount upwards or downwards, in order to ensure that the financial sanction is both deterrent and proportionate, "taking into account other objective elements specific to the situation of the company or the association of companies concerned."</w:t>
      </w:r>
    </w:p>
    <w:p>
      <w:r>
        <w:t>843. Among these elements are particularly the membership of the company in a group with significant economic power or substantial global resources and, conversely, the "single-product" nature of the company.</w:t>
      </w:r>
    </w:p>
    <w:p>
      <w:r>
        <w:t>The membership of IB in a powerful group</w:t>
      </w:r>
    </w:p>
    <w:p>
      <w:r>
        <w:t>844. The fact that a company has significant financial power may justify that the sanction imposed on it, considering one or more specific infringements, is higher than it would be otherwise, in order to ensure that the financial sanction is both deterrent and proportionate. In this regard, the Court of Cassation has specified that the effectiveness of the fight against anticompetitive practices requires that the financial sanction be effectively deterrent – an objective also highlighted regarding sanctions that may be imposed in cases of violation of national competition rules, by the judgment of the European Court of Human Rights of September 27, 2011, Menarini Diagnostics/Italy – in light of the financial situation specific to each company at the time it is sanctioned.</w:t>
      </w:r>
    </w:p>
    <w:p>
      <w:r>
        <w:t>845. The Union's case law also considers that an increase on this basis, as it refers to the overall financial situation of the company, is likely to make the financial sanction all the more deterrent and proportionate.</w:t>
      </w:r>
    </w:p>
    <w:p>
      <w:r>
        <w:t>846. The sanctions communiqué provides that the Authority may increase the amount of the sanction to take into account the fact that the company or the group to which the company belongs has significant economic power or substantial global resources.</w:t>
      </w:r>
    </w:p>
    <w:p>
      <w:r>
        <w:t>847. IB argues, in its observations in response to the report, that the increase on this basis cannot be automatic but must be applied in order to ensure a goal of repression and deterrence. It emphasizes that the alleged participation of IB in the practices has no connection with its membership in the CRH group, which has been implementing "a solid compliance program with competition law" for many years.</w:t>
      </w:r>
    </w:p>
    <w:p>
      <w:r>
        <w:t>848. However, the Paris Court of Appeal clarified that it is not for the Authority to demonstrate how membership in a group played a role in the commission of the practices when the parent companies to which the practices have been attributed and the company that committed the practices constitute a single enterprise in the sense of competition law.</w:t>
      </w:r>
    </w:p>
    <w:p>
      <w:r>
        <w:t>849. In this case, the practices implemented by IB have been attributed to its parent companies CHR France and CHR plc.</w:t>
      </w:r>
    </w:p>
    <w:p>
      <w:r>
        <w:t>850. The overall financial resources of the CHR group are very significant, given that its worldwide turnover excluding taxes amounted to more than €30 billion in 2022. The value of sales retained to determine the base amount of the sanction to be imposed on IB therefore represents barely 0.003% of this figure.</w:t>
      </w:r>
    </w:p>
    <w:p>
      <w:r>
        <w:t>851. Given these elements, in order to give the financial sanction a deterrent and effective effect, the Authority will increase the base amount of the individual sanction on IB by 100%, for which its parent companies CHR France and CHR plc are also jointly liable.</w:t>
      </w:r>
    </w:p>
    <w:p>
      <w:r>
        <w:t>Single-product nature of the companies</w:t>
      </w:r>
    </w:p>
    <w:p>
      <w:r>
        <w:t>852. According to paragraph 40 of the sanctions communiqué, the Authority may reduce the sanction to take into account the fact that the company concerned "conducts the majority of its activity in the sector or market related to the infringement" (single-product company). Taking into account the single-product nature of the company aims to prevent the application of the normal method of determining sanctions from resulting in disproportionate amounts.</w:t>
      </w:r>
    </w:p>
    <w:p>
      <w:r>
        <w:t>853. The Court of Cassation recalled in a judgment of November 8, 2017, that the assessment of the single-product nature of a company is based on the comparison between the basis of the sanction – the value of sales related to the infringement made in France – and the turnover of the company bearing the burden of the fine or the economic unit to which the sanction is attributed, which includes its author and, where applicable, its parent company.</w:t>
      </w:r>
    </w:p>
    <w:p>
      <w:r>
        <w:t>854. It should be specified that, according to this case law, the reference turnover for the application of this mitigation criterion is that of the company to which the infringement is attributed, either as the author of the practices or as an economic unit in the sense of competition law.</w:t>
      </w:r>
    </w:p>
    <w:p>
      <w:r>
        <w:t>855. In this case, several companies invoke their single-product nature in the sense of the sanctions communiqué.</w:t>
      </w:r>
    </w:p>
    <w:p>
      <w:r>
        <w:t>856. FB argues that since 2008, over 90% of the turnover it generates from construction companies comes from the sale of hollow-core slabs.</w:t>
      </w:r>
    </w:p>
    <w:p>
      <w:r>
        <w:t>857. However, it appears from the elements of the file that the value of sales retained to determine the base amount of the sanction for FB represents 67% of the turnover generated by this company during the corresponding fiscal year. This proportion justifies applying the single-product criterion to it and granting it a 50% reduction on the amount of the sanction.</w:t>
      </w:r>
    </w:p>
    <w:p>
      <w:r>
        <w:t>858. Rector, arguing that the sector related to the infringement constitutes a homogeneous family of products, states that the value of sales it has made in connection with the practices, all grievances combined, represents 94% of its total consolidated turnover. It therefore requests the Authority to reduce its sanction by an amount between 70% and 90% of the base amount.</w:t>
      </w:r>
    </w:p>
    <w:p>
      <w:r>
        <w:t>859. Rector thus invites the Authority to consider the sum of the values of sales retained for the two grievances against it and to relate this figure to its overall turnover. This method amounts to considering the sales related to all the infringements in the precast concrete products sector and not on the market concerned by each grievance.</w:t>
      </w:r>
    </w:p>
    <w:p>
      <w:r>
        <w:rPr>
          <w:b/>
        </w:rPr>
        <w:t>[Pages 187–189]</w:t>
      </w:r>
    </w:p>
    <w:p>
      <w:r>
        <w:t>860. As the Authority specified in its decision No. 16-D-11, "the notion of [single-product company] should only be used in the context of a specific infringement committed in particular markets, both product markets and geographic markets, so that it can fulfill its function: to identify a situation in which the basis for the sanction, that is to say, the value of sales related to the infringement, is close to the turnover of the sanctioned company, which may lead to an adaptation of the method for determining the sanction."740 In the case at hand, as explained above, the first two grievances relate to markets whose connection justified the imposition of a single sanction. Under these conditions, the assessment of the single-product company criterion proposed by Rector appears consistent and capable of "fulfilling the function" of this notion in the sense of decision-making practice.</w:t>
      </w:r>
    </w:p>
    <w:p>
      <w:r>
        <w:t>861. However, the Authority notes that the value of sales considered in the case of Rector, limited to sales of precast slabs and hollow-core slabs, does not represent 94% of the company's turnover, but only 73%. The requested reduction would therefore be disproportionate. The single-product company criterion, fulfilled in this case, justifies granting Rector a 50% reduction on the base amount of the sanction.</w:t>
      </w:r>
    </w:p>
    <w:p>
      <w:r>
        <w:t>862. Soprel observes that almost all of its turnover results from the sale of precast slabs and hollow-core slabs. Given this particularity, it invites the Authority to apply a very high reduction rate, on the order of 90%.</w:t>
      </w:r>
    </w:p>
    <w:p>
      <w:r>
        <w:t>863. The Authority notes that the value of sales considered as the basis for Soprel's sanction indeed represents more than [&gt;90]% of its turnover. It will take this circumstance into account and thus grant Soprel a 90% reduction on the base amount of the said sanction.</w:t>
      </w:r>
    </w:p>
    <w:p>
      <w:r>
        <w:t>864. SPL claims that the sale of precast walls since 2011 corresponds to 95.9% of its total turnover excluding taxes, a figure that would even rise to 99.1% during the accounting year ending December 31, 2017.</w:t>
      </w:r>
    </w:p>
    <w:p>
      <w:r>
        <w:t>865. Given the end date of practices, namely December 15, 2017, the Authority notes that the value of sales and the accounting year proposed by SPL to assess its single-product nature are not relevant. Nevertheless, the Authority finds that sales of precast walls represented more than 90% of SPL's turnover during the 2016 fiscal year and more than 95% during the entire period from 2010 to 2016, which allows the single-product company criterion to be considered satisfied. The Authority will therefore grant SPL a 90% reduction on the base amount of the sanction.</w:t>
      </w:r>
    </w:p>
    <w:p>
      <w:r>
        <w:t>On other factors of individualization</w:t>
      </w:r>
    </w:p>
    <w:p>
      <w:r>
        <w:t>866. The factors for individualizing the sanction mentioned in the sanctions press release are not subject to an exhaustive enumeration. It can be recalled that the Authority can indeed take into account "other elements specific to the situation of the company or the association of companies concerned."</w:t>
      </w:r>
    </w:p>
    <w:p>
      <w:r>
        <w:t>740 Decision No. 16-D-11 of June 6, 2016, regarding practices implemented in the television broadcasting sector via terrestrial radio waves, paragraph 348.</w:t>
      </w:r>
    </w:p>
    <w:p>
      <w:r>
        <w:t>867. In this case, several companies put forward other arguments in support of a moderation of the sanction.</w:t>
      </w:r>
    </w:p>
    <w:p>
      <w:r>
        <w:t>868. Rector thus argues that the new regulatory obligations for companies in the construction sector regarding environmental protection and sustainable development lead companies in the sector, in order to remain competitive, to make significant research and development efforts and substantial investments. Rector adds that the sanctions sought by the investigation services would exceed the net result and cash flow of the companies in the group receiving the notification of grievances and would thus jeopardize their borrowing capacity for many years.</w:t>
      </w:r>
    </w:p>
    <w:p>
      <w:r>
        <w:t>869. Other companies highlight the consequences of the war in Ukraine on the price of raw materials that enter into the composition of precast concrete products. SEAC, in particular, provides an estimate of the increase in the cost of various components likely to weaken the entire French construction sector: polystyrene bead (+51%), steel (+80% for active steel and +45% for passive steel), cements (+9%), and OSB panels (+100%).</w:t>
      </w:r>
    </w:p>
    <w:p>
      <w:r>
        <w:t>870. The circumstances invoked by the companies (regulatory obligations and the war in Ukraine) affect the sector and, as such, are general circumstances common to companies in the sector and not objective elements specific to the situation of a particular company in the sense of the sanctions press release. In the context of the methodology followed by the Authority for determining sanctions, they therefore do not need to be taken into account for individualization.</w:t>
      </w:r>
    </w:p>
    <w:p>
      <w:r>
        <w:t>871. Furthermore, the Authority recalls, as indicated in paragraph 750 above, that according to consistent case law, the constraints faced by companies due to the characteristics of their sector do not, by themselves, justify a mitigation of the sanction.</w:t>
      </w:r>
    </w:p>
    <w:p>
      <w:r>
        <w:t>872. On the other hand, to the extent that the factors mentioned by these companies may have an impact on the figures presented in the financial statements, such as indebtedness, the cost of raw materials, or investments, they may prove relevant for assessing any financial difficulties.</w:t>
      </w:r>
    </w:p>
    <w:p>
      <w:r>
        <w:t>On the intensity of the individual participation of companies</w:t>
      </w:r>
    </w:p>
    <w:p>
      <w:r>
        <w:t>873. When sanctioning several companies for their participation in a single and continuous agreement, the Authority may take into account the intensity of each company's participation and moderate the sanction accordingly, by applying a flat-rate reduction to the base amount of the sanction.</w:t>
      </w:r>
    </w:p>
    <w:p>
      <w:r>
        <w:t>874. As the Authority indicated in decision No. 20-D-09, "this method effectively reflects, in the fine imposed on the accused, the differences in responsibility of each company."741 Furthermore, the Paris Court of Appeal, which approves the Authority's use of this faculty, emphasizes that the sanctions press release "does not provide for any ceiling in this regard, so that it is free, if necessary, to adapt its decision-making practice to the particularities of each case."</w:t>
      </w:r>
    </w:p>
    <w:p>
      <w:r>
        <w:t>875. As demonstrated, the infringement established under the first grievance consists of a single and continuous agreement whose organization at the national level resulted from common management by KP1, Rector, and SEAC. As for the other accused companies, it has been established that they participated in the agreement in its implementation at the regional level, without it being demonstrated, as indicated in paragraph 477, that they were aware of the common management by the three aforementioned companies. Moreover, these same companies did not take part in the agreement concerning products intended for wholesalers and CMI, as referred to in grievance 2. In light of these circumstances, the Authority considers it proportionate to grant companies other than Rector, KP1, and SEAC, namely A2C, FB, IB, SLM, Soprel, and Strudal, a 30% reduction on the base amount of their monetary sanction.</w:t>
      </w:r>
    </w:p>
    <w:p>
      <w:r>
        <w:t>876. As for SEAC, it appears from the elements of the file that despite the important role it played in the national management of the agreement subject to grievance 1, its participation in the regional implementation of it has been variable. In Ile-de-France, in particular, as explained in paragraphs 95 and following, SEAC did not participate in the vast majority of multilateral exchanges or "tables" and did not appear to have maintained bilateral contacts with competing companies. Therefore, its participation in the agreement can be considered relatively less intense than that of KP1 and Rector. Furthermore, it should be recalled that the practices referred to in grievance 2 are time-barred concerning SEAC. It will thus be granted a 15% reduction on the base amount of the sanction.</w:t>
      </w:r>
    </w:p>
    <w:p>
      <w:r>
        <w:t>877. Finally, regarding FB, the Authority notes that its participation in the agreement was limited to the Ile-de-France region, which represents a marginal share of its activity, which is primarily deployed in the North and East of the country. Therefore, the value of sales retained above, although it accounts for categories directly or indirectly related to the infringement at the national level, largely exceeds the scope of the products actually concerned by FB's participation in the agreement. To ensure that the sanction remains proportionate, the Authority will take this circumstance into account, which is an objective element specific to the company's situation in the sense of the sanctions press release, and will grant FB an additional reduction of 60%. By combining the three reductions (30% for limited participation, 50% due to the single-product nature, and then 60%), the base amount of FB's sanction will thus be reduced by 86%.</w:t>
      </w:r>
    </w:p>
    <w:p>
      <w:r>
        <w:t>4. ON RECIDIVISM</w:t>
      </w:r>
    </w:p>
    <w:p>
      <w:r>
        <w:t>878. The fifth paragraph of I of Article L. 464-2 of the Commercial Code mentions recidivism as an element in the calculation of monetary sanctions alongside the duration of the infringement.</w:t>
      </w:r>
    </w:p>
    <w:p>
      <w:r>
        <w:rPr>
          <w:b/>
        </w:rPr>
        <w:t>[Pages 190–192]</w:t>
      </w:r>
    </w:p>
    <w:p>
      <w:r>
        <w:t>and the situation of the sanctioned company. The Authority may take it into account for purposes of repression or deterrence when the file indicates a propensity of the entity to disregard competition rules744. The case law of the Union goes in the same direction745.</w:t>
      </w:r>
    </w:p>
    <w:p>
      <w:r>
        <w:t>879. The Authority may consider the existence of a repetition when the following conditions, provided for in paragraph 44 of the sanctions communiqué, are met:</w:t>
        <w:br/>
        <w:t>- the existence of a previous infringement of competition law must have been established by a decision in French or European law before the end of the new practice;</w:t>
        <w:br/>
        <w:t>- the new practice must be identical or similar, in terms of its object or effects, to that which led to the previous finding of infringement;</w:t>
        <w:br/>
        <w:t>- the finding of infringement must have acquired a definitive character by the date on which the Authority rules on the new practice; and</w:t>
        <w:br/>
        <w:t>- the time elapsed between the previous finding of infringement and the start of the new practice is less than or equal to 15 years; it is specified that repetition will not be retained when the time in question exceeds fifteen years.</w:t>
      </w:r>
    </w:p>
    <w:p>
      <w:r>
        <w:t>880. Point 45 of the communiqué specifies that "the intermediate amount of the financial penalty (...) may be increased by a proportion between 15 and 50%, depending in particular on the time separating the start of the new practice from the previous finding of infringement and the nature of the various infringements involved."</w:t>
      </w:r>
    </w:p>
    <w:p>
      <w:r>
        <w:t>881. According to consistent case law, repetition may be retained for new practices similar, in their object or effects, to those that led to the previous finding of infringement, without this qualification requiring an identity regarding the practice implemented or the market concerned746.</w:t>
      </w:r>
    </w:p>
    <w:p>
      <w:r>
        <w:t>882. In this case, IB was sanctioned by the Competition Council in decision No. 03-D-12 of March 3, 2003, concerning the sector of precast concrete stairs, for participating in horizontal collusion practices. This decision, which has acquired a definitive character, was made nearly eleven years before the date considered as the start of IB's participation in the infringement referred to in the first complaint, namely February 12, 2014.</w:t>
      </w:r>
    </w:p>
    <w:p>
      <w:r>
        <w:t>883. IB argues in its observations on the report that its situation regarding the rules of repetition has a "very particular character." It indicates that at the time of the finding of infringement in 2003, the activity of manufacturing architectural elements and stairs, involved in the decision, had been sold in 1996 to another company. Thus, the company Partek Morin, which became IB, had been sanctioned in 2003 for an activity it had not been engaged in for a long time. It adds that IB was not yet part of the CRH group.</w:t>
      </w:r>
    </w:p>
    <w:p>
      <w:r>
        <w:t>744 See in particular decision No. 15-D-10 of June 11, 2015, concerning practices implemented by TDF at the Eiffel Tower site.</w:t>
        <w:br/>
        <w:t>745 CJEU, February 8, 2007, Groupe Danone/Commission, C-3/06 P, paragraph 47.</w:t>
        <w:br/>
        <w:t>746 See in this sense the judgment of the Paris Court of Appeal of September 27, 2018, No. 17/22720, paragraphs 33 and 41, as well as the judgment of the Paris Court of Appeal, November 16, 2023, RG No. 20/03434, 20/3438, 20/3454, 20/3462, and 20/3470 (joined cases), paragraph 757, and cited case law.</w:t>
      </w:r>
    </w:p>
    <w:p>
      <w:r>
        <w:t>884. The previous finding of infringement relates to a horizontal collusion (already in the sector of precast concrete products). The second criterion for repetition is therefore satisfied.</w:t>
      </w:r>
    </w:p>
    <w:p>
      <w:r>
        <w:t>885. As for the arguments put forward by IB to exclude the circumstance of repetition, it should be recalled, as the Paris Court of Appeal did in the aforementioned judgment, that "the aggravating circumstance of the repetition of anticompetitive practices is assessed according to the same rules as those applied in matters of liability"747.</w:t>
      </w:r>
    </w:p>
    <w:p>
      <w:r>
        <w:t>886. Thus, it matters little that the company responsible for the first infringement was sold to another company between the date of implementation of the first practices and that of the implementation of the second practices, which are the subject of this case, as long as, during the period of commission of each of these practices, IB formed with the responsible company – as its parent company – an economic unit such that the anticompetitive behavior could be attributed to it, even if the responsible companies are distinct. Thus, in several decisions748, the Authority has retained this circumstance with respect to the sole parent company.</w:t>
      </w:r>
    </w:p>
    <w:p>
      <w:r>
        <w:t>887. Consequently, the Authority will retain against IB the aggravating circumstance of repetition and will apply, taking into account the time that separates the first finding of infringement and the resumption of anticompetitive behavior by IB, an increase of 20% to the amount of the financial penalty. Considering all the individualization factors (increase of the penalty by 100% for belonging to a large group, reduction of 30% due to limited participation, and increase of 20% for repetition), the base amount of the penalty for IB will therefore be increased by 68%.</w:t>
      </w:r>
    </w:p>
    <w:p>
      <w:r>
        <w:t>5. ON FINAL ADJUSTMENTS</w:t>
      </w:r>
    </w:p>
    <w:p>
      <w:r>
        <w:t>888. The sanctions communiqué specifies in paragraph 46 that the Authority verifies that the amount of the financial penalty resulting from the individualization of the base amount and, where applicable, from the consideration of repetition, does not exceed the legal maximum, then incorporates any total or partial exemption granted under leniency and finally adjusts the penalty, if necessary, in light of the contributory capacity of the company or the association of companies.</w:t>
      </w:r>
    </w:p>
    <w:p>
      <w:r>
        <w:t>889. In this case, the individualized amount of the penalties for each company calculated according to the method outlined above, including the amount increased due to repetition, is presented in the following table.</w:t>
      </w:r>
    </w:p>
    <w:p>
      <w:r>
        <w:t>747 Ibid. paragraph 759 and Cass. com. January 6, 2015, appeals No. 13-22.477 and No. 13-21.305, Bull. No. 1.</w:t>
        <w:br/>
        <w:t>748 Decisions No. 13-D-09 of April 17, 2013, concerning practices implemented in the market for the reconstruction of watchtowers at the Perpignan prison (Eiffage Construction SAS, parent company of Eiffage Construction Languedoc-Roussillon), No. 12-D-24 of December 13, 2012, concerning practices implemented in the mobile telephony sector for residential customers in metropolitan France (France Télécom, parent company of Orange), confirmed in this respect by the judgment of the Paris Court of Appeal of May 19, 2016, RG No. 2013/01006, and No. 21-D-05 of March 4, 2021, concerning practices implemented in the technical management sector of buildings in Lille metropolitan urban community (Vinci SA, parent company of Santerne Nord Tertiaire), confirmed in this respect by the judgment of the Paris Court of Appeal of March 9, 2023, RG No. 21/06028, paragraphs 218-231.</w:t>
      </w:r>
    </w:p>
    <w:p>
      <w:r>
        <w:t>Individualized amounts of penalties</w:t>
        <w:br/>
        <w:t>Companies</w:t>
        <w:br/>
        <w:t>Complaints 1 and 2 Complaint 3 Complaint 4</w:t>
        <w:br/>
        <w:t>KP1 €242,633,929 €13,726,188 €27,360,341</w:t>
        <w:br/>
        <w:t>Strudal €3,431,540 €487,912</w:t>
        <w:br/>
        <w:t>A2C €6,393,516</w:t>
        <w:br/>
        <w:t>FB €551,576</w:t>
        <w:br/>
        <w:t>IB €3,111,418</w:t>
        <w:br/>
        <w:t>Rector €119,306,493</w:t>
        <w:br/>
        <w:t>of which Rector Lesage €100,509,795</w:t>
        <w:br/>
        <w:t>of which Planchers Fabre €18,796,698</w:t>
        <w:br/>
        <w:t>SEAC €26,169,210</w:t>
        <w:br/>
        <w:t>SLM €2,841,587</w:t>
        <w:br/>
        <w:t>Soprel €1,185,755</w:t>
        <w:br/>
        <w:t>Eurobéton €3,374,475</w:t>
        <w:br/>
        <w:t>SPL €775,066</w:t>
      </w:r>
    </w:p>
    <w:p>
      <w:r>
        <w:t>a) Verification of compliance with the legal maximum threshold</w:t>
      </w:r>
    </w:p>
    <w:p>
      <w:r>
        <w:t>890. Pursuant to I of Article L. 464-2 of the Commercial Code, the "maximum amount of the penalty is, for a company, 10% of the highest amount of worldwide turnover excluding taxes achieved during one of the fiscal years closed since the fiscal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This legal maximum is taken into account in the sanctions communiqué, which specifies that "the financial liability of each company regarding the payment of the fine cannot exceed the maximum amount set in accordance with [the aforementioned provisions]. If it exceeds the applicable maximum amount, the financial penalty is reduced to that figure"749.</w:t>
      </w:r>
    </w:p>
    <w:p>
      <w:r>
        <w:t>891. It should be recalled that, unlike the analysis grid outlined in paragraphs 852 and following regarding the mono-product nature of the company, the reference figure for calculating the 10% within the meaning of I of the aforementioned Article L. 464-2 is the turnover of the consolidating or combining company, as applicable, regardless of whether said company itself was the recipient of the notification of complaints.</w:t>
      </w:r>
    </w:p>
    <w:p>
      <w:r>
        <w:t>749 Sanctions communiqué, points 51 and 52.</w:t>
      </w:r>
    </w:p>
    <w:p>
      <w:r>
        <w:rPr>
          <w:b/>
        </w:rPr>
        <w:t>[Pages 193–195]</w:t>
      </w:r>
    </w:p>
    <w:p>
      <w:r>
        <w:t>892. As the Constitutional Council recalled, by this provision, "the legislator (...) intended to prevent strategies aimed at reducing, through capital restructuring of companies, the turnover of companies engaging in anticompetitive practices in order to minimize the maximum sanction incurred in the event that these practices were sanctioned, [adding that] this provision also aims to take into account the size and financial capacities of the targeted company in assessing the maximum amount of the sanction."750</w:t>
      </w:r>
    </w:p>
    <w:p>
      <w:r>
        <w:t>893. Consequently, it is appropriate to refer to the consolidated accounts of the companies receiving the grievances.</w:t>
      </w:r>
    </w:p>
    <w:p>
      <w:r>
        <w:t>894. In this case, for each of the companies concerned, the amount of global turnover excluding taxes retained and the corresponding legal maximum are presented below.</w:t>
      </w:r>
    </w:p>
    <w:p>
      <w:r>
        <w:t>Global turnover excluding taxes highest between the year preceding the start of the practices and today</w:t>
      </w:r>
    </w:p>
    <w:p>
      <w:r>
        <w:t>Companies | Amount | Legal maximum</w:t>
        <w:br/>
        <w:t>KP1 | [confidential] € (2022) | [confidential] €</w:t>
        <w:br/>
        <w:t>Strudal | [confidential] € (2020) | [confidential] €</w:t>
        <w:br/>
        <w:t>A2C | [confidential] € (2019) | [confidential] €</w:t>
        <w:br/>
        <w:t>FB | [confidential] € (2013) | [confidential] €</w:t>
        <w:br/>
        <w:t>IB | [confidential]751 € (2022) | [confidential] €</w:t>
        <w:br/>
        <w:t>Rector | [confidential] € (2021) | [confidential] €</w:t>
        <w:br/>
        <w:t>SEAC | [confidential] € (2008) | [confidential] €</w:t>
        <w:br/>
        <w:t>SLM | [confidential] € (2019) | [confidential] €</w:t>
        <w:br/>
        <w:t>Soprel | [confidential] € (2022) | [confidential] €</w:t>
        <w:br/>
        <w:t>Eurobéton | [confidential] € (2022) | [confidential] €</w:t>
        <w:br/>
        <w:t>SPL | [confidential] € (2019) | [confidential] €</w:t>
      </w:r>
    </w:p>
    <w:p>
      <w:r>
        <w:t>895. The Authority notes that the individualized amounts indicated in paragraph 889 exceed the legal maximum concerning KP1, Rector, and SEAC. Consequently, the individualized amounts of the sanction incurred by these three companies are reduced to the following figures:</w:t>
        <w:br/>
        <w:t>− KP1: 38,095,800 euros;</w:t>
        <w:br/>
        <w:t>− Rector: 33,935,000 euros;</w:t>
        <w:br/>
        <w:t>− SEAC: 10,994,761 euros.</w:t>
      </w:r>
    </w:p>
    <w:p>
      <w:r>
        <w:t>b) On the consideration of the leniency procedure</w:t>
      </w:r>
    </w:p>
    <w:p>
      <w:r>
        <w:t>896. If applicable, the Authority reduces the amount of the monetary sanction to take into account the total or partial exemption granted under the implementation of the leniency procedure governed by IV of Article L. 464-2 of the Commercial Code. This reduction is determined according to the modalities indicated in the relevant and applicable procedural communiqué752. In this case, the first leniency request related to this procedure dates from October 30, 2018, the relevant text is the procedural communiqué of April 3, 2015, relating to the French leniency program (hereinafter "leniency communiqué").</w:t>
      </w:r>
    </w:p>
    <w:p>
      <w:r>
        <w:t>897. Two companies obtained from the Authority a conditional leniency notice.</w:t>
      </w:r>
    </w:p>
    <w:p>
      <w:r>
        <w:t>898. KP1, the first leniency applicant, obtained the conditional benefit of leniency by notice No. 20-AC-01 of September 18, 2020, for a partial exemption from fines ranging from 25% to 40%753 for the practices referred to – subsequently in the notification of grievances – by grievances 1 to 4.</w:t>
      </w:r>
    </w:p>
    <w:p>
      <w:r>
        <w:t>899. The company Rector Lesage and its parent company, Lesage Industrie du Béton, considered together as the second leniency applicant754, obtained the conditional benefit of leniency by notice No. 20-AC-03 of December 16, 2020, for a partial exemption from fines ranging from 15% to 30%755, for the practices subsequently referred to by grievance 1.</w:t>
      </w:r>
    </w:p>
    <w:p>
      <w:r>
        <w:t>Reminder of applicable principles</w:t>
      </w:r>
    </w:p>
    <w:p>
      <w:r>
        <w:t>900. IV of Article L. 464-2 of the Commercial Code makes the implementation of the leniency procedure subject to two conditions.</w:t>
      </w:r>
    </w:p>
    <w:p>
      <w:r>
        <w:t>901. First, the leniency applicant who has, with others, implemented a practice prohibited by Article L. 420-1 of the Commercial Code, must contribute to establishing the reality of this practice and identifying its authors, by providing information elements that the Authority did not previously possess. It is in consideration of these elements that, when it adopts a decision establishing the existence of an infringement and imposing a sanction on its authors, the Authority may grant an exemption from monetary sanctions proportionate to the contribution that the leniency applicant has made to the establishment of the infringement.</w:t>
      </w:r>
    </w:p>
    <w:p>
      <w:r>
        <w:t>902. The Authority thus recalled in its decision No. 20-D-09 that "it is in consideration of these elements that, when it adopts a decision establishing the existence of an infringement and imposing a sanction on its authors, [it] may grant an exemption from monetary sanctions proportionate to the contribution made by the leniency applicant to the establishment of the infringement."756</w:t>
      </w:r>
    </w:p>
    <w:p>
      <w:r>
        <w:t>903. Secondly, the leniency applicant must comply with the specific conditions set out in the leniency notice. The Authority may indeed subject, on a case-by-case basis, that is to say in each case it has to consider and for each leniency request made in this context, the granting of leniency to specific conditions whose compliance it assesses at the time of the decision. According to point 23 of the leniency communiqué, the leniency applicant must provide "genuine, total, ongoing, and prompt cooperation from the submission of its request and throughout the investigation and inquiry procedure."757, cooperation whose effectiveness is decisive for obtaining the exemption envisaged by the leniency notice. As the Authority recalled in its decision No. 11-D-17: "the cooperation expected from the applicant is not exhausted by merely submitting its leniency request: it remains necessary throughout the period separating the submission of this request from the holding of the college session, passing through the various stages of the preliminary investigation phase and the inquiry procedure."758</w:t>
      </w:r>
    </w:p>
    <w:p>
      <w:r>
        <w:t>904. Finally, companies that may claim the benefit of a partial exemption may be eligible for an additional exemption in certain cases. II of Article R. 464-5-2 of the Commercial Code thus provides that "when an applicant is the first to provide decisive information enabling the Authority to establish additional factual elements leading to an increase in the monetary sanctions imposed on the participants in the practice in question compared to those that would have been imposed in the absence of these elements, the Competition Authority does not take this into account when determining the amount of the sanction imposed on the applicant who provided these information elements." The leniency communiqué thus provides that "if the company submitting the request is the first to provide indisputable evidence enabling the Authority to establish additional factual elements that have a direct impact on the determination of the amount of monetary sanctions imposed on the participants in the cartel, the Authority will not take these facts into account when setting the amount of the fine imposed on the company that provided them."759</w:t>
      </w:r>
    </w:p>
    <w:p>
      <w:r>
        <w:t>905. Three conditions must thus be met for an additional exemption to be applied to the leniency applicant:</w:t>
        <w:br/>
        <w:t>− the company must provide decisive information elements;</w:t>
        <w:br/>
        <w:t>− these information elements must establish additional factual elements;</w:t>
        <w:br/>
        <w:t>− the additional factual elements must lead to an increase in the monetary sanctions imposed on the participants in the cartel.</w:t>
      </w:r>
    </w:p>
    <w:p>
      <w:r>
        <w:rPr>
          <w:b/>
        </w:rPr>
        <w:t>[Pages 196–198]</w:t>
      </w:r>
    </w:p>
    <w:p>
      <w:r>
        <w:t>Application to the case at hand, concerning KP1</w:t>
      </w:r>
    </w:p>
    <w:p>
      <w:r>
        <w:t>906. In leniency notice No. 20-AC-01, the Authority considered that the findings made and the added value of the documents provided by KP1 justified granting it an exemption ranging from 25% to 40%.</w:t>
      </w:r>
    </w:p>
    <w:p>
      <w:r>
        <w:t>907. The Authority also noted that it would be willing to grant KP1 the benefit of point 22 of the leniency notice if it established that part of the anticompetitive practices having a direct impact on the determination of the financial penalty imposed on the participants in the agreement resulted from the elements communicated by KP1.</w:t>
      </w:r>
    </w:p>
    <w:p>
      <w:r>
        <w:t>On the obligation to cooperate with the investigation services</w:t>
      </w:r>
    </w:p>
    <w:p>
      <w:r>
        <w:t>908. The Authority observes that KP1 did not violate any of the conditions set out in the conditional leniency notice and fulfilled the cooperation obligations imposed by it.</w:t>
      </w:r>
    </w:p>
    <w:p>
      <w:r>
        <w:t>On the practices covered by KP1's leniency request</w:t>
      </w:r>
    </w:p>
    <w:p>
      <w:r>
        <w:t>909. The leniency notice concerns all practices covered by the four charges notified to KP1. One of the conditions for benefiting from a sanction exemption is therefore met.</w:t>
      </w:r>
    </w:p>
    <w:p>
      <w:r>
        <w:t>910. KP1 asserts, in its response to the report, that its statements carry a very high evidentiary value, emphasizing that they were made on behalf of KP1 and are contrary to its interests, which guarantees their reliability, that KP1 voluntarily reported facts that would expose it to the payment of larger and additional fines (under charges 2, 3, and 4), that these statements were developed from hearings of KP1 executives who have a professional obligation to act in the interest of their company, that they result from the hearing of direct witnesses of the facts presented in the leniency request, and that they were provided deliberately after the criminal searches, demonstrating careful consideration on the part of the company's executives. KP1 therefore believes that the reduction rate of the fine should be higher than that which the Authority considered in the leniency notice.</w:t>
      </w:r>
    </w:p>
    <w:p>
      <w:r>
        <w:t>911. Regarding the practices specifically targeted by charges 2, 3, and 4, KP1 claims that the information it provided to the investigation services allowed them to establish these charges, the scope of which was not included in the scope of the criminal investigation.</w:t>
      </w:r>
    </w:p>
    <w:p>
      <w:r>
        <w:t>912. KP1 indeed considers that the scope of the criminal investigation was limited to the sole collusion practice implemented by KP1 and its competitors (in particular the companies A2C, Rector, and Soprel) in the market for precast concrete products sold to construction companies, particularly in the Ile-de-France regions and, according to the current designation, Normandy and Hauts-de-France. KP1 therefore requests a total exemption from these charges under point 22 of the leniency notice, for practices it denounced other than those implemented in this market and in these geographical areas.</w:t>
      </w:r>
    </w:p>
    <w:p>
      <w:r>
        <w:t>913. KP1 further observes that at the time of filing the leniency request, the Authority only had elements from the BIEC of Lille and anonymous testimonies collected by the investigation services and that, consequently, it is in light of these elements that the added value of its leniency statements must be examined. It believes that a contrary interpretation would go against the provisions of IV of Article L. 464-2 of the Commercial Code.</w:t>
      </w:r>
    </w:p>
    <w:p>
      <w:r>
        <w:t>914. As a preliminary matter, it should be recalled that the investigation conducted prior to the opening of the criminal investigation targeted, as early as 2015, "practices in the precast concrete sector intended for building construction."</w:t>
      </w:r>
    </w:p>
    <w:p>
      <w:r>
        <w:t>915. However, according to consistent case law and decision-making practice, the investigation services are not required, at the investigation stage, to delineate a relevant market or to take a position on the legal qualification of the facts or the application of Articles 101 and 102 of the TFEU. The investigation services were therefore free to conduct investigations into all practices implemented in the aforementioned sector, without limiting their investigation to specific products.</w:t>
      </w:r>
    </w:p>
    <w:p>
      <w:r>
        <w:t>916. Furthermore, as indicated in paragraph 203 above, the contentious procedure before the Authority and the criminal procedure are two parallel procedures. The subject of the investigations by the Authority's services was therefore not constrained by the subject defined by the Public Prosecutor, even if both were seized of the same facts.</w:t>
      </w:r>
    </w:p>
    <w:p>
      <w:r>
        <w:t>917. In this context, and in accordance with the provisions of IV of Article L. 464-2 of the Commercial Code, the possibility of granting a total or partial exemption to the leniency applicant is assessed in light of the information available to the Authority or the administration beforehand. However, in this case, the leniency request was made five days after the criminal searches. Even if the investigation services did not possess the evidence seized during these operations, it is undisputed that they were aware of the existence of the investigation, its scope, and the targeted companies. This knowledge allows us to consider that the Authority had, at the time of the leniency request, contrary to what KP1 claims, more extensive information than just the information provided by the BIEC of Lille and the anonymous testimonies.</w:t>
      </w:r>
    </w:p>
    <w:p>
      <w:r>
        <w:t>918. Therefore, it cannot be overlooked that the elements provided by the leniency applicant have, regardless of the date on which the documents of the criminal file actually fed into the Authority's file, necessarily less value than if no searches had taken place. The elements seized during the criminal search operations are therefore decisive in assessing the added value of the material elements that the leniency request provided to the investigation services.</w:t>
      </w:r>
    </w:p>
    <w:p>
      <w:r>
        <w:t>♦ On the practices targeted by charges 1 and 2</w:t>
      </w:r>
    </w:p>
    <w:p>
      <w:r>
        <w:t>919. KP1 claims to have provided evidence that allowed the investigation services to expand the material and geographical scope of the practices covered by charge 1, by demonstrating the existence of anticompetitive meetings within or on the sidelines of the FIB (Qualiprédal meetings), on the one hand in regions for which the Authority had no material evidence and, on the other hand, regarding a wider circle of participating companies (FB, IB, SEAC, and SLM).</w:t>
      </w:r>
    </w:p>
    <w:p>
      <w:r>
        <w:t>920. In this case, KP1 provided particularly compelling evidence, such as contemporaneous documentary evidence of the facts or the decoding of coded terms, notably regarding SEAC's involvement. These elements effectively contributed to establishing the existence of an agreement led at the national level by three companies, KP1, Rector, and SEAC, and implemented in other regions.</w:t>
      </w:r>
    </w:p>
    <w:p>
      <w:r>
        <w:t>921. KP1 also described the operational modalities of the agreement implemented during the Qualiprédal meetings on precast slabs in the Ile-de-France region and in several other regions, in conditions that allowed for the corroboration of its statements by various documentary evidence and the identification of several other participants.</w:t>
      </w:r>
    </w:p>
    <w:p>
      <w:r>
        <w:t>922. Similarly, KP1 described the operation of the agreement concerning hollow-core slabs. It provided tables and reported on detailed meetings – which were also corroborated – that established the materiality and duration of the agreement and identified several participants.</w:t>
      </w:r>
    </w:p>
    <w:p>
      <w:r>
        <w:t>923. Thus, regarding charge 1, KP1 contributed through its explanations and descriptions to shedding light on the scope and operation of the agreement and implicating several other companies.</w:t>
      </w:r>
    </w:p>
    <w:p>
      <w:r>
        <w:t>924. Regarding charge 1, given the criminal searches and the documents already seized at the time the leniency request was presented to the Authority, the total exemption from sanction requested by KP1 cannot be justified.</w:t>
      </w:r>
    </w:p>
    <w:p>
      <w:r>
        <w:t>925. Regarding charge 2, KP1 argues that the practices concerned were not included in the scope of the criminal investigation and therefore believes that it enabled the Authority to establish them, which would justify a total exemption from sanction.</w:t>
      </w:r>
    </w:p>
    <w:p>
      <w:r>
        <w:t>926. In fact, KP1 provided highly probative elements supporting the existence of a distinct agreement between it, Rector, and – although the facts are time-barred concerning it – SEAC. It thus appears that KP1, by doing so, uncovered practices that were previously unknown to the investigation services.</w:t>
      </w:r>
    </w:p>
    <w:p>
      <w:r>
        <w:t>927. Given the precision of the elements provided, and their significant added value for establishing the practices targeted by the first two charges, KP1 made a particularly high-quality contribution to the investigation in support of its leniency request. Since charges 1 and 2 are subject to a single sanction, a total exemption from the fine for the practices revealed by KP1 regarding charge 2 cannot be granted to KP1 for the reasons set out in paragraph 924. However, KP1 should benefit from a greater exemption than that defined in the range of 25-40% provided for in the conditional leniency notice. The Authority will therefore grant it a 50% exemption.</w:t>
      </w:r>
    </w:p>
    <w:p>
      <w:r>
        <w:t>♦ On the practices targeted by charge 3</w:t>
      </w:r>
    </w:p>
    <w:p>
      <w:r>
        <w:t>928. KP1 argues, just as for charge 2, that it provided evidence that allowed the Authority to establish the practices targeted by charge 3 and therefore requests a total exemption from sanction in this regard.</w:t>
      </w:r>
    </w:p>
    <w:p>
      <w:r>
        <w:t>929. In this case, it appears from the elements of the file that the evidence provided by KP1 in its leniency request allowed the Authority to establish the existence of information exchanges with Eurobéton and Strudal, as well as the anticompetitive nature of these exchanges.</w:t>
      </w:r>
    </w:p>
    <w:p>
      <w:r>
        <w:t>930. While the table of 308 construction sites communicated by KP1 derives its indicative value from the statement and its evidentiary value does not exceed that of the leniency statement, the...</w:t>
      </w:r>
    </w:p>
    <w:p>
      <w:r>
        <w:rPr>
          <w:b/>
        </w:rPr>
        <w:t>[Pages 199–201]</w:t>
      </w:r>
    </w:p>
    <w:p>
      <w:r>
        <w:t>numerous emails that KP1 has communicated in addition, contemporary evidence of the practices denounced, have corroborated this statement concerning the two other companies. Taken together, these elements have therefore a strong probative value regarding the anticompetitive practices of bid exchanges targeted by the complaint.</w:t>
      </w:r>
    </w:p>
    <w:p>
      <w:r>
        <w:t>931. The practices have thus been established based solely on the elements provided by KP1. Furthermore, the individual participation of Eurobéton and Strudal, demonstrated above, exposes these two companies to a financial penalty. The elements communicated by KP1 thus have a direct impact on the amount of the financial penalty imposed on the other participants.</w:t>
      </w:r>
    </w:p>
    <w:p>
      <w:r>
        <w:t>932. Consequently, in light of the discretion recalled in paragraph 50 of the leniency notice No. 20-AC-01 and cited in paragraph 904 above, the Authority will not take these facts into account in determining the penalty imposed on KP1.</w:t>
      </w:r>
    </w:p>
    <w:p>
      <w:r>
        <w:t>♦ On the practices targeted by complaint 4</w:t>
      </w:r>
    </w:p>
    <w:p>
      <w:r>
        <w:t>933. KP1 argues that it was the first company to provide elements to the Authority regarding these practices implemented together with SPL. It therefore requests a total exemption from penalty on this ground.</w:t>
      </w:r>
    </w:p>
    <w:p>
      <w:r>
        <w:t>934. The practices implemented by KP1 and SPL were the subject of a supplementary leniency request, which was accompanied not only by several contractual documents relating to the collaboration between these two companies but also by several contemporary documents of the denounced practices. These elements have demonstrated, as shown, the existence of an agreement between KP1 and SPL concerning prices, customer allocation, and the outlets for SPL's production. Furthermore, various exchanges of sensitive information emerged.</w:t>
      </w:r>
    </w:p>
    <w:p>
      <w:r>
        <w:t>935. The materiality of the offense and the individual participation of the companies rely entirely on the elements provided by KP1 in this case. These elements, which have high probative value, establish an anticompetitive practice and justify imposing a financial penalty against its participants.</w:t>
      </w:r>
    </w:p>
    <w:p>
      <w:r>
        <w:t>936. For the reasons already outlined regarding complaint 3, the Authority considers that the elements provided by KP1 in its leniency request justify exempting it from penalty under complaint 4.</w:t>
      </w:r>
    </w:p>
    <w:p>
      <w:r>
        <w:t>Application to the case at hand, concerning Rector</w:t>
      </w:r>
    </w:p>
    <w:p>
      <w:r>
        <w:t>937. In leniency notice No. 20-AC-03, the Authority considered that the companies Rector and Lesage Industrie du Béton together constitute the second leniency applicant to describe the practices in question in the precast concrete elements sector. Given the added value of the documents provided and the knowledge that the companies had of the existence of a procedure that led to the seizure of several significant elements through searches, the leniency notice contains a proposal for a penalty exemption situated in a range of 15-30%.</w:t>
      </w:r>
    </w:p>
    <w:p>
      <w:r>
        <w:t>938. The benefit of this reduction in the penalty incurred is subject to compliance with several conditions related to a requirement for "genuine, total, ongoing, and prompt cooperation from the submission of the request and throughout the investigation and inquiry procedure."</w:t>
      </w:r>
    </w:p>
    <w:p>
      <w:r>
        <w:t>On the obligation to cooperate with the investigation services</w:t>
      </w:r>
    </w:p>
    <w:p>
      <w:r>
        <w:t>939. Under the conditional leniency notice issued in response to Rector's request, the latter was required to refrain from challenging – whether in their materiality or existence – before the Authority and until the end of the procedure, the factual elements revealed that formed the basis of the notice.</w:t>
      </w:r>
    </w:p>
    <w:p>
      <w:r>
        <w:t>940. The Authority notes that Rector raised a series of objections in its observations in response to the notification of complaints, regarding the notification of a complaint to the companies Planchers Durandal and Planchers Fabre, and regarding the probative value of the statements and documents provided by the first leniency applicant. These objections may have constituted, as the investigation services pointed out, challenges that disregarded the obligation of cooperation incumbent upon Rector as a leniency applicant.</w:t>
      </w:r>
    </w:p>
    <w:p>
      <w:r>
        <w:t>941. Rector explained, in its response to the report, that it had no intention of challenging the factual elements or the materiality of the facts relating to the two complaints, as well as their attribution, and thus expressly abandoned these challenges.</w:t>
      </w:r>
    </w:p>
    <w:p>
      <w:r>
        <w:t>942. Under these conditions, it should be considered that Rector has fulfilled the obligation of cooperation within the framework of the leniency procedure.</w:t>
      </w:r>
    </w:p>
    <w:p>
      <w:r>
        <w:t>♦ On the practices covered by Rector's leniency request</w:t>
      </w:r>
    </w:p>
    <w:p>
      <w:r>
        <w:t>943. As the Authority pointed out in the conditional leniency notice No. 20-A-03 regarding Rector, "the type 2 leniency applicant must provide the Authority with evidence of the existence of the alleged agreement that brings significant added value compared to the evidence that it already possesses. The notion of added value refers to the extent to which the evidence provided strengthens, by its very nature and/or by its level of precision, the Authority's ability to establish the existence of the alleged agreement."</w:t>
      </w:r>
    </w:p>
    <w:p>
      <w:r>
        <w:t>944. The Authority clarified this point by indicating the elements that it considered to have greater added value:</w:t>
        <w:br/>
        <w:t>− contemporary written evidence of the alleged agreement,</w:t>
        <w:br/>
        <w:t>− evidence against directly related to the facts in question, as opposed to those that are indirectly related,</w:t>
        <w:br/>
        <w:t>− indisputable evidence, as opposed to those that need to be corroborated.</w:t>
      </w:r>
    </w:p>
    <w:p>
      <w:r>
        <w:t>945. In this case, the added value of the elements provided by Rector can be assessed in light of the number of documents cited in the decision that originate from referral No. 18/0166 AC.</w:t>
      </w:r>
    </w:p>
    <w:p>
      <w:r>
        <w:t>946. At the end of the investigation, two complaints were notified to Rector, complaints 1 and 2. However, the leniency notice is limited to the practices covered by complaint 1.</w:t>
      </w:r>
    </w:p>
    <w:p>
      <w:r>
        <w:t>947. Rector, believing that the practices concerned by complaint 2 are ancillary and related to those denounced in its leniency declaration, argues that any exemption from penalty granted to it should be extended to these practices.</w:t>
      </w:r>
    </w:p>
    <w:p>
      <w:r>
        <w:t>948. More generally, Rector states, like KP1, that at the time of submitting its leniency request, the Authority did not yet have the documents from the criminal file nor the results of the searches and could therefore have relied on the content of the leniency files to continue the investigation. The situation in which a criminal search is ongoing is not provided for by the leniency notice, and Rector believes that its declaration has more value than it would have had if the Authority's services had themselves conducted search and seizure operations.</w:t>
      </w:r>
    </w:p>
    <w:p>
      <w:r>
        <w:t>949. Emphasizing that its request was submitted at an early stage of the procedure, Rector argues that the number and volume of the documents communicated, as well as its explanations intended to interpret the produced documents, facilitated the work of the investigation services, making it possible, in particular, to corroborate other documents. In light of the added value of its contribution, which it deems significant, Rector requests a fine reduction greater than the range of 15-40% provided in point 21 of the leniency notice, namely 50%.</w:t>
      </w:r>
    </w:p>
    <w:p>
      <w:r>
        <w:t>950. It appears from the file provided by Rector that its main contribution, compared to that of KP1, was to corroborate the evidence produced by KP1 regarding the existence of an agreement led by the three main players in the prefabrication sector, to facilitate the understanding of the coded formulas intended to conceal the practices, and to highlight the importance of the Qualiprédal meetings as a venue for anticompetitive exchanges.</w:t>
      </w:r>
    </w:p>
    <w:p>
      <w:r>
        <w:t>951. Among the contemporary written evidence of the practices, it is worth mentioning those that support the materiality of the agreement in its regional variation in the South-West (Midi-Pyrénées and Languedoc-Roussillon) and the South-East (Auvergne-Rhône-Alpes, Provence-Alpes-Côte d’Azur), such as the analysis reports of the disposable phone used solely for the purpose of maintaining anticompetitive exchanges.</w:t>
      </w:r>
    </w:p>
    <w:p>
      <w:r>
        <w:t>952. In light of the criteria for added value of a leniency declaration recalled by the Authority in paragraphs 21 and 22 of the aforementioned notice, Rector appears to have provided a lower number of elements of significant added value compared to KP1. Furthermore, these elements only concern complaint 1, as Rector did not provide elements directly related to complaint 2. Given that a single penalty is imposed for complaints 1 and 2, the Authority will grant a partial exemption from penalty to Rector concerning this single penalty that will take these elements into account. It is thus granted a 25% exemption from the penalty incurred under complaints 1 and 2.</w:t>
      </w:r>
    </w:p>
    <w:p>
      <w:r>
        <w:t>c) On the contributory capacity of the accused companies</w:t>
      </w:r>
    </w:p>
    <w:p>
      <w:r>
        <w:t>953. The sanctions notice provides that the Authority may take into account in determining the penalty the financial difficulties encountered individually by the companies when these particular difficulties affect their contributory capacity. The sanctions notice specifies that it is up to the company to justify the existence of these difficulties based on elements it submits to the Authority, which, to justify a reduction in the final amount of the financial penalty, must constitute "reliable, complete, and objective evidence attesting to the existence of real and current difficulties preventing the company in question from fulfilling, in whole or in part, the financial penalty that may be imposed on it."</w:t>
      </w:r>
    </w:p>
    <w:p>
      <w:r>
        <w:t>954. Seven companies have made a request in this regard in the present file.</w:t>
      </w:r>
    </w:p>
    <w:p>
      <w:r>
        <w:t>On the financial situation of FB Groupe</w:t>
      </w:r>
    </w:p>
    <w:p>
      <w:r>
        <w:t>955. On October 5, 2023, FB Groupe submitted an excerpt of its accounts closed on December 31, 2022. However, these elements appear very partial. They concern only the situation of FB Groupe, without consideration of the possible resources of Industry Partner, jointly responsible for the payment of the incurred fine. In light of the elements submitted...</w:t>
      </w:r>
    </w:p>
    <w:p>
      <w:r>
        <w:rPr>
          <w:b/>
        </w:rPr>
        <w:t>[Pages 202–204]</w:t>
      </w:r>
    </w:p>
    <w:p>
      <w:r>
        <w:t>financial resources and to stabilize the market by controlling prices and project allocations.</w:t>
      </w:r>
    </w:p>
    <w:p>
      <w:r>
        <w:t>In light of the above, the Authority has determined the final amount of the financial penalties imposed on the companies involved as follows:</w:t>
      </w:r>
    </w:p>
    <w:p>
      <w:r>
        <w:t>Individualized amounts of penalties</w:t>
        <w:br/>
        <w:t>Companies</w:t>
        <w:br/>
        <w:t>Charges 1 and 2 Charge 3 Charge 4</w:t>
        <w:br/>
        <w:t>KP1 €19,040,000 €0 €0</w:t>
        <w:br/>
        <w:t>Strudal €3,430,000 €480,000</w:t>
        <w:br/>
        <w:t>A2C €6,390,000</w:t>
        <w:br/>
        <w:t>FB €550,000</w:t>
        <w:br/>
        <w:t>IB €3,110,000</w:t>
        <w:br/>
        <w:t>Rector €25,450,000</w:t>
        <w:br/>
        <w:t>of which Rector Lesage €21,440,000</w:t>
        <w:br/>
        <w:t>of which Planchers Fabre €4,010,000</w:t>
        <w:br/>
        <w:t>SEAC €10,990,000</w:t>
        <w:br/>
        <w:t>SLM €2,840,000</w:t>
        <w:br/>
        <w:t>Soprel €150,000</w:t>
        <w:br/>
        <w:t>Eurobéton €3,370,000</w:t>
        <w:br/>
        <w:t>SPL €770,000</w:t>
      </w:r>
    </w:p>
    <w:p>
      <w:r>
        <w:t>G. ON OTHER SANCTIONS</w:t>
      </w:r>
    </w:p>
    <w:p>
      <w:r>
        <w:t>968. Pursuant to Article L. 464-2 of the Commercial Code, the Authority may also order "the publication, dissemination, or display of its decision or an excerpt thereof in the manner it specifies (...). The costs shall be borne by the interested party."</w:t>
      </w:r>
    </w:p>
    <w:p>
      <w:r>
        <w:t>969. In order to draw the attention of economic actors present in the construction and public works sector in France, it is necessary to order the publication, at the shared expense of the sanctioned economic entities and in proportion to their financial penalties, in the printed edition and on the website of the journal Le Moniteur, of the summary of this decision as follows:</w:t>
      </w:r>
    </w:p>
    <w:p>
      <w:r>
        <w:t>"The Competition Authority (hereinafter the 'Authority') issued a decision on May 21, 2024, sanctioning several companies active in the sector of selling precast concrete elements with a fine of €76,645,000 for implementing four anticompetitive agreements and obstructing the procedure.</w:t>
      </w:r>
    </w:p>
    <w:p>
      <w:r>
        <w:t>These practices were notably revealed through a judicial investigation initiated by the Public Prosecutor of Paris following a report from the General Rapporteur of the Authority based on paragraph 2 of Article 40 of the Code of Criminal Procedure. The practices were also highlighted by the leniency applications submitted by the companies KP1 and Rector after the criminal searches, as part of the program that allows companies that participated in one or more agreements to disclose their existence, explain their operation to the Authority, and obtain, under certain conditions, the benefit of a total or partial exemption from financial penalties (hereinafter the 'leniency program').</w:t>
      </w:r>
    </w:p>
    <w:p>
      <w:r>
        <w:t>Agreement on precast concrete elements sold to construction companies</w:t>
      </w:r>
    </w:p>
    <w:p>
      <w:r>
        <w:t>The groups A2C, FB, Industrielle du Béton ('IB'), KP1, Rector, Saint-Léonard Matériaux ('SLM'), SEAC, Soprel, and Strudal participated in a unique and continuous agreement in the market for precast concrete products in France between May 15, 2008, and October 25, 2018, by implementing agreements and coordinated practices aimed, on the one hand, at jointly fixing the selling prices of precast concrete products and, on the other hand, at allocating project volumes by distorting competition during the bidding procedures launched by construction companies.</w:t>
      </w:r>
    </w:p>
    <w:p>
      <w:r>
        <w:t>This agreement was led, at the national level, by the leaders of three companies (KP1, Rector, and SEAC). They exchanged information regarding the sales volumes achieved with construction companies at the national and regional levels and set the sales quotas to be respected by region. The objective of this agreement was to share financial resources and stabilize the market by controlling prices and project allocations.</w:t>
      </w:r>
    </w:p>
    <w:p>
      <w:r>
        <w:rPr>
          <w:b/>
        </w:rPr>
        <w:t>[Pages 205–207]</w:t>
      </w:r>
    </w:p>
    <w:p>
      <w:r>
        <w:t>the construction sites in each of these regions, in order to respect the defined market shares and to try to maintain prices in the face of customer pressure, by defining pricing grids by regional market.</w:t>
      </w:r>
    </w:p>
    <w:p>
      <w:r>
        <w:t>The parties involved participated in secret meetings organized within various groups (for example, the GIE France Thermoprédalle or Qualiprédal). The discussions between competitors during the multilateral meetings took the form of round tables at the end of which distributions of construction sites and pricing grids were defined by the members of the agreement. Codes were used by the participants to conceal the names of the companies and the content of the anticompetitive discussions during these meetings.</w:t>
      </w:r>
    </w:p>
    <w:p>
      <w:r>
        <w:t>At the regional level, the practices were implemented according to characteristics and modalities that could vary depending on the regions concerned, which covered most of the national territory. In particular, the meetings organized at the regional level could gather other competitors than those participating in the meetings organized at the national level. This is particularly the case in Ile-de-France and its neighboring regions where the companies of the A2C, FB, IB, KP1, Rector, SEAC, SLM, Soprel, and Strudal groups agreed on the distribution of construction sites and the prices of precast slabs and hollow-core slabs.</w:t>
      </w:r>
    </w:p>
    <w:p>
      <w:r>
        <w:t>Agreement on precast concrete elements sold to individual house builders ("CMI") and trading companies ("negotiations")</w:t>
      </w:r>
    </w:p>
    <w:p>
      <w:r>
        <w:t>KP1 and Rector participated in an agreement regarding the prices applicable to trading companies and CMIs between April 2011 and October 25, 2018. These exchanges generally took place once a year, at the time of the announcement of annual increases. They could also occur several times a year if, due to the rise in raw material prices, price increases were made several times during the same year.</w:t>
      </w:r>
    </w:p>
    <w:p>
      <w:r>
        <w:t>These exchanges took place between the management of KP1 and Rector during meetings or telephone discussions. The products concerned were those made of concrete as well as the spacers and breakers made of polystyrene and polypropylene and covered the entire national territory. The implementation of the decisions made at the national level was ensured by the regional management.</w:t>
      </w:r>
    </w:p>
    <w:p>
      <w:r>
        <w:t>The Authority imposed, for the two aforementioned agreements, sanctions totaling €71,950,000, which are distributed as follows: €6,390,000 for A2C, €550,000 for FB, €3,110,000 for IB, €19,040,000 for KP1, €25,450,000 for Rector, €10,990,000 for SEAC, €2,840,000 for SLM, €150,000 for Soprel, and €3,430,000 for Strudal. The amounts of the sanctions imposed on KP1 and Rector include a partial exemption from sanctions due to their participation in the leniency program.</w:t>
      </w:r>
    </w:p>
    <w:p>
      <w:r>
        <w:t>Agreement on concrete frames</w:t>
      </w:r>
    </w:p>
    <w:p>
      <w:r>
        <w:t>Eurobéton France, KP1, and Strudal participated in exchanges of sensitive information in the context of calls for tenders related to concrete frame construction sites between December 14, 2011, and October 3, 2018 (with an interruption between October 11, 2013, and January 8, 2016). These exchanges of information on prices, which occurred before the date on which the results of these calls for tenders could be known, distorted the free play of competition and are therefore prohibited by Articles 101 TFEU and L. 420-1 of the Commercial Code.</w:t>
      </w:r>
    </w:p>
    <w:p>
      <w:r>
        <w:t>The sanctions imposed in this regard, totaling €3,850,000, are distributed as follows: €3,370,000 for Eurobéton France and €480,000 for Strudal. KP1, having revealed the existence of this practice within the framework of the leniency program, benefited from a total exemption from sanctions.</w:t>
      </w:r>
    </w:p>
    <w:p>
      <w:r>
        <w:t>Bilateral agreement between KP1 and the Société de Préfabrication de Landaul</w:t>
      </w:r>
    </w:p>
    <w:p>
      <w:r>
        <w:t>In the context of KP1 acquiring a 10% stake in the capital of SPL in December 2010 (SPL having launched a new production unit for precast walls a few months earlier in Morbihan), these two companies, through various contractual clauses and regular exchanges of information, jointly decided on all aspects of SPL's economic life. They divided the clientele and jointly set the prices of products and services as well as the conditions for their marketing. This agreement, contrary to Article L. 420-1 of the Commercial Code, was in effect until the expiration of the contracts concluded between KP1 and SPL on December 15, 2017.</w:t>
      </w:r>
    </w:p>
    <w:p>
      <w:r>
        <w:t>The Authority sanctioned SPL in the amount of €770,000. KP1, having revealed the existence of this practice within the framework of the leniency program, benefited from a total exemption from sanctions.</w:t>
      </w:r>
    </w:p>
    <w:p>
      <w:r>
        <w:t>The full text of the decision of the Competition Authority is accessible on the website www.autoritedelaconcurrence.fr</w:t>
      </w:r>
    </w:p>
    <w:p>
      <w:r>
        <w:t>970. They will send by registered mail, to the procedure and documentation service, a copy of this publication, within three months from the notification of the decision.</w:t>
      </w:r>
    </w:p>
    <w:p>
      <w:r>
        <w:t>H. ON THE IMPLEMENTATION OF THE OBSTRUCTION PROCEDURE REGARDING EUROBETON</w:t>
      </w:r>
    </w:p>
    <w:p>
      <w:r>
        <w:t>971. It has been demonstrated in paragraphs 605 and following that Eurobéton obstructed the investigation of the ongoing case within the meaning of V of Article L. 464-2 of the Commercial Code.</w:t>
      </w:r>
    </w:p>
    <w:p>
      <w:r>
        <w:t>972. As recalled in its decision No. 21-D-28 mentioned above, the Authority has not adopted guidelines stating the calculation method for setting fines in cases of obstruction. However, it must, in any case, take into account the principles of proportionality and individualization of the sanction. To this end, it must consider the seriousness of the behavior attributed to the companies involved in light of not only the specific circumstances of the case but also the effects of this behavior on the progress of the investigation and, more generally, its consequences on the economic public order, which the Authority is tasked with preserving.</w:t>
      </w:r>
    </w:p>
    <w:p>
      <w:r>
        <w:t>973. In this case, regarding the seriousness of the obstruction attributed to Eurobéton, following the decision-making practice, it can be considered that Eurobéton, by correcting the erroneous information only at an advanced stage of the procedure, deprived the investigation services of the possibility of timely notifying, by a supplementary act, grievances to the company VAMTAJ for the entire period during which the infringement was attributable to it.</w:t>
      </w:r>
    </w:p>
    <w:p>
      <w:r>
        <w:t>974. For deterrent purposes, it is appropriate to impose a sanction capable of eliminating any interest for the companies involved before the Authority to communicate, even negligently, erroneous information or to delay in correcting material errors.</w:t>
      </w:r>
    </w:p>
    <w:p>
      <w:r>
        <w:t>975. Furthermore, in accordance with the position expressed by the Constitutional Council, which noted that the notions of company and turnover, mentioned by the legislative provisions that penalize obstruction, constitute precise legal categories allowing for a sufficiently certain determination of the responsible persons and the penalty incurred, it is possible to attribute to a parent company an obstruction committed by one of its subsidiaries without disregarding the principles of the personality of penalties and the presumption of innocence. Therefore, it is appropriate to attribute the obstruction offense also to the parent companies of Eurobéton.</w:t>
      </w:r>
    </w:p>
    <w:p>
      <w:r>
        <w:t>976. The Authority will therefore impose a monetary sanction of €75,000 on Eurobéton and the companies JAV Investissement and VAMTAJ, distinct from the fine imposed due to the violation of Articles L. 420-1 of the Commercial Code and Article 101, paragraph 1, TFEU.</w:t>
      </w:r>
    </w:p>
    <w:p>
      <w:r>
        <w:rPr>
          <w:b/>
        </w:rPr>
        <w:t>[Pages 208–210]</w:t>
      </w:r>
    </w:p>
    <w:p>
      <w:r>
        <w:t>DRAFT</w:t>
      </w:r>
    </w:p>
    <w:p>
      <w:r>
        <w:t>Article 1: The conditions for a prohibition under Article 101, paragraph 1 of the TFEU are not met regarding the practices referred to in grievance 5 notified on March 16, 2022, to the companies Fidal SELAS, Fidal et Associés SA with a management board (s.a.i.). In accordance with Article 3, paragraph 2, of Regulation (EC) No. 1/2003 of the Council of December 3, 2002, these practices cannot be prohibited on the basis of Article L. 420-1 of the Commercial Code either. Therefore, there is no need, pursuant to Article 5 of Regulation No. 1/2003, to continue the procedure, whether under Union law or national law.</w:t>
      </w:r>
    </w:p>
    <w:p>
      <w:r>
        <w:t>Article 2: The ten-year limitation period provided for in the third paragraph of Article L. 462-7 of the Commercial Code is acquired:</w:t>
        <w:br/>
        <w:t>− regarding the practices referred to in grievance 1 notified on March 16, 2022, to the company S.E.G. SAS, to the companies Echolux SA, Echo NV, Echobel NV, and Galm Participaties NV, as well as to the companies Willemen Groep NV, Plakabeton N.V., Imprecon N.V., and Marlux Klaps NV;</w:t>
        <w:br/>
        <w:t>− regarding the practices referred to in grievance 2 notified on March 16, 2022, to the companies SEAC SAS, SEAC Services, and SOFIB SA with a management board (s.a.i.);</w:t>
        <w:br/>
        <w:t>− regarding the practices referred to in grievance 3 notified on March 16, 2022, to the companies L’Industrielle du béton SAS, CRH France SAS, and CRH plc. Therefore, there is no need, pursuant to Article 5 of Regulation No. 1/2003, to continue the procedure against these companies, whether under Union law or national law.</w:t>
      </w:r>
    </w:p>
    <w:p>
      <w:r>
        <w:t>Article 3: It is established that the following companies have violated the provisions of Articles L. 420-1 of the Commercial Code and 101, paragraph 1 of the TFEU, each for the duration of their participation in the practices and considering the extent of their individual responsibility, by participating in a unique and continuous agreement on prices and market allocations for precast slabs and hollow-core slabs sold to construction companies:</w:t>
        <w:br/>
        <w:t>− KP1 SAS, as the author, and KP1 Services, K Alpha, and K Alpha 1 S.à.r.l. as parent companies;</w:t>
        <w:br/>
        <w:t>− Strudal SAS, as the author, and DAL Industries Sprl as the parent company;</w:t>
        <w:br/>
        <w:t>− A2C Prefa SAS, as the author, and A2C Matériaux SAS as the parent company;</w:t>
        <w:br/>
        <w:t>− FB Groupe France SAS, as the author, and Industry Partner SA as the parent company;</w:t>
        <w:br/>
        <w:t>− L’Industrielle du béton SAS, as the author, CRH France, and CRH plc as parent companies;</w:t>
        <w:br/>
        <w:t>− Rector Lesage SAS, as the author, and Lesage Industrie du Béton SAS as the parent company;</w:t>
        <w:br/>
        <w:t>− SEAC SAS, as the author, and SOFIB SA with a management board (s.a.i.) as the parent company;</w:t>
        <w:br/>
        <w:t>− Saint-Léonard Matériaux SAS, as the author and Groupe Saint Léonard SAS, as the parent company;</w:t>
      </w:r>
    </w:p>
    <w:p>
      <w:r>
        <w:t>− Groupe Soprel SAS, as the author, and Soprel Group Entreprises SA as the parent company.</w:t>
      </w:r>
    </w:p>
    <w:p>
      <w:r>
        <w:t>Article 4: Regarding the practices referred to in Article 3, the following companies are exonerated:</w:t>
        <w:br/>
        <w:t>− KP1 Bâtiments, KP1 Développement, KP1 R&amp;D, and KP1 Armatures;</w:t>
        <w:br/>
        <w:t>− Planchers Durandal and Planchers Fabre;</w:t>
        <w:br/>
        <w:t>− Structures Préfabrications Services and Comptoir de la Préfabrication SAS.</w:t>
      </w:r>
    </w:p>
    <w:p>
      <w:r>
        <w:t>Article 5: It is established that the following companies have violated the provisions of Articles L. 420-1 of the Commercial Code and 101, paragraph 1 of the TFEU, each for the duration of their participation in the practices and considering the extent of their individual responsibility, by participating in a unique and continuous agreement on prices for precast concrete products sold to individual house builders and traders:</w:t>
        <w:br/>
        <w:t>− KP1 SAS, as the author, and KP1 Services, K Alpha, and K Alpha 1 S.à.r.l., as parent companies;</w:t>
        <w:br/>
        <w:t>− Rector Lesage SAS and Planchers Fabre, as authors, Rector Lesage SAS and Lesage Industrie du Béton SAS as parent companies.</w:t>
      </w:r>
    </w:p>
    <w:p>
      <w:r>
        <w:t>Article 6: Regarding the practices referred to in Article 5, the following companies are exonerated:</w:t>
        <w:br/>
        <w:t>− KP1 Bâtiments, KP1 Développement, KP1 R&amp;D, and KP1 Armatures;</w:t>
        <w:br/>
        <w:t>− Planchers Durandal.</w:t>
      </w:r>
    </w:p>
    <w:p>
      <w:r>
        <w:t>Article 7: The following financial penalties are imposed for the practices referred to in Article 3 and Article 5:</w:t>
        <w:br/>
        <w:t>− €19,040,000 to KP1 SAS, of which €18,802,912 jointly with the companies KP1 Services and K Alpha and €237,088 jointly with the companies KP1 Services, K Alpha, and K Alpha 1 S.à.r.l.;</w:t>
        <w:br/>
        <w:t>− €3,430,000 to Strudal SAS, jointly with the company DAL Industries Sprl;</w:t>
        <w:br/>
        <w:t>− €6,390,000 to A2C Prefa SAS, jointly with the company A2C Matériaux SAS;</w:t>
        <w:br/>
        <w:t>− €550,000 to FB Groupe France SAS, jointly with the company Industry Partner SA;</w:t>
        <w:br/>
        <w:t>− €3,110,000 to L’Industrielle du béton SAS, jointly with the companies CRH France and CRH plc.;</w:t>
        <w:br/>
        <w:t>− €21,440,000 to Rector Lesage SAS, jointly with the company Lesage Industrie du Béton SAS;</w:t>
        <w:br/>
        <w:t>− €4,010,000 to Planchers Fabre, jointly with the companies Rector Lesage SAS and Lesage Industrie du Béton SAS;</w:t>
        <w:br/>
        <w:t>− €10,990,000 to SEAC SAS, jointly with the company SOFIB SA with a management board (s.a.i.);</w:t>
        <w:br/>
        <w:t>− €2,840,000 to Saint Léonard Matériaux SAS, of which €1,564,108 jointly with the company Groupe Saint Léonard SAS;</w:t>
        <w:br/>
        <w:t>− €150,000 to Groupe Soprel SAS, jointly with the company Soprel Group Entreprises SA.</w:t>
      </w:r>
    </w:p>
    <w:p>
      <w:r>
        <w:t>Article 8: It is established that the following companies have violated the provisions of Articles L. 420-1 of the Commercial Code and 101, paragraph 1 of the TFEU, each for the duration of their participation in the practices and considering the extent of their individual responsibility, by participating in a unique and repeated offense consisting of exchanges of commercially sensitive information relating to tenders for concrete frame construction sites:</w:t>
        <w:br/>
        <w:t>− KP1 Bâtiments, as the author, KP1 SAS, KP1 Services, K Alpha, and K Alpha 1 S.à.r.l., as parent companies;</w:t>
        <w:br/>
        <w:t>− Strudal SAS, as the author, and DAL Industries Sprl as the parent company;</w:t>
        <w:br/>
        <w:t>− Eurobéton France SAS, as the author, and JAV Investissement SARL and VAMTAJ Sàrl, as parent companies.</w:t>
      </w:r>
    </w:p>
    <w:p>
      <w:r>
        <w:t>Article 9: Regarding the practices referred to in Article 8, the following companies are exonerated:</w:t>
        <w:br/>
        <w:t>− KP1 Développement, KP1 R&amp;D, and KP1 Armatures;</w:t>
        <w:br/>
        <w:t>− Groupe Soprel SAS and Soprel Group Entreprises SA.</w:t>
      </w:r>
    </w:p>
    <w:p>
      <w:r>
        <w:t>Article 10: The following financial penalties are imposed for the practices referred to in Article 8:</w:t>
        <w:br/>
        <w:t>− €0 to KP1 Bâtiments, KP1 SAS, KP1 Services, K Alpha, and K Alpha 1 S.à.r.l.;</w:t>
        <w:br/>
        <w:t>− €3,370,000 to the company Eurobéton France SAS, of which €672,512 jointly with the company JAV Investissement SARL and €1,345,043 jointly with the companies JAV Investissement SARL and VAMTAJ Sàrl;</w:t>
        <w:br/>
        <w:t>− €480,000 to Strudal SAS, jointly with the company DAL Industries Sprl.</w:t>
      </w:r>
    </w:p>
    <w:p>
      <w:r>
        <w:t>Article 11: It is established that the following companies have violated the provisions of Articles L. 420-1 of the Commercial Code, each for the duration of their participation in the practices and considering the extent of their individual responsibility, by participating in an agreement related to pricing, setting prices for precast concrete products, customer sharing, and mutual non-poaching of employees:</w:t>
        <w:br/>
        <w:t>− KP1 SAS, as the author, and KP1 Services and K Alpha as parent companies;</w:t>
        <w:br/>
        <w:t>− Société de Préfabrication de Landaul SAS, as the author.</w:t>
      </w:r>
    </w:p>
    <w:p>
      <w:r>
        <w:rPr>
          <w:b/>
        </w:rPr>
        <w:t>[Pages 211–211]</w:t>
      </w:r>
    </w:p>
    <w:p>
      <w:r>
        <w:t>Article 12: The following financial penalties are imposed for the practices referred to in Article 11:</w:t>
        <w:br/>
        <w:t>− 0 euros to KP1 SAS, KP1 Services, and K Alpha;</w:t>
        <w:br/>
        <w:t>− 770,000 euros to Société de Préfabrication de Landaul SAS.</w:t>
      </w:r>
    </w:p>
    <w:p>
      <w:r>
        <w:t>Article 13: It is established that the company Eurobéton France SAS, as the author, and the companies JAV Investissement SARL and VAMTAJ Sàrl as parent companies, have violated the provisions of V of Article L. 464-2 of the Commercial Code by obstructing the investigation of the case registered under number 20/0056 F.</w:t>
      </w:r>
    </w:p>
    <w:p>
      <w:r>
        <w:t>Article 14: For the infringement referred to in Article 14, a joint financial penalty of 75,000 euros is imposed on the companies Eurobéton France SAS, JAV Investissement SARL, and VAMTAJ Sàrl.</w:t>
      </w:r>
    </w:p>
    <w:p>
      <w:r>
        <w:t>Article 15: The sanctioned companies referred to in Articles 3, 5, 8, 11, and 13 are ordered to insert, at shared expense and in proportion to their respective financial penalties, the summary appearing in paragraph 969 of this decision, while respecting the formatting, in the paper edition and on the website of the journal Le Moniteur. This publication will appear in a box with black characters on a white background at least three millimeters high under the following title, in bold characters of the same size: "Decision of the Competition Authority No. 24-D-06 of May 21, 2024, regarding practices implemented in the sector of precast concrete products." It may be followed by a mention that the decision has been appealed to the Court of Appeal of Paris if such an appeal is filed. They will send, by registered mail, to the procedure and documentation service, a copy of this publication, within three months from the notification of the decision.</w:t>
      </w:r>
    </w:p>
    <w:p>
      <w:r>
        <w:t>Deliberated on the oral report of Ms. Milena Sabeva, rapporteur, and the interventions of Ms. Laure Gauthier, deputy general rapporteur, and Mr. Stanislas Martin, general rapporteur, by Mr. Thibaud Vergé, vice-president, president of the session, Ms. Valérie Bros, Ms. Catherine Prieto, Mr. Jean-Baptiste Gourdin, and Mr. Jean-Yves Mano, members.</w:t>
      </w:r>
    </w:p>
    <w:p>
      <w:r>
        <w:t>The session secretaries, The president of the session,</w:t>
        <w:br/>
        <w:t>Habiba Kaïd-Slimane and Caroline Orsel 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