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https://www.autoritedelaconcurrence.fr/fr/decision/relative-des-pratiques-mises-en-oeuvre-dans-le-secteur-des-serviettes-industrielles</w:t>
      </w:r>
    </w:p>
    <w:p>
      <w:r>
        <w:t>Pages translated : 9</w:t>
      </w:r>
    </w:p>
    <w:p/>
    <w:p>
      <w:r>
        <w:rPr>
          <w:b/>
        </w:rPr>
        <w:t>[Pages 1–3]</w:t>
      </w:r>
    </w:p>
    <w:p>
      <w:r>
        <w:t xml:space="preserve">FRENCH REPUBLIC  </w:t>
        <w:br/>
        <w:t xml:space="preserve">Decision No. 14-D-03 of February 20, 2014  </w:t>
        <w:br/>
        <w:t>regarding practices implemented in the industrial towel sector</w:t>
      </w:r>
    </w:p>
    <w:p>
      <w:r>
        <w:t xml:space="preserve">The Competition Authority,  </w:t>
        <w:br/>
        <w:t xml:space="preserve">Having regard to the letter registered on March 30, 2009, under number 09/0054F, by which the company Roland Vlaemynck Tisseur referred to the Competition Authority practices of the company Mewa that may be covered by Articles L. 420-1 and L. 420-2 of the Commercial Code and Articles 81 and 82 of the EC Treaty, now Articles 101 and 102 of the Treaty on the Functioning of the European Union.  </w:t>
        <w:br/>
        <w:t xml:space="preserve">Having regard to Decision No. 10-D-33 of November 30, 2010, of the Competition Authority regarding a request for interim measures submitted by the company Roland Vlaemynck Tisseur;  </w:t>
        <w:br/>
        <w:t xml:space="preserve">Having regard to Decision No. 12-D-11 of April 6, 2012, concerning a referral from the company Roland Vlaemynck Tisseur against practices implemented in the manufacturing and marketing sector of industrial towels;  </w:t>
        <w:br/>
        <w:t xml:space="preserve">Having regard to Book IV of the amended Commercial Code;  </w:t>
        <w:br/>
        <w:t xml:space="preserve">Having regard to the observations presented by the company Roland Vlaemynck Tisseur and the company Mewa;  </w:t>
        <w:br/>
        <w:t xml:space="preserve">Having regard to the observations presented by the Government Commissioner;  </w:t>
        <w:br/>
        <w:t xml:space="preserve">Having regard to the other documents in the file;  </w:t>
        <w:br/>
        <w:t xml:space="preserve">The rapporteur, the deputy general rapporteur, the representatives of the company Roland Vlaemynck Tisseur and the company Mewa heard during the session of January 14, 2014, the Government Commissioner having been regularly summoned;  </w:t>
        <w:br/>
        <w:t>Adopts the following decision:</w:t>
      </w:r>
    </w:p>
    <w:p>
      <w:r>
        <w:t xml:space="preserve">I. Findings  </w:t>
        <w:br/>
        <w:t xml:space="preserve">A. REFERRAL AND PROCEDURE  </w:t>
        <w:br/>
        <w:t xml:space="preserve">1. The company Roland Vlaemynck Tisseur (hereinafter "RVT"), a manufacturer of industrial towels, considers itself a victim of anti-competitive practices implemented by the company Mewa (hereinafter "Mewa"), which allegedly led to its elimination from the market for the manufacture and marketing of industrial towels. According to the complainant, these practices are contrary to Articles L. 420-1 and L. 420-2 of the Commercial Code, as well as Articles 101 and 102 of the Treaty on the Functioning of the European Union.  </w:t>
        <w:br/>
        <w:t xml:space="preserve">2. The initial referral, registered on March 30, 2009, under number 09/0054 F, was supplemented by a request for interim measures based on Article L. 464-1 of the Commercial Code. This request was rejected by Decision No. 10-D-33 dated November 30, 2010.  </w:t>
        <w:br/>
        <w:t xml:space="preserve">3. The continuation of the substantive investigation led to the establishment of a proposal for dismissal, which was sent to the parties on July 12, 2011. In its Decision No. 12-D-11 of April 6, 2012, the Competition Authority concluded that most of the elements in the file did not allow for the establishment of an agreement, an abuse of a dominant position, or an abuse of economic dependence.  </w:t>
        <w:br/>
        <w:t xml:space="preserve">4. However, it also considered, regarding one of the allegations of the complainant concerning the existence of exclusivity clauses, that "while in their proposal for dismissal, the investigation services rightly point out that there is no express exclusivity clause in the rental contracts signed between Mewa and its clients or in Mewa's general terms of sale, they do not examine the question of whether, as claimed by the complainant, all the contractual stipulations in question, understood in their legal and economic context, could allow for the consideration of whether or not, in reality, there exists a de facto exclusivity situation and, if so, whether it restricts competition. It is therefore not possible for the college to determine on this point, which must be referred back to the investigation" (point 108).  </w:t>
        <w:br/>
        <w:t xml:space="preserve">5. Decision No. 12-D-11 of April 6, 2012, was confirmed in all respects by the Paris Court of Appeal in its judgment of September 26, 2013. The Court particularly rejected the appeal of the company RVT, in that it contested the decision of dismissal for not having previously defined the relevant market.  </w:t>
        <w:br/>
        <w:t xml:space="preserve">6. The Court notes in this regard that the case law "does not exclude (...) that the incrimination of abuse of a dominant position may be dismissed in light of the simple observation that in any event, regardless of the definition given to the market, the behavior of a company in a dominant position could not be qualified as abusive. It follows that the Decision cannot be criticized in principle in that, by an economy of means, it limited itself to noting that the practices denounced concerned the industrial towel sector and deemed it unnecessary to conduct a more precise analysis of the market on the grounds that the behaviors denounced could not, regardless of the market in question, and the dominant or non-dominant position of the company Mewa in the market, be considered abusive."  </w:t>
        <w:br/>
        <w:t>7. After a supplementary investigation, a new proposal for dismissal was established, which was sent to the parties on September 25, 2013.</w:t>
      </w:r>
    </w:p>
    <w:p>
      <w:r>
        <w:t xml:space="preserve">8. In accordance with the line of analysis followed in the decision of April 6, 2012, mentioned above, this decision will focus on determining, based on the findings obtained following the supplementary investigation, whether all the contractual stipulations in question, understood in their economic and legal context, allow for the consideration that there exists a de facto exclusivity restricting competition, the definition of the relevant market appearing useful only in the case of a positive response.  </w:t>
        <w:br/>
        <w:t xml:space="preserve">B. ALLEGED PRACTICES  </w:t>
        <w:br/>
        <w:t xml:space="preserve">9. RVT denounces market-locking practices in the rental of reusable industrial towels, which would manifest through the presence, in the rental contracts signed between Mewa and its clients, of exclusivity clauses making it impossible for a potential competitor to enter the relevant market.  </w:t>
        <w:br/>
        <w:t xml:space="preserve">10. Although the contracts do not mention explicit exclusivity, the company RVT alleges that the quantitative purchasing objectives imposed by Mewa at the establishment of the contract exceed the needs of users to lock the market, thereby establishing a de facto exclusivity.  </w:t>
        <w:br/>
        <w:t xml:space="preserve">11. RVT also invokes the excessive duration of these contracts, concluded for periods of three years - in reality between three and four years given the setting of the contractual expiration date - and almost systematically renewed by tacit renewal for a new period of three to four years.  </w:t>
        <w:br/>
        <w:t xml:space="preserve">12. This almost systematic renewal would be explained by an ambiguously drafted termination clause, the term of the contract being set at the end of the civil year of termination instead of the anniversary date of the contract as would usually be practiced, which would facilitate a tacit renewal not necessarily desired by the client.  </w:t>
        <w:br/>
        <w:t xml:space="preserve">13. All of these contractual stipulations, which according to the applicant trap clients in a long-term exclusivity relationship that is difficult to denounce, would cause a market lockout making it impossible for any new competitor to enter. In support of its argument, RVT provided several contracts, as well as attestations highlighting the difficulties in exiting this commercial relationship.  </w:t>
        <w:br/>
        <w:t xml:space="preserve">C. SUPPLEMENTARY INVESTIGATION  </w:t>
        <w:br/>
        <w:t xml:space="preserve">14. The supplementary investigation was conducted mainly based on specific questionnaires sent to companies using Mewa's cloths. Competing companies operating in the same sector as Mewa were also interviewed.  </w:t>
        <w:br/>
        <w:t xml:space="preserve">1. QUESTIONNAIRES SENT TO CLIENTS  </w:t>
        <w:br/>
        <w:t xml:space="preserve">15. The questionnaires aimed to:  </w:t>
        <w:br/>
        <w:t>- on the one hand, assess the characteristics of the products offered by Mewa and its marketing method;</w:t>
      </w:r>
    </w:p>
    <w:p>
      <w:r>
        <w:rPr>
          <w:b/>
        </w:rPr>
        <w:t>[Pages 4–6]</w:t>
      </w:r>
    </w:p>
    <w:p>
      <w:r>
        <w:t>à leurs besoins en matière de serviettes d’essuyage et de ne pas poursuivre leur relation commerciale avec Mewa si les conditions ne leur conviennent pas.</w:t>
      </w:r>
    </w:p>
    <w:p>
      <w:r>
        <w:t>32. En conclusion, les éléments recueillis lors des auditions et des questionnaires ne permettent pas d’établir l’existence d’une exclusivité de fait ni d’une restriction de concurrence résultant des pratiques de Mewa. Les attestations fournies par RVT ne démontrent pas non plus de manière probante que les clients rencontrent des difficultés pour mettre fin à leur relation commerciale avec Mewa.</w:t>
      </w:r>
    </w:p>
    <w:p>
      <w:r>
        <w:t>III. Conclusion</w:t>
        <w:br/>
        <w:t>33. Au regard des éléments analysés, il apparaît que les pratiques de Mewa ne portent pas atteinte à la concurrence sur le marché des serviettes industrielles. Par conséquent, il n’y a pas lieu de poursuivre la procédure.</w:t>
      </w:r>
    </w:p>
    <w:p>
      <w:r>
        <w:rPr>
          <w:b/>
        </w:rPr>
        <w:t>[Pages 7–9]</w:t>
      </w:r>
    </w:p>
    <w:p>
      <w:r>
        <w:t xml:space="preserve">rapidly if the quantities proposed by Mewa and to which they have committed appear excessive.  </w:t>
        <w:br/>
        <w:t xml:space="preserve">32. Similarly, the responses received confirm the possibility of using other competing products during the use of the contract. Indeed, to the question of the existence of a barrier, contractual or de facto, that would be put in place by Mewa to prohibit the use of competing products, almost all clients (91 against 5) respond that no de facto exclusivity exists in favor of Mewa. One third of the responses (38 out of 116) report the use of competing products alongside Mewa's wipes.  </w:t>
        <w:br/>
        <w:t xml:space="preserve">33. It follows from the preceding elements that the stipulations regarding the quantities supplied are not perceived by Mewa's clients as imposing a de facto exclusivity.  </w:t>
        <w:br/>
        <w:t xml:space="preserve">3. ON THE DURATION OF THE CONTRACTUAL RELATIONSHIPS BETWEEN MEWA AND ITS CLIENTS  </w:t>
        <w:br/>
        <w:t xml:space="preserve">34. The "Mewa business contract for the rental and maintenance of industrial wipes" consists of general conditions and manually filled mentions, including the types of wipes chosen, the quantities concerned, the number of containers used, the frequency of service (from weekly to every sixteen weeks), unit and total prices, billing periodicity (monthly or quarterly), and finally the duration of the contract.  </w:t>
        <w:br/>
        <w:t xml:space="preserve">35. On this last point, the provisions of the contract are as follows:  </w:t>
        <w:br/>
        <w:t xml:space="preserve">- Article two of the general conditions of the contract states: "The contract is concluded for an indefinite duration and a minimum duration specified on the reverse. The validity of the contract begins from the first billable delivery";  </w:t>
        <w:br/>
        <w:t xml:space="preserve">- the same article provides for the possibility of termination of the contract subject to six months' notice prior to the end of the calendar year (failing which the contract is tacitly renewed for the same duration as initially provided in the contract): "The contract can be terminated exclusively by registered mail with acknowledgment of receipt, six months before the minimum duration indicated on the front. In the absence of termination, the contract is renewed by tacit renewal for a period of the minimum duration";  </w:t>
        <w:br/>
        <w:t xml:space="preserve">- the duration, filled in manually, is inserted in the following mention: "the contract can only be terminated according to Article 2 after ... [to be completed] full calendar years."  </w:t>
        <w:br/>
        <w:t xml:space="preserve">36. The duration, thus manually completed, is therefore decided jointly between Mewa and the client. It appears from the questionnaires sent to clients that the initial contractual duration does not exceed three years. In practice, however, a contractual duration of three years leads, given the termination modalities deferred to the end of the calendar year, to a longer duration, up to a maximum duration of just under four years.  </w:t>
        <w:br/>
        <w:t xml:space="preserve">37. The standard contractual duration can, however, be reduced at the request of clients. This is indeed the case for 31.5% of signed contracts (namely 30.1% of contracts for a single year, and for 1.4% of contracts, for a duration of two years).  </w:t>
        <w:br/>
        <w:t xml:space="preserve">38. A very small number of responses (5) indicated that the duration of the contract was long, of which two felt they had the opportunity to negotiate this duration, deemed excessive, and three added that they had no leeway to negotiate.  </w:t>
        <w:br/>
        <w:t xml:space="preserve">39. The vast majority of client responses (51 current clients and 24 former clients) consider that such a duration is not too long. The reasons cited by clients for considering this duration normal are based, among other things, on a comparison with the neighboring industrial laundry sector, where a duration of three years appears as a standard basis. Mewa's contract thus appears less constraining than that established by the company Initial, which offers four-year contracts with an exclusivity clause.  </w:t>
        <w:br/>
        <w:t xml:space="preserve">40. Similarly, the modality of terminating the contract in relation to the end of the calendar year rather than the anniversary date of the contract is not considered by the majority of them (55 current clients against 2 and 23 former clients against 4) as leading to particular constraints, as this deadline is known in advance and contractually fixed.  </w:t>
        <w:br/>
        <w:t xml:space="preserve">41. From the perspective of demand, it appears in conclusion that the contractual duration provided is neither too long for the vast majority of clients, nor economically unjustified.  </w:t>
        <w:br/>
        <w:t xml:space="preserve">42. From the perspective of the economic justification of this duration, it can be noted that the economic activity of renting and maintaining industrial towels involves significant investments regarding the collection and logistics of used towels, and then their processing in facilities that meet regulatory environmental constraints. The duration of three to four years does not therefore appear necessarily devoid of economic basis.  </w:t>
        <w:br/>
        <w:t xml:space="preserve">43. From the perspective of the contestability by competitors of a possible dominant position of Mewa in a defined market, it is noted that 30% of contracts are concluded for a single year, which means that nearly one third of contracting companies regain their contractual freedom within a reduced timeframe. To this percentage is added the percentage of companies reaching the end of their two or three-year contract. Under these conditions, a reasonable number of Mewa contractors can at any time be the subject of prospecting by competitors, which excludes any market lock-in.  </w:t>
        <w:br/>
        <w:t xml:space="preserve">44. Mewa specified during the session that it managed a total of 18,000 contracts in 2012. That same year, according to the company, 1,333 new contracts were concluded and 1,370 contracts were lost, indicating a non-negligible churn rate.  </w:t>
        <w:br/>
        <w:t>45. It can therefore be concluded from all the elements of the file that in the absence of exclusive relationships between Mewa and its clients and, more broadly, of client lock-in through the simultaneous operation of all or part of the contractual stipulations or their application, no anti-competitive practice can be established against Mewa.</w:t>
      </w:r>
    </w:p>
    <w:p>
      <w:r>
        <w:t xml:space="preserve">DECISION  </w:t>
        <w:br/>
        <w:t xml:space="preserve">Single Article: There is no need to continue the procedure.  </w:t>
        <w:br/>
        <w:t xml:space="preserve">Deliberated on the oral report of Mr. Didier Pallandre, and the intervention of Mr. Umberto Berkani, deputy general rapporteur, by Ms. Elisabeth Flüry-Hérard, vice-president, chairing the session, Ms. Pierrette Pinot, Mr. Noël Diricq, and Mr. Jean-Bertrand Drummen, members.  </w:t>
        <w:br/>
        <w:t xml:space="preserve">The session secretary, The vice-president,  </w:t>
        <w:br/>
        <w:t xml:space="preserve">Caroline Chéron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